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46E6" w:rsidRDefault="009D46E6" w:rsidP="002711A9">
      <w:r>
        <w:rPr>
          <w:noProof/>
          <w:lang w:eastAsia="cs-CZ"/>
        </w:rPr>
        <w:pict>
          <v:shapetype id="_x0000_t202" coordsize="21600,21600" o:spt="202" path="m,l,21600r21600,l21600,xe">
            <v:stroke joinstyle="miter"/>
            <v:path gradientshapeok="t" o:connecttype="rect"/>
          </v:shapetype>
          <v:shape id="Textové pole 39" o:spid="_x0000_s1026" type="#_x0000_t202" style="position:absolute;left:0;text-align:left;margin-left:418pt;margin-top:-4.8pt;width:77.75pt;height:26.35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" fillcolor="silver" strokeweight=".5pt">
            <v:textbox>
              <w:txbxContent>
                <w:p w:rsidR="009D46E6" w:rsidRPr="00F00387" w:rsidRDefault="009D46E6" w:rsidP="00C5297C">
                  <w:pPr>
                    <w:rPr>
                      <w:rFonts w:ascii="Times New Roman" w:hAnsi="Times New Roman" w:cs="Times New Roman"/>
                      <w:b/>
                      <w:sz w:val="32"/>
                      <w:szCs w:val="32"/>
                    </w:rPr>
                  </w:pPr>
                  <w:r w:rsidRPr="00F00387">
                    <w:rPr>
                      <w:rFonts w:ascii="Times New Roman" w:hAnsi="Times New Roman" w:cs="Times New Roman"/>
                      <w:b/>
                      <w:sz w:val="32"/>
                      <w:szCs w:val="32"/>
                    </w:rPr>
                    <w:t>287/A8</w:t>
                  </w:r>
                  <w:bookmarkStart w:id="0" w:name="_GoBack"/>
                  <w:bookmarkEnd w:id="0"/>
                </w:p>
              </w:txbxContent>
            </v:textbox>
          </v:shape>
        </w:pict>
      </w:r>
      <w:r w:rsidRPr="001D1D98">
        <w:rPr>
          <w:noProof/>
          <w:lang w:eastAsia="cs-CZ"/>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ek 29" o:spid="_x0000_i1025" type="#_x0000_t75" alt="hlavickovy_papir_cz_up" style="width:304.8pt;height:76.2pt;visibility:visible">
            <v:imagedata r:id="rId7" o:title=""/>
          </v:shape>
        </w:pict>
      </w:r>
    </w:p>
    <w:p w:rsidR="009D46E6" w:rsidRDefault="009D46E6" w:rsidP="002711A9"/>
    <w:p w:rsidR="009D46E6" w:rsidRDefault="009D46E6" w:rsidP="002711A9"/>
    <w:p w:rsidR="009D46E6" w:rsidRDefault="009D46E6" w:rsidP="002711A9"/>
    <w:p w:rsidR="009D46E6" w:rsidRDefault="009D46E6" w:rsidP="002711A9"/>
    <w:p w:rsidR="009D46E6" w:rsidRDefault="009D46E6" w:rsidP="002711A9"/>
    <w:p w:rsidR="009D46E6" w:rsidRDefault="009D46E6" w:rsidP="002711A9"/>
    <w:p w:rsidR="009D46E6" w:rsidRDefault="009D46E6" w:rsidP="002711A9"/>
    <w:p w:rsidR="009D46E6" w:rsidRDefault="009D46E6" w:rsidP="002711A9"/>
    <w:p w:rsidR="009D46E6" w:rsidRDefault="009D46E6" w:rsidP="002711A9"/>
    <w:p w:rsidR="009D46E6" w:rsidRDefault="009D46E6" w:rsidP="002711A9"/>
    <w:p w:rsidR="009D46E6" w:rsidRDefault="009D46E6" w:rsidP="002711A9"/>
    <w:p w:rsidR="009D46E6" w:rsidRDefault="009D46E6" w:rsidP="002711A9"/>
    <w:p w:rsidR="009D46E6" w:rsidRDefault="009D46E6" w:rsidP="002711A9"/>
    <w:p w:rsidR="009D46E6" w:rsidRDefault="009D46E6" w:rsidP="002711A9"/>
    <w:p w:rsidR="009D46E6" w:rsidRDefault="009D46E6" w:rsidP="002711A9"/>
    <w:p w:rsidR="009D46E6" w:rsidRDefault="009D46E6" w:rsidP="002711A9">
      <w:pPr>
        <w:jc w:val="left"/>
      </w:pPr>
    </w:p>
    <w:p w:rsidR="009D46E6" w:rsidRPr="00525B8B" w:rsidRDefault="009D46E6" w:rsidP="002711A9">
      <w:pPr>
        <w:pStyle w:val="TCtitle"/>
        <w:jc w:val="left"/>
      </w:pPr>
      <w:r w:rsidRPr="00525B8B">
        <w:t>Podklady</w:t>
      </w:r>
    </w:p>
    <w:p w:rsidR="009D46E6" w:rsidRPr="00525B8B" w:rsidRDefault="009D46E6" w:rsidP="002711A9">
      <w:pPr>
        <w:pStyle w:val="TCtitle"/>
        <w:jc w:val="left"/>
      </w:pPr>
      <w:r w:rsidRPr="00525B8B">
        <w:t xml:space="preserve">Pro Analýzu stavu výzkumu, vývoje a inovací v ČR a jejich </w:t>
      </w:r>
      <w:r>
        <w:t>srovnání</w:t>
      </w:r>
      <w:r>
        <w:br/>
      </w:r>
      <w:r w:rsidRPr="00525B8B">
        <w:t>se zahraničím v roce 2013</w:t>
      </w:r>
    </w:p>
    <w:p w:rsidR="009D46E6" w:rsidRDefault="009D46E6" w:rsidP="002711A9">
      <w:pPr>
        <w:jc w:val="left"/>
      </w:pPr>
    </w:p>
    <w:p w:rsidR="009D46E6" w:rsidRDefault="009D46E6" w:rsidP="002711A9"/>
    <w:p w:rsidR="009D46E6" w:rsidRPr="00E00622" w:rsidRDefault="009D46E6" w:rsidP="002711A9">
      <w:pPr>
        <w:pStyle w:val="TCsubtitle"/>
      </w:pPr>
      <w:r w:rsidRPr="00E00622">
        <w:t>Technologické centrum AV ČR</w:t>
      </w:r>
    </w:p>
    <w:p w:rsidR="009D46E6" w:rsidRDefault="009D46E6" w:rsidP="002711A9">
      <w:pPr>
        <w:pStyle w:val="TCsubtitle"/>
      </w:pPr>
      <w:r w:rsidRPr="00E00622">
        <w:t>ve spolupráci s Českým statistickým úřadem</w:t>
      </w:r>
    </w:p>
    <w:p w:rsidR="009D46E6" w:rsidRDefault="009D46E6" w:rsidP="002711A9"/>
    <w:p w:rsidR="009D46E6" w:rsidRDefault="009D46E6" w:rsidP="002711A9"/>
    <w:p w:rsidR="009D46E6" w:rsidRPr="00AB483C" w:rsidRDefault="009D46E6" w:rsidP="00AB483C">
      <w:r>
        <w:t>4. října 2013</w:t>
      </w:r>
    </w:p>
    <w:p w:rsidR="009D46E6" w:rsidRDefault="009D46E6" w:rsidP="00396507"/>
    <w:p w:rsidR="009D46E6" w:rsidRDefault="009D46E6" w:rsidP="00396507">
      <w:pPr>
        <w:sectPr w:rsidR="009D46E6" w:rsidSect="00FD3E45">
          <w:pgSz w:w="11906" w:h="16838" w:code="9"/>
          <w:pgMar w:top="1134" w:right="1134" w:bottom="1134" w:left="1134" w:header="737" w:footer="567" w:gutter="0"/>
          <w:cols w:space="567"/>
          <w:docGrid w:linePitch="360"/>
        </w:sectPr>
      </w:pPr>
    </w:p>
    <w:p w:rsidR="009D46E6" w:rsidRDefault="009D46E6" w:rsidP="00396507"/>
    <w:p w:rsidR="009D46E6" w:rsidRDefault="009D46E6" w:rsidP="00396507"/>
    <w:p w:rsidR="009D46E6" w:rsidRDefault="009D46E6" w:rsidP="00396507"/>
    <w:p w:rsidR="009D46E6" w:rsidRDefault="009D46E6" w:rsidP="00396507"/>
    <w:p w:rsidR="009D46E6" w:rsidRDefault="009D46E6" w:rsidP="00396507"/>
    <w:p w:rsidR="009D46E6" w:rsidRDefault="009D46E6" w:rsidP="00396507"/>
    <w:p w:rsidR="009D46E6" w:rsidRDefault="009D46E6" w:rsidP="00396507"/>
    <w:p w:rsidR="009D46E6" w:rsidRDefault="009D46E6" w:rsidP="00396507"/>
    <w:p w:rsidR="009D46E6" w:rsidRDefault="009D46E6" w:rsidP="00396507"/>
    <w:p w:rsidR="009D46E6" w:rsidRDefault="009D46E6" w:rsidP="00396507"/>
    <w:p w:rsidR="009D46E6" w:rsidRDefault="009D46E6" w:rsidP="00396507"/>
    <w:p w:rsidR="009D46E6" w:rsidRDefault="009D46E6" w:rsidP="00396507"/>
    <w:p w:rsidR="009D46E6" w:rsidRDefault="009D46E6" w:rsidP="00396507"/>
    <w:p w:rsidR="009D46E6" w:rsidRDefault="009D46E6" w:rsidP="00396507"/>
    <w:p w:rsidR="009D46E6" w:rsidRDefault="009D46E6" w:rsidP="003060B7"/>
    <w:p w:rsidR="009D46E6" w:rsidRDefault="009D46E6" w:rsidP="003060B7"/>
    <w:p w:rsidR="009D46E6" w:rsidRDefault="009D46E6" w:rsidP="003060B7"/>
    <w:p w:rsidR="009D46E6" w:rsidRDefault="009D46E6" w:rsidP="003060B7"/>
    <w:p w:rsidR="009D46E6" w:rsidRDefault="009D46E6" w:rsidP="003060B7"/>
    <w:p w:rsidR="009D46E6" w:rsidRDefault="009D46E6" w:rsidP="003060B7">
      <w:pPr>
        <w:rPr>
          <w:b/>
        </w:rPr>
      </w:pPr>
    </w:p>
    <w:p w:rsidR="009D46E6" w:rsidRDefault="009D46E6" w:rsidP="003060B7">
      <w:pPr>
        <w:rPr>
          <w:b/>
        </w:rPr>
      </w:pPr>
    </w:p>
    <w:p w:rsidR="009D46E6" w:rsidRPr="00FD3E45" w:rsidRDefault="009D46E6" w:rsidP="00BB6FED">
      <w:pPr>
        <w:rPr>
          <w:b/>
        </w:rPr>
      </w:pPr>
      <w:r w:rsidRPr="00AB483C">
        <w:rPr>
          <w:b/>
        </w:rPr>
        <w:t>Podklady pro tuto studii byly vypracovány Technologickým centrem Akademie věd České republiky ve spolupráci s Českým statistickým úřadem v rámci veřejné zakázky Úřadu vlády „Analýzy a podklady pro realizaci a aktualizaci Národní politiky výzkumu, vývoje a inovací“.</w:t>
      </w:r>
    </w:p>
    <w:p w:rsidR="009D46E6" w:rsidRPr="00BB6FED" w:rsidRDefault="009D46E6" w:rsidP="003060B7"/>
    <w:p w:rsidR="009D46E6" w:rsidRPr="00BB6FED" w:rsidRDefault="009D46E6" w:rsidP="003060B7"/>
    <w:p w:rsidR="009D46E6" w:rsidRPr="00BB6FED" w:rsidRDefault="009D46E6" w:rsidP="003060B7"/>
    <w:p w:rsidR="009D46E6" w:rsidRPr="00BB6FED" w:rsidRDefault="009D46E6" w:rsidP="003060B7"/>
    <w:p w:rsidR="009D46E6" w:rsidRPr="00BB6FED" w:rsidRDefault="009D46E6" w:rsidP="003060B7"/>
    <w:p w:rsidR="009D46E6" w:rsidRPr="00BB6FED" w:rsidRDefault="009D46E6" w:rsidP="003060B7"/>
    <w:p w:rsidR="009D46E6" w:rsidRDefault="009D46E6" w:rsidP="003060B7">
      <w:pPr>
        <w:rPr>
          <w:b/>
        </w:rPr>
      </w:pPr>
      <w:r w:rsidRPr="00AB483C">
        <w:rPr>
          <w:b/>
        </w:rPr>
        <w:t>Na zpracování jednotlivých kapitol se podíleli:</w:t>
      </w:r>
    </w:p>
    <w:tbl>
      <w:tblPr>
        <w:tblW w:w="0" w:type="auto"/>
        <w:tblBorders>
          <w:top w:val="single" w:sz="4" w:space="0" w:color="D9D9D9"/>
          <w:bottom w:val="single" w:sz="4" w:space="0" w:color="D9D9D9"/>
          <w:insideH w:val="single" w:sz="4" w:space="0" w:color="D9D9D9"/>
        </w:tblBorders>
        <w:tblLook w:val="00A0"/>
      </w:tblPr>
      <w:tblGrid>
        <w:gridCol w:w="5070"/>
        <w:gridCol w:w="4708"/>
      </w:tblGrid>
      <w:tr w:rsidR="009D46E6" w:rsidRPr="00DB1559" w:rsidTr="00DB1559">
        <w:trPr>
          <w:trHeight w:val="567"/>
        </w:trPr>
        <w:tc>
          <w:tcPr>
            <w:tcW w:w="5070" w:type="dxa"/>
            <w:vAlign w:val="center"/>
          </w:tcPr>
          <w:p w:rsidR="009D46E6" w:rsidRPr="00DB1559" w:rsidRDefault="009D46E6" w:rsidP="00DB1559">
            <w:pPr>
              <w:spacing w:after="0"/>
              <w:jc w:val="left"/>
            </w:pPr>
            <w:r w:rsidRPr="00DB1559">
              <w:t>Shrnutí</w:t>
            </w:r>
          </w:p>
          <w:p w:rsidR="009D46E6" w:rsidRPr="00DB1559" w:rsidRDefault="009D46E6" w:rsidP="00DB1559">
            <w:pPr>
              <w:spacing w:after="0"/>
              <w:jc w:val="left"/>
            </w:pPr>
            <w:r w:rsidRPr="00DB1559">
              <w:t>Makroekonomicky rámec analýzy VaVaI</w:t>
            </w:r>
          </w:p>
        </w:tc>
        <w:tc>
          <w:tcPr>
            <w:tcW w:w="4708" w:type="dxa"/>
            <w:vAlign w:val="center"/>
          </w:tcPr>
          <w:p w:rsidR="009D46E6" w:rsidRPr="00DB1559" w:rsidRDefault="009D46E6" w:rsidP="00DB1559">
            <w:pPr>
              <w:spacing w:after="0"/>
              <w:jc w:val="left"/>
            </w:pPr>
            <w:r w:rsidRPr="00DB1559">
              <w:t>Ing. Michal Pazour, Ph.D.</w:t>
            </w:r>
          </w:p>
        </w:tc>
      </w:tr>
      <w:tr w:rsidR="009D46E6" w:rsidRPr="00DB1559" w:rsidTr="00DB1559">
        <w:trPr>
          <w:trHeight w:val="567"/>
        </w:trPr>
        <w:tc>
          <w:tcPr>
            <w:tcW w:w="5070" w:type="dxa"/>
            <w:vAlign w:val="center"/>
          </w:tcPr>
          <w:p w:rsidR="009D46E6" w:rsidRPr="00DB1559" w:rsidRDefault="009D46E6" w:rsidP="00DB1559">
            <w:pPr>
              <w:spacing w:after="0"/>
              <w:jc w:val="left"/>
            </w:pPr>
            <w:r w:rsidRPr="00DB1559">
              <w:t>A. Investice do výzkumu a vývoje</w:t>
            </w:r>
          </w:p>
        </w:tc>
        <w:tc>
          <w:tcPr>
            <w:tcW w:w="4708" w:type="dxa"/>
            <w:vAlign w:val="center"/>
          </w:tcPr>
          <w:p w:rsidR="009D46E6" w:rsidRPr="00DB1559" w:rsidRDefault="009D46E6" w:rsidP="00DB1559">
            <w:pPr>
              <w:spacing w:after="0"/>
              <w:jc w:val="left"/>
            </w:pPr>
            <w:r w:rsidRPr="00DB1559">
              <w:t>Ing. Martin Mana</w:t>
            </w:r>
          </w:p>
          <w:p w:rsidR="009D46E6" w:rsidRPr="00DB1559" w:rsidRDefault="009D46E6" w:rsidP="00DB1559">
            <w:pPr>
              <w:spacing w:after="0"/>
              <w:jc w:val="left"/>
            </w:pPr>
            <w:r w:rsidRPr="00DB1559">
              <w:t>Ing. Zdeněk Kučera, CSc.</w:t>
            </w:r>
          </w:p>
        </w:tc>
      </w:tr>
      <w:tr w:rsidR="009D46E6" w:rsidRPr="00DB1559" w:rsidTr="00DB1559">
        <w:trPr>
          <w:trHeight w:val="567"/>
        </w:trPr>
        <w:tc>
          <w:tcPr>
            <w:tcW w:w="5070" w:type="dxa"/>
            <w:vAlign w:val="center"/>
          </w:tcPr>
          <w:p w:rsidR="009D46E6" w:rsidRPr="00DB1559" w:rsidRDefault="009D46E6" w:rsidP="00DB1559">
            <w:pPr>
              <w:spacing w:after="0"/>
              <w:jc w:val="left"/>
            </w:pPr>
            <w:r w:rsidRPr="00DB1559">
              <w:t>B. Lidské zdroje pro výzkum a vývoj</w:t>
            </w:r>
          </w:p>
        </w:tc>
        <w:tc>
          <w:tcPr>
            <w:tcW w:w="4708" w:type="dxa"/>
            <w:vAlign w:val="center"/>
          </w:tcPr>
          <w:p w:rsidR="009D46E6" w:rsidRPr="00DB1559" w:rsidRDefault="009D46E6" w:rsidP="00DB1559">
            <w:pPr>
              <w:spacing w:after="0"/>
              <w:jc w:val="left"/>
            </w:pPr>
            <w:r w:rsidRPr="00DB1559">
              <w:t>Mgr. Eva Skarlandtová</w:t>
            </w:r>
          </w:p>
        </w:tc>
      </w:tr>
      <w:tr w:rsidR="009D46E6" w:rsidRPr="00DB1559" w:rsidTr="00DB1559">
        <w:trPr>
          <w:trHeight w:val="567"/>
        </w:trPr>
        <w:tc>
          <w:tcPr>
            <w:tcW w:w="5070" w:type="dxa"/>
            <w:vAlign w:val="center"/>
          </w:tcPr>
          <w:p w:rsidR="009D46E6" w:rsidRPr="00DB1559" w:rsidRDefault="009D46E6" w:rsidP="00DB1559">
            <w:pPr>
              <w:spacing w:after="0"/>
              <w:jc w:val="left"/>
            </w:pPr>
            <w:r w:rsidRPr="00DB1559">
              <w:t>C. Výsledky výzkumu a vývoje</w:t>
            </w:r>
          </w:p>
        </w:tc>
        <w:tc>
          <w:tcPr>
            <w:tcW w:w="4708" w:type="dxa"/>
            <w:vAlign w:val="center"/>
          </w:tcPr>
          <w:p w:rsidR="009D46E6" w:rsidRPr="00DB1559" w:rsidRDefault="009D46E6" w:rsidP="00DB1559">
            <w:pPr>
              <w:spacing w:after="0"/>
              <w:jc w:val="left"/>
            </w:pPr>
            <w:r w:rsidRPr="00DB1559">
              <w:t>RNDr. Tomáš Vondrák, CSc.</w:t>
            </w:r>
          </w:p>
          <w:p w:rsidR="009D46E6" w:rsidRPr="00DB1559" w:rsidRDefault="009D46E6" w:rsidP="00DB1559">
            <w:pPr>
              <w:spacing w:after="0"/>
              <w:jc w:val="left"/>
            </w:pPr>
            <w:r w:rsidRPr="00DB1559">
              <w:t>Ing. Martin Mana</w:t>
            </w:r>
          </w:p>
        </w:tc>
      </w:tr>
      <w:tr w:rsidR="009D46E6" w:rsidRPr="00DB1559" w:rsidTr="00DB1559">
        <w:trPr>
          <w:trHeight w:val="567"/>
        </w:trPr>
        <w:tc>
          <w:tcPr>
            <w:tcW w:w="5070" w:type="dxa"/>
            <w:vAlign w:val="center"/>
          </w:tcPr>
          <w:p w:rsidR="009D46E6" w:rsidRPr="00DB1559" w:rsidRDefault="009D46E6" w:rsidP="00DB1559">
            <w:pPr>
              <w:spacing w:after="0"/>
              <w:jc w:val="left"/>
            </w:pPr>
            <w:r w:rsidRPr="00DB1559">
              <w:t>D. Inovace a high-tech odvětví</w:t>
            </w:r>
          </w:p>
        </w:tc>
        <w:tc>
          <w:tcPr>
            <w:tcW w:w="4708" w:type="dxa"/>
            <w:vAlign w:val="center"/>
          </w:tcPr>
          <w:p w:rsidR="009D46E6" w:rsidRPr="00DB1559" w:rsidRDefault="009D46E6" w:rsidP="00DB1559">
            <w:pPr>
              <w:spacing w:after="0"/>
              <w:jc w:val="left"/>
            </w:pPr>
            <w:r w:rsidRPr="00DB1559">
              <w:t>Mgr. Kristýna Meislová</w:t>
            </w:r>
          </w:p>
        </w:tc>
      </w:tr>
      <w:tr w:rsidR="009D46E6" w:rsidRPr="00DB1559" w:rsidTr="00DB1559">
        <w:trPr>
          <w:trHeight w:val="567"/>
        </w:trPr>
        <w:tc>
          <w:tcPr>
            <w:tcW w:w="5070" w:type="dxa"/>
            <w:vAlign w:val="center"/>
          </w:tcPr>
          <w:p w:rsidR="009D46E6" w:rsidRPr="00DB1559" w:rsidRDefault="009D46E6" w:rsidP="00DB1559">
            <w:pPr>
              <w:spacing w:after="0"/>
              <w:jc w:val="left"/>
            </w:pPr>
            <w:r w:rsidRPr="00DB1559">
              <w:t>E. Mezinárodní spolupráce ve výzkumu a vývoji</w:t>
            </w:r>
          </w:p>
        </w:tc>
        <w:tc>
          <w:tcPr>
            <w:tcW w:w="4708" w:type="dxa"/>
            <w:vAlign w:val="center"/>
          </w:tcPr>
          <w:p w:rsidR="009D46E6" w:rsidRPr="00DB1559" w:rsidRDefault="009D46E6" w:rsidP="00DB1559">
            <w:pPr>
              <w:spacing w:after="0"/>
              <w:jc w:val="left"/>
            </w:pPr>
            <w:r w:rsidRPr="00DB1559">
              <w:t>Mgr. David Marek</w:t>
            </w:r>
          </w:p>
          <w:p w:rsidR="009D46E6" w:rsidRPr="00DB1559" w:rsidRDefault="009D46E6" w:rsidP="00DB1559">
            <w:pPr>
              <w:spacing w:after="0"/>
              <w:jc w:val="left"/>
            </w:pPr>
            <w:r w:rsidRPr="00DB1559">
              <w:t>Ing. Bc. Daniel Frank</w:t>
            </w:r>
          </w:p>
        </w:tc>
      </w:tr>
      <w:tr w:rsidR="009D46E6" w:rsidRPr="00DB1559" w:rsidTr="00DB1559">
        <w:trPr>
          <w:trHeight w:val="567"/>
        </w:trPr>
        <w:tc>
          <w:tcPr>
            <w:tcW w:w="5070" w:type="dxa"/>
            <w:vAlign w:val="center"/>
          </w:tcPr>
          <w:p w:rsidR="009D46E6" w:rsidRPr="00DB1559" w:rsidRDefault="009D46E6" w:rsidP="00DB1559">
            <w:pPr>
              <w:spacing w:after="0"/>
              <w:jc w:val="left"/>
            </w:pPr>
            <w:r w:rsidRPr="00DB1559">
              <w:t>F. Využití prostředků ze strukturálních fondů na VaVaI</w:t>
            </w:r>
          </w:p>
        </w:tc>
        <w:tc>
          <w:tcPr>
            <w:tcW w:w="4708" w:type="dxa"/>
            <w:vAlign w:val="center"/>
          </w:tcPr>
          <w:p w:rsidR="009D46E6" w:rsidRPr="00DB1559" w:rsidRDefault="009D46E6" w:rsidP="00DB1559">
            <w:pPr>
              <w:spacing w:after="0"/>
              <w:jc w:val="left"/>
            </w:pPr>
            <w:r w:rsidRPr="00DB1559">
              <w:t>Mgr. David Marek</w:t>
            </w:r>
          </w:p>
        </w:tc>
      </w:tr>
    </w:tbl>
    <w:p w:rsidR="009D46E6" w:rsidRDefault="009D46E6">
      <w:pPr>
        <w:spacing w:before="200" w:after="200" w:line="276" w:lineRule="auto"/>
        <w:jc w:val="left"/>
      </w:pPr>
      <w:r>
        <w:br w:type="page"/>
      </w:r>
    </w:p>
    <w:p w:rsidR="009D46E6" w:rsidRDefault="009D46E6" w:rsidP="00A1473E">
      <w:pPr>
        <w:jc w:val="left"/>
        <w:sectPr w:rsidR="009D46E6" w:rsidSect="00FD3E45">
          <w:headerReference w:type="even" r:id="rId8"/>
          <w:headerReference w:type="default" r:id="rId9"/>
          <w:pgSz w:w="11906" w:h="16838" w:code="9"/>
          <w:pgMar w:top="1134" w:right="1134" w:bottom="1134" w:left="1134" w:header="737" w:footer="567" w:gutter="0"/>
          <w:cols w:space="567"/>
          <w:docGrid w:linePitch="360"/>
        </w:sectPr>
      </w:pPr>
    </w:p>
    <w:p w:rsidR="009D46E6" w:rsidRDefault="009D46E6" w:rsidP="002711A9">
      <w:pPr>
        <w:pStyle w:val="Nadpis1nonumber"/>
      </w:pPr>
      <w:bookmarkStart w:id="1" w:name="_Toc336000248"/>
      <w:bookmarkStart w:id="2" w:name="_Toc338399578"/>
      <w:bookmarkStart w:id="3" w:name="_Toc369091859"/>
      <w:bookmarkStart w:id="4" w:name="_Toc336000249"/>
      <w:bookmarkStart w:id="5" w:name="_Toc291705391"/>
      <w:bookmarkStart w:id="6" w:name="_Toc291952698"/>
      <w:r>
        <w:t>Shrnutí</w:t>
      </w:r>
      <w:bookmarkEnd w:id="1"/>
      <w:bookmarkEnd w:id="2"/>
      <w:bookmarkEnd w:id="3"/>
    </w:p>
    <w:p w:rsidR="009D46E6" w:rsidRPr="009A44ED" w:rsidRDefault="009D46E6" w:rsidP="000E3106">
      <w:pPr>
        <w:pStyle w:val="Odrky"/>
        <w:contextualSpacing w:val="0"/>
      </w:pPr>
      <w:r w:rsidRPr="009A44ED">
        <w:rPr>
          <w:b/>
        </w:rPr>
        <w:t>Česká republika je malou otevřenou ekonomikou s výraznou průmyslovou orientací a exportním zaměřením.</w:t>
      </w:r>
      <w:r w:rsidRPr="009A44ED">
        <w:t xml:space="preserve"> Podle ekonomické úrovně se řadí mezi země, kde hlavním faktorem pro zajištění konkurenční výhody je schopnost podniků vyvíjet a zavádět nové produkty, technologické postupy, změny v organizaci práce či nové způsoby prodeje výrobků a služeb. </w:t>
      </w:r>
    </w:p>
    <w:p w:rsidR="009D46E6" w:rsidRPr="009A44ED" w:rsidRDefault="009D46E6" w:rsidP="000E3106">
      <w:pPr>
        <w:pStyle w:val="Odrky"/>
        <w:contextualSpacing w:val="0"/>
      </w:pPr>
      <w:r w:rsidRPr="009A44ED">
        <w:t xml:space="preserve">Pozice ČR v žebříčcích souhrnné konkurenceschopnosti, které každoročně publikují Světové ekonomické fórum a IMD World Competitiveness Center, se v roce 2012 zhoršila. Na poklesu celkové pozice se odrazilo především oslabení výkonnosti české ekonomiky a zhoršení institucionálních faktorů konkurenceschopnosti, jako je nízká efektivita a transparentnost veřejné správy a rozsah korupce ve veřejné správě, rigidní právní rámec pro rozvoj podnikání a restriktivní regulace trhu práce. Zvýšilo se rovněž riziko realokace výzkumně-vývojových kapacit podnikového sektoru mimo Českou republiku. Naopak relativně dobré podmínky má ČR v oblasti makroekonomického prostředí, kvality vzdělávání a dostupnosti kvalifikované pracovní síly a celkové technologické připravenosti. Z hlediska podmínek pro rozvoj výzkumných a inovační aktivit je pozitivní, že došlo k meziročnímu zlepšení pozice ČR v oblasti technologické infrastruktury (zejm. ICT), v oblasti vědecko-výzkumné infrastruktury i v oblasti vzdělávání. </w:t>
      </w:r>
    </w:p>
    <w:p w:rsidR="009D46E6" w:rsidRPr="009A44ED" w:rsidRDefault="009D46E6" w:rsidP="000E3106">
      <w:pPr>
        <w:pStyle w:val="Odrky"/>
        <w:contextualSpacing w:val="0"/>
      </w:pPr>
      <w:r w:rsidRPr="009A44ED">
        <w:t xml:space="preserve">Z pohledu parametrů inovační výkonnosti vykazovaných Evropskou komisí v publikaci Innovation Union Scoreboard má ČR rovněž </w:t>
      </w:r>
      <w:r w:rsidRPr="009A44ED">
        <w:rPr>
          <w:b/>
        </w:rPr>
        <w:t>relativně vysokou úroveň podnikových investic do inovací a vysoký počet inovujících malých a středních podniků</w:t>
      </w:r>
      <w:r w:rsidRPr="009A44ED">
        <w:t>. Naopak slabší pozici má ČR dlouhodobě v oblasti výzkumného systému (zahrnuje ukazatele kvality a otevřenosti veřejného výzkumu) a využívání duševního vlastnictví (zahrnuje přihlášky PCT patentů, komunitární ochranné známky a design).</w:t>
      </w:r>
    </w:p>
    <w:p w:rsidR="009D46E6" w:rsidRPr="009A44ED" w:rsidRDefault="009D46E6" w:rsidP="000E3106">
      <w:pPr>
        <w:pStyle w:val="Odrky"/>
        <w:contextualSpacing w:val="0"/>
      </w:pPr>
      <w:r w:rsidRPr="009A44ED">
        <w:t xml:space="preserve">Výkonnost české ekonomiky měřená hrubým domácím produktem se ani po více než třech letech po krizi nevrátila na úroveň předkrizového roku 2008. V kontextu hospodářského vývoje regionu střední Evropy tak </w:t>
      </w:r>
      <w:r w:rsidRPr="009A44ED">
        <w:rPr>
          <w:b/>
        </w:rPr>
        <w:t>ČR zaznamenává jeden z nejdelších a kumulativně nejhlubších poklesů ekonomické výkonnosti</w:t>
      </w:r>
      <w:r w:rsidRPr="009A44ED">
        <w:t xml:space="preserve">. To se pochopitelně odráží i v zastavení procesu reálné konvergence české ekonomiky k evropskému průměru. </w:t>
      </w:r>
    </w:p>
    <w:p w:rsidR="009D46E6" w:rsidRPr="009A44ED" w:rsidRDefault="009D46E6" w:rsidP="000E3106">
      <w:pPr>
        <w:pStyle w:val="Odrky"/>
        <w:contextualSpacing w:val="0"/>
      </w:pPr>
      <w:r w:rsidRPr="009A44ED">
        <w:t xml:space="preserve">Nejvýznamnější vliv na poklesu ekonomické výkonnosti ČR měl z výdajových složek HDP pokles výdajů domácností i vlády na konečnou spotřebu a od konce roku 2012 také pokles zahraniční poptávky po českém exportu. Přestože díky zlepšující se ekonomická situaci v Evropě (zejména v Německu) došlo ve druhém čtvrtletí 2013 k mírnému oživení české ekonomiky, </w:t>
      </w:r>
      <w:r w:rsidRPr="009A44ED">
        <w:rPr>
          <w:b/>
        </w:rPr>
        <w:t>dlouhodobější udržitelnost ekonomického růstu bude značně záviset na celkové restrukturalizaci české ekonomiky</w:t>
      </w:r>
      <w:r w:rsidRPr="009A44ED">
        <w:t xml:space="preserve"> směrem k posílení významu produkce s vyšší přidanou hodnotou, což úzce souvisí s posilováním významu inovačních aktivit. </w:t>
      </w:r>
    </w:p>
    <w:p w:rsidR="009D46E6" w:rsidRPr="009A44ED" w:rsidRDefault="009D46E6" w:rsidP="000E3106">
      <w:pPr>
        <w:pStyle w:val="Odrky"/>
        <w:contextualSpacing w:val="0"/>
      </w:pPr>
      <w:r w:rsidRPr="009A44ED">
        <w:rPr>
          <w:b/>
        </w:rPr>
        <w:t>Významný vliv na restrukturalizaci české ekonomiky mohou mít podniky pod zahraniční kontrolou</w:t>
      </w:r>
      <w:r w:rsidRPr="009A44ED">
        <w:t xml:space="preserve">, jejichž podíl vzrostl v souvislosti s rozsáhlým přílivem přímých zahraničních investic mezi roky </w:t>
      </w:r>
      <w:smartTag w:uri="urn:schemas-microsoft-com:office:smarttags" w:element="metricconverter">
        <w:smartTagPr>
          <w:attr w:name="ProductID" w:val="2000 a"/>
        </w:smartTagPr>
        <w:r w:rsidRPr="009A44ED">
          <w:t>2000 a</w:t>
        </w:r>
      </w:smartTag>
      <w:r w:rsidRPr="009A44ED">
        <w:t xml:space="preserve"> 2005 (zejm. ve finančních, telekomunikačních a logistických služeb a v automobilovém průmyslu).</w:t>
      </w:r>
    </w:p>
    <w:p w:rsidR="009D46E6" w:rsidRPr="009A44ED" w:rsidRDefault="009D46E6" w:rsidP="000E3106">
      <w:pPr>
        <w:pStyle w:val="Odrky"/>
        <w:contextualSpacing w:val="0"/>
      </w:pPr>
      <w:r w:rsidRPr="009A44ED">
        <w:t xml:space="preserve">Důležitým impulsem pro zvýšení intenzity výzkumných a inovačních aktivit v ČR je i </w:t>
      </w:r>
      <w:r w:rsidRPr="009A44ED">
        <w:rPr>
          <w:b/>
        </w:rPr>
        <w:t>relativně vysoká energetická náročnost produkce české ekonomiky</w:t>
      </w:r>
      <w:r w:rsidRPr="009A44ED">
        <w:t>. V porovnání s průměrem zemí EU28 je v ČR na produkci jednotky HDP zapotřebí 2,5krát vyšší množství energie. Přestože vývoj ukazatele energetické náročnosti naznačuje, že efektivita transformace primárních energetických zdrojů na ekonomický výkon v ČR dlouhodobě roste, značné zaostávání ČR za evropským průměrem v energetické náročnosti tvorby HDP je významným signálem pro zvýšení energetické účinnosti výroby a dosahování výraznějších energetických úspor v ekonomice.</w:t>
      </w:r>
    </w:p>
    <w:p w:rsidR="009D46E6" w:rsidRDefault="009D46E6">
      <w:pPr>
        <w:spacing w:before="200" w:after="200" w:line="276" w:lineRule="auto"/>
        <w:jc w:val="left"/>
      </w:pPr>
      <w:r>
        <w:br w:type="page"/>
      </w:r>
    </w:p>
    <w:p w:rsidR="009D46E6" w:rsidRPr="009A44ED" w:rsidRDefault="009D46E6" w:rsidP="000E3106">
      <w:pPr>
        <w:pStyle w:val="Odrky"/>
        <w:contextualSpacing w:val="0"/>
      </w:pPr>
      <w:r w:rsidRPr="009A44ED">
        <w:t xml:space="preserve">Důležitou úlohu ve stimulaci faktorů dlouhodobého ekonomického rozvoje hraje efektivní a systematická podpora vzdělávacích a výzkumných aktivit ve vládní politice. </w:t>
      </w:r>
      <w:r w:rsidRPr="009A44ED">
        <w:rPr>
          <w:b/>
        </w:rPr>
        <w:t>Z pohledu podílu veřejných výdajů na vzdělávání, výzkum a vývoj ve veřejných rozpočtech patří ČR s podílem 11,1 % veřejných výdajů k zemím pod evropským průměrem (12,4 %)</w:t>
      </w:r>
      <w:r w:rsidRPr="009A44ED">
        <w:t xml:space="preserve">, přičemž tento podíl od roku 2006 víceméně stagnuje. To je ovlivněno především stagnací podílu veřejných výdajů na vzdělávání, naopak </w:t>
      </w:r>
      <w:r w:rsidRPr="009A44ED">
        <w:rPr>
          <w:b/>
        </w:rPr>
        <w:t>podíl výdajů na výzkum a vývoj ve veřejných rozpočtech mírně roste</w:t>
      </w:r>
      <w:r w:rsidRPr="009A44ED">
        <w:t>. ČR tak postupně konverguje ke svému národnímu cíli pro naplňování Strategie Evropa 2020, který si stanovila v Národním programu reforem. Tím je dosažení 1% podílu výdajů státního rozpočtu na VaV na HDP v roce 2020, přičemž v roce 2012 tento podíl dosahoval 0,68 % HDP (po meziročním růstu 1,5 %).</w:t>
      </w:r>
    </w:p>
    <w:p w:rsidR="009D46E6" w:rsidRPr="009A44ED" w:rsidRDefault="009D46E6" w:rsidP="000E3106">
      <w:pPr>
        <w:pStyle w:val="Odrky"/>
        <w:contextualSpacing w:val="0"/>
      </w:pPr>
      <w:r w:rsidRPr="009A44ED">
        <w:t xml:space="preserve">Rok 2012 byl obdobně jako předchozí rok 2011 významný z hlediska </w:t>
      </w:r>
      <w:r w:rsidRPr="009A44ED">
        <w:rPr>
          <w:b/>
        </w:rPr>
        <w:t>enormního nárůstu celkových výdajů na VaV</w:t>
      </w:r>
      <w:r w:rsidRPr="009A44ED">
        <w:t>. Za tyto dva roky vzrostly celkové výdaje na VaV absolutně o 19,4 mld. Kč a zatímco v roce 2010 dosahovaly 53 mld. Kč, v roce 2012 to bylo již 72,4 mld.</w:t>
      </w:r>
      <w:r w:rsidRPr="009A44ED">
        <w:rPr>
          <w:vertAlign w:val="superscript"/>
        </w:rPr>
        <w:footnoteReference w:id="1"/>
      </w:r>
      <w:r w:rsidRPr="009A44ED">
        <w:t xml:space="preserve"> V relativním vyjádření tak podíl výdajů na VaV na hrubém domácím produktu vzrostl z 1,4 % v roce 2010 na téměř 1,9 % v roce </w:t>
      </w:r>
      <w:smartTag w:uri="urn:schemas-microsoft-com:office:smarttags" w:element="metricconverter">
        <w:smartTagPr>
          <w:attr w:name="ProductID" w:val="2012 a"/>
        </w:smartTagPr>
        <w:r w:rsidRPr="009A44ED">
          <w:t>2012 a</w:t>
        </w:r>
      </w:smartTag>
      <w:r w:rsidRPr="009A44ED">
        <w:t xml:space="preserve"> ČR se v tomto klíčovém ukazateli výrazně přiblížila evropskému průměru. Z hlediska podmínek pro dlouhodobý ekonomický rozvoj je pozitivní, že </w:t>
      </w:r>
      <w:r w:rsidRPr="009A44ED">
        <w:rPr>
          <w:b/>
        </w:rPr>
        <w:t>výdaje na VaV v posledních pěti letech rostly navzdory nepříznivému vývoji výkonnosti české ekonomiky</w:t>
      </w:r>
      <w:r w:rsidRPr="009A44ED">
        <w:t xml:space="preserve">. Významnou roli při financování výzkumných aktivit měly prostředky ze Strukturálních fondů, jejichž intenzivnější čerpání na výzkumné a vývojové aktivity započalo právě v roce 2011. Důležité je však také to, že v letech </w:t>
      </w:r>
      <w:smartTag w:uri="urn:schemas-microsoft-com:office:smarttags" w:element="metricconverter">
        <w:smartTagPr>
          <w:attr w:name="ProductID" w:val="2011 a"/>
        </w:smartTagPr>
        <w:r w:rsidRPr="009A44ED">
          <w:t>2011 a</w:t>
        </w:r>
      </w:smartTag>
      <w:r w:rsidRPr="009A44ED">
        <w:t xml:space="preserve"> 2012 se zvyšovaly rovněž zdroje podniků investované do VaV, a to jak zdroje domácích podniků, tak i zahraničních.</w:t>
      </w:r>
    </w:p>
    <w:p w:rsidR="009D46E6" w:rsidRPr="009A44ED" w:rsidRDefault="009D46E6" w:rsidP="000E3106">
      <w:pPr>
        <w:pStyle w:val="Odrky"/>
        <w:contextualSpacing w:val="0"/>
      </w:pPr>
      <w:r w:rsidRPr="009A44ED">
        <w:t xml:space="preserve">Výzkum a vývoj je v ČR realizován z více než poloviny v podnikatelském sektoru. Významem podnikového sektoru ve struktuře VaV je tak ČR srovnatelná s ostatními ekonomicky vyspělými zeměmi Evropy. Podíl podnikového sektoru na celkových výdajích na VaV však dlouhodobě klesá. Zatímco v roce 2004 bylo v podnikatelském sektoru realizováno více než 62 % všech výzkumných a vývojových aktivit, do roku 2012 se podíl podnikatelského sektoru na celkových výdajích na VaV snížil na méně než 54 %. K nejrychlejší změně struktury českého výzkumu došlo právě v posledních dvou letech, kdy na úkor podílů podnikového VaV významně narostl podíl výzkumu realizovaného ve vysokoškolském sektoru. Souvislost mezi nárůstem podílu vysokoškolského sektoru na celkových výdajích na VaV a zvýšením podílu zahraničních veřejných finančních zdrojů není náhodná, neboť vysoké školy v letech </w:t>
      </w:r>
      <w:smartTag w:uri="urn:schemas-microsoft-com:office:smarttags" w:element="metricconverter">
        <w:smartTagPr>
          <w:attr w:name="ProductID" w:val="2011 a"/>
        </w:smartTagPr>
        <w:r w:rsidRPr="009A44ED">
          <w:t>2011 a</w:t>
        </w:r>
      </w:smartTag>
      <w:r w:rsidRPr="009A44ED">
        <w:t xml:space="preserve"> 2012 absorbovaly významnou část prostředků ze Strukturálních fondů plynoucích do výzkumu a vývoje.</w:t>
      </w:r>
    </w:p>
    <w:p w:rsidR="009D46E6" w:rsidRPr="009A44ED" w:rsidRDefault="009D46E6" w:rsidP="000E3106">
      <w:pPr>
        <w:pStyle w:val="Odrky"/>
        <w:contextualSpacing w:val="0"/>
      </w:pPr>
      <w:r w:rsidRPr="009A44ED">
        <w:t xml:space="preserve">Nárůst výdajů na VaV v podnikatelském sektoru je doprovázen nárůstem počtu zaměstnanců ve VaV. v roce 2012 pracovalo v podnikovém výzkumu více než 32 tisíc osob přepočtených na plný pracovní úvazek, což bylo o 5 tisíc více než v roce 2010. </w:t>
      </w:r>
      <w:r w:rsidRPr="009A44ED">
        <w:rPr>
          <w:b/>
        </w:rPr>
        <w:t>Negativním rysem zaměstnanosti v podnikovém výzkumu je relativně nízký podíl žen</w:t>
      </w:r>
      <w:r w:rsidRPr="009A44ED">
        <w:t>, který se dlouhodobě pohybuje okolo 20 %. V roce 2012 bylo mezi zaměstnanci VaV v podnikatelském sektoru pouhých 19 % žen, což řadí ČR v mezinárodním srovnání na poslední příčky mezi evropskými zeměmi.</w:t>
      </w:r>
    </w:p>
    <w:p w:rsidR="009D46E6" w:rsidRPr="009A44ED" w:rsidRDefault="009D46E6" w:rsidP="000E3106">
      <w:pPr>
        <w:pStyle w:val="Odrky"/>
        <w:contextualSpacing w:val="0"/>
      </w:pPr>
      <w:r w:rsidRPr="009A44ED">
        <w:rPr>
          <w:b/>
        </w:rPr>
        <w:t>Významné postavení v podnikovém výzkumu mají podniky pod zahraniční kontrolou</w:t>
      </w:r>
      <w:r w:rsidRPr="009A44ED">
        <w:t>, kde je realizováno více než 52 % celkových podnikových výdajů na VaV a kde pracuje 48 % všech zaměstnanců ve výzkumu a vývoji v podnikatelském sektoru. Trend posledních let naznačuje, že podíl zahraničních afilací na výzkumných a vývojových aktivitách podnikatelského sektoru v ČR roste.</w:t>
      </w:r>
    </w:p>
    <w:p w:rsidR="009D46E6" w:rsidRPr="009A44ED" w:rsidRDefault="009D46E6" w:rsidP="000E3106">
      <w:pPr>
        <w:pStyle w:val="Odrky"/>
        <w:contextualSpacing w:val="0"/>
      </w:pPr>
      <w:r w:rsidRPr="009A44ED">
        <w:t xml:space="preserve">Mezi podniky pod zahraniční kontrolou a domácími podniky existují významné rozdíly ve způsobu financování výzkumných a vývojových aktivit. Zatímco </w:t>
      </w:r>
      <w:r w:rsidRPr="009A44ED">
        <w:rPr>
          <w:b/>
        </w:rPr>
        <w:t>podniky pod zahraniční kontrolou financovaly své výdaje na VaV v roce 2012 z více než 95 % ze soukromých zdrojů</w:t>
      </w:r>
      <w:r w:rsidRPr="009A44ED">
        <w:t xml:space="preserve"> (tuzemských a zahraničních), domácí podniky v mnohem větší míře využívají k financování výzkumných a vývojových aktivit veřejné zdroje. V roce 2012 </w:t>
      </w:r>
      <w:r w:rsidRPr="009A44ED">
        <w:rPr>
          <w:b/>
        </w:rPr>
        <w:t>domácí podniky financovaly téměř třetinu veškerých výdajů na VaV z veřejných finančních zdrojů</w:t>
      </w:r>
      <w:r w:rsidRPr="009A44ED">
        <w:t xml:space="preserve"> (tuzemských a zahraničních).  Tato „závislost“ domácího podnikatelského sektoru na veřejných zdrojích pro výzkum a vývoj je určitým rizikem pro dlouhodobou udržitelnost pozitivního trendu růstu výdajů na VaV domácích podniků.</w:t>
      </w:r>
    </w:p>
    <w:p w:rsidR="009D46E6" w:rsidRDefault="009D46E6">
      <w:pPr>
        <w:spacing w:before="200" w:after="200" w:line="276" w:lineRule="auto"/>
        <w:jc w:val="left"/>
      </w:pPr>
      <w:r>
        <w:br w:type="page"/>
      </w:r>
    </w:p>
    <w:p w:rsidR="009D46E6" w:rsidRPr="009A44ED" w:rsidRDefault="009D46E6" w:rsidP="000E3106">
      <w:pPr>
        <w:pStyle w:val="Odrky"/>
        <w:contextualSpacing w:val="0"/>
      </w:pPr>
      <w:r w:rsidRPr="009A44ED">
        <w:t xml:space="preserve">Z hlediska odvětvové struktury je </w:t>
      </w:r>
      <w:r w:rsidRPr="009A44ED">
        <w:rPr>
          <w:b/>
        </w:rPr>
        <w:t>tahounem podnikového VaV automobilový průmysl</w:t>
      </w:r>
      <w:r w:rsidRPr="009A44ED">
        <w:t xml:space="preserve">, který představuje dlouhodobě dominantní odvětví jak z hlediska investic do průmyslového VaV, tak i z pohledu počtu zaměstnanců ve VaV. Je zřejmé, že lídrem v této oblasti je společnost Škoda Auto, která investuje do VaV okolo 80 % celkových investic v automobilovém průmyslu. </w:t>
      </w:r>
      <w:r w:rsidRPr="009A44ED">
        <w:rPr>
          <w:b/>
        </w:rPr>
        <w:t>Druhým nejvýznamnějším průmyslovým odvětvím z pohledu investic do VaV i počtu zaměstnanců ve VaV je strojírenství</w:t>
      </w:r>
      <w:r w:rsidRPr="009A44ED">
        <w:t xml:space="preserve"> zahrnující výrobu strojů a zařízení, jejich opravy a instalace. Mezi průmyslová odvětví s rychle rostoucími investicemi do VaV dále patří potravinářský průmysl a elektrotechnický průmysl. Obě tato odvětví se přitom řadí mezi spíše větší průmyslová odvětví z hlediska tvorby přidané hodnoty. </w:t>
      </w:r>
    </w:p>
    <w:p w:rsidR="009D46E6" w:rsidRPr="009A44ED" w:rsidRDefault="009D46E6" w:rsidP="000E3106">
      <w:pPr>
        <w:pStyle w:val="Odrky"/>
        <w:contextualSpacing w:val="0"/>
      </w:pPr>
      <w:r w:rsidRPr="009A44ED">
        <w:t xml:space="preserve">Vysoké podíly automobilového a strojírenského průmyslu na celkových investicích do průmyslového VaV jsou samozřejmě do značné míry ovlivněny velikostí těchto odvětví ve struktuře české ekonomiky, neboť tato dvě odvětví vytváří téměř třetinu hrubé přidané hodnoty zpracovatelského průmyslu. Proto je vhodnější podívat se na </w:t>
      </w:r>
      <w:r w:rsidRPr="009A44ED">
        <w:rPr>
          <w:b/>
        </w:rPr>
        <w:t>intenzitu průmyslového VaV (a její vývoj) v jednotlivých odvětvích. Ta se v automobilovém průmyslu i strojírenství drží stabilně nad průměrem zpracovatelského průmyslu</w:t>
      </w:r>
      <w:r w:rsidRPr="009A44ED">
        <w:t xml:space="preserve"> a dosahuje 7 % v automobilovém průmyslu, resp. 4 % ve strojírenství. </w:t>
      </w:r>
    </w:p>
    <w:p w:rsidR="009D46E6" w:rsidRPr="009A44ED" w:rsidRDefault="009D46E6" w:rsidP="000E3106">
      <w:pPr>
        <w:pStyle w:val="Odrky"/>
        <w:contextualSpacing w:val="0"/>
      </w:pPr>
      <w:r w:rsidRPr="009A44ED">
        <w:t xml:space="preserve">Díky společnosti Škoda Auto jsou tradičně nejvyšší investice do podnikového výzkumu ve Středočeském kraji. Největší koncentrace podnikových výzkumných kapacit sledováno počtem zaměstnanců ve VaV je však v Praze, kde pracuje 26 % všech zaměstnanců podnikového VaV, následované Jihomoravským krajem s 16% podílem na celkové zaměstnanosti ve VaV podnikového sektoru. Jihomoravský kraj také patří společně s Plzeňským krajem mezi nejrychleji rostoucí regiony z hlediska počtu zaměstnanců ve VaV v podnikatelském sektoru. </w:t>
      </w:r>
    </w:p>
    <w:p w:rsidR="009D46E6" w:rsidRPr="009A44ED" w:rsidRDefault="009D46E6" w:rsidP="000E3106">
      <w:pPr>
        <w:pStyle w:val="Odrky"/>
        <w:contextualSpacing w:val="0"/>
      </w:pPr>
      <w:r w:rsidRPr="009A44ED">
        <w:t xml:space="preserve">Podniky v ČR (zejména malé a střední podniky) se relativně intenzivně zapojují do projektů mezinárodní spolupráce ve výzkumu, vývoji a inovacích. Jen </w:t>
      </w:r>
      <w:r w:rsidRPr="009A44ED">
        <w:rPr>
          <w:b/>
        </w:rPr>
        <w:t>v 7. rámcovém programu EU pro výzkum, vývoj a demonstrace (7. RP) dosáhl podíl malých a středních podniků přes 21 %</w:t>
      </w:r>
      <w:r w:rsidRPr="009A44ED">
        <w:t xml:space="preserve"> celkového počtu českých účastí i celkového objemu získaných prostředků, přičemž cílem Evropské komise je dosáhnout 15% podílu soukromého sektoru. Z oborového hlediska se podniky zapojují zejména do projektů z oblasti nanotechnologií a poskytování ICT služeb. Intenzivní je mezinárodní spolupráce podniků také v dalších evropských programech a iniciativách, zejména v programu EUREKA.</w:t>
      </w:r>
    </w:p>
    <w:p w:rsidR="009D46E6" w:rsidRPr="009A44ED" w:rsidRDefault="009D46E6" w:rsidP="000E3106">
      <w:pPr>
        <w:pStyle w:val="Odrky"/>
        <w:contextualSpacing w:val="0"/>
      </w:pPr>
      <w:r w:rsidRPr="009A44ED">
        <w:t xml:space="preserve">Kromě vlastních výzkumně-vývojových aktivit je pro posílení konkurenceschopnosti podniků důležitá také celková absorpční kapacita pro využívání znalostí a nových poznatků a jejich aplikaci v inovacích. </w:t>
      </w:r>
      <w:r w:rsidRPr="009A44ED">
        <w:rPr>
          <w:b/>
        </w:rPr>
        <w:t>V porovnání intenzity inovačních aktivit patří ČR mezi státy, kde inovační aktivity vykazuje více než polovina podniků</w:t>
      </w:r>
      <w:r w:rsidRPr="009A44ED">
        <w:t>. Ve struktuře nákladů na inovace hrají v ČR dlouhodobě nejvýznamnější roli investice do pořízení strojů, zařízení a softwaru, které tvoří přes polovinu celkových nákladů na inovace. To do značné míry naznačuje adaptivní charakter inovací, kdy podniky v ČR spíše přejímají vyspělé technologie a výrobní procesy a zavádějí je ve svých výrobách. Určitý rozdíl ve struktuře nákladů na inovace je u podniků pod zahraniční kontrolou, které vynakládají výrazně vyšší objem prostředků na VaV za nákup externích služeb (patrně od mateřských společností či podniků ve skupině).</w:t>
      </w:r>
    </w:p>
    <w:p w:rsidR="009D46E6" w:rsidRPr="009A44ED" w:rsidRDefault="009D46E6" w:rsidP="000E3106">
      <w:pPr>
        <w:pStyle w:val="Odrky"/>
        <w:contextualSpacing w:val="0"/>
      </w:pPr>
      <w:r w:rsidRPr="009A44ED">
        <w:t xml:space="preserve">Pozitivním signálem pro růst konkurenceschopnosti podnikového sektoru v ČR je dlouhodobý růst exportu high-tech výrobků a relativně vysoký podíl vývozu high-tech výrobků na celkovém vývozu. Největší podíl na vývozu high-tech tvoří výpočetní technika, elektronika a komunikační technologie. Jsou to však právě tato odvětví, která dosahují relativně nízký objem přidané hodnoty. To naznačuje, že </w:t>
      </w:r>
      <w:r w:rsidRPr="009A44ED">
        <w:rPr>
          <w:b/>
        </w:rPr>
        <w:t>export high-tech produkce není spojen se znalostně náročnými výrobními aktivitami</w:t>
      </w:r>
      <w:r w:rsidRPr="009A44ED">
        <w:t xml:space="preserve"> a jedná se spíše o kompletaci výrobků. Celkový podíl high-tech odvětví zpracovatelského průmyslu v ČR na přidané hodnotě zpracovatelského průmyslu je v porovnání s evropskými zeměmi velmi nízký. ČR tak zůstává ve zpracovatelském průmyslu konkurenceschopná především v medium high-tech a medium low-tech činnostech.</w:t>
      </w:r>
    </w:p>
    <w:p w:rsidR="009D46E6" w:rsidRDefault="009D46E6">
      <w:pPr>
        <w:spacing w:before="200" w:after="200" w:line="276" w:lineRule="auto"/>
        <w:jc w:val="left"/>
      </w:pPr>
      <w:r>
        <w:br w:type="page"/>
      </w:r>
    </w:p>
    <w:p w:rsidR="009D46E6" w:rsidRPr="009A44ED" w:rsidRDefault="009D46E6" w:rsidP="000E3106">
      <w:pPr>
        <w:pStyle w:val="Odrky"/>
        <w:contextualSpacing w:val="0"/>
      </w:pPr>
      <w:r w:rsidRPr="009A44ED">
        <w:t xml:space="preserve">Významnou podmínkou pro zachování ekonomické konkurenceschopnosti, vysoké úrovně vzdělání a kulturního rozvoje společnosti je kvalitní výzkum realizovaný ve veřejném sektoru. Rozsah a kvalita veřejného výzkumu je určitým projevem vyspělosti společnosti a zároveň důležitým faktorem pro rozhodování soukromého sektoru o rozsahu investic do podnikových aktivit založených na využívání nových znalostí a poznatků. V ČR je veřejný výzkum realizován tradičně ve vysokoškolském sektoru a ve vládním sektoru, který zahrnuje převážně ústavy Akademie věd ČR a dále výzkumné ústavy zřizované jednotlivými ministerstvy (resortní výzkumné ústavy). V roce 2012 dosáhly celkové výdaje na VaV ve veřejném výzkumu 33,2 mld. Kč, což představuje necelých 46 % celkových výdajů na VaV. </w:t>
      </w:r>
      <w:r w:rsidRPr="009A44ED">
        <w:rPr>
          <w:b/>
        </w:rPr>
        <w:t>Za poslední dva roky tak došlo k poměrně významnému nárůstu podílu veřejného výzkumu ve výzkumném systému ČR</w:t>
      </w:r>
      <w:r w:rsidRPr="009A44ED">
        <w:t xml:space="preserve">, neboť ještě v roce 2010 bylo ve veřejném výzkumu realizováno necelých 42 % celkových výdajů na VaV. K nárůstu došlo také v případě počtu zaměstnanců ve veřejném výzkumu, kde v roce 2012 pracovalo téměř 28 tisíc osob přepočtených na plný pracovní úvazek. Nárůst počtu zaměstnanců ve veřejném VaV mezi roky 2010 a 2012, který dosáhl 10,8 %, však byl nižší než nárůst počtu zaměstnanců ve VaV v podnikatelském sektoru (19,3 %). Stejně tak zvýšení počtu zaměstnanců ve veřejném VaV nekorespondovalo s nárůstem výdajů na VaV v tomto sektoru (o více než 50 % v období 2010 – 2012), což potvrzuje skutečnost, že v tomto období došlo ve veřejném výzkumu k rozsáhlým investicím do rozvoje výzkumné infrastruktury. </w:t>
      </w:r>
    </w:p>
    <w:p w:rsidR="009D46E6" w:rsidRPr="009A44ED" w:rsidRDefault="009D46E6" w:rsidP="000E3106">
      <w:pPr>
        <w:pStyle w:val="Odrky"/>
        <w:contextualSpacing w:val="0"/>
      </w:pPr>
      <w:r w:rsidRPr="009A44ED">
        <w:t xml:space="preserve">Zatímco odvětvová, vlastnická i regionální struktura podnikového výzkumu zůstává v ČR relativně stabilní, </w:t>
      </w:r>
      <w:r w:rsidRPr="009A44ED">
        <w:rPr>
          <w:b/>
        </w:rPr>
        <w:t>ve veřejném výzkumu dochází v posledních letech k významným změnám v sektorové struktuře výdajů, pracovišť i zaměstnanců</w:t>
      </w:r>
      <w:r w:rsidRPr="009A44ED">
        <w:t xml:space="preserve">. Strukturální změny veřejného VaV se projevují rychlým růstem finančních a personálních kapacit vysokoškolského sektoru při relativně nižším posilování VaV ve vládním sektoru. Zatímco v roce 2005 pracovalo ve vysokoškolském sektoru 50 % všech přepočtených zaměstnanců (FTE) ve veřejném VaV, do roku 2012 vzrostl jejich podíl na více než 59 %. Ještě výraznější byl ve vysokoškolském sektoru nárůst výdajů na VaV a podílu tohoto sektoru na celkových výdajích na VaV ve veřejném sektoru. </w:t>
      </w:r>
      <w:r w:rsidRPr="009A44ED">
        <w:rPr>
          <w:b/>
        </w:rPr>
        <w:t>Zatímco v roce 2010 byl poměr výdajů na VaV vysokoškolském a vládním sektoru 48:52, do roku 2012 se tento poměr zcela obrátil na 40:60</w:t>
      </w:r>
      <w:r w:rsidRPr="009A44ED">
        <w:t>. Jak již bylo uvedeno výše, významný podíl na tomto růstu měly investice vysokoškolského sektoru do výstavby a modernizace výzkumné infrastruktury financované z prostředků Strukturálních fondů EU. Jak však naznačují finanční plány nově vybudovaných výzkumných center a infrastruktur, udržení jejich provozu bude klást značné nároky nejen na zdroje ze státního rozpočtu a také na schopnost těchto pracovišť získat dodatečné finanční zdroje ze zahraniční a ze soukromého sektoru.</w:t>
      </w:r>
    </w:p>
    <w:p w:rsidR="009D46E6" w:rsidRPr="009A44ED" w:rsidRDefault="009D46E6" w:rsidP="000E3106">
      <w:pPr>
        <w:pStyle w:val="Odrky"/>
        <w:contextualSpacing w:val="0"/>
      </w:pPr>
      <w:r w:rsidRPr="009A44ED">
        <w:t xml:space="preserve">Údaje o zdrojích financování veřejného výzkumu naznačují, že relativně větší schopnost získat prostředky ze soukromého sektoru (tuzemského i zahraničního) vykazují ústavy Akademie věd ČR než vysoké školy. Zatímco vysoké školy financovaly v roce 2012 jen 0,8 % celkových výdajů na VaV ze soukromých zdrojů, ústavy Akademie věd ČR získaly na VaV 14,7 % ze soukromých zdrojů. Nutno však dodat, že dominantě se na tom podílí Ústav organické chemie a biochemie AV ČR, který získává převážnou část svých prostředků ze zahraničních soukromých zdrojů. </w:t>
      </w:r>
    </w:p>
    <w:p w:rsidR="009D46E6" w:rsidRPr="009A44ED" w:rsidRDefault="009D46E6" w:rsidP="000E3106">
      <w:pPr>
        <w:pStyle w:val="Odrky"/>
        <w:contextualSpacing w:val="0"/>
      </w:pPr>
      <w:r w:rsidRPr="009A44ED">
        <w:t xml:space="preserve">Nejvýznamnějším zdrojem financování veřejného výzkumu zůstává samozřejmě státní rozpočet, z nějž je financováno téměř 64 % výdajů na VaV ve veřejném sektoru. </w:t>
      </w:r>
      <w:r w:rsidRPr="009A44ED">
        <w:rPr>
          <w:b/>
        </w:rPr>
        <w:t>V posledních letech se výrazně mění způsob financování veřejného výzkumu ze státního rozpočtu, kdy roste podíl účelové podpory na úkor financování institucionálního</w:t>
      </w:r>
      <w:r w:rsidRPr="009A44ED">
        <w:t xml:space="preserve">. Zatímco v roce 2005 tvořila institucionální podpora 68 % prostředků ze státního rozpočtu alokovaných do veřejného výzkumu, v roce 2012 bylo ve veřejném výzkumu rozděleno formou institucionální podpory 60 % prostředků ze státního rozpočtu na VaV. Nárůst podílu veřejného výzkumu financovaného formou účelové podpory zvyšuje nároky na výzkumníky, kteří se musejí častěji ucházet o účelové granty. </w:t>
      </w:r>
    </w:p>
    <w:p w:rsidR="009D46E6" w:rsidRPr="009A44ED" w:rsidRDefault="009D46E6" w:rsidP="000E3106">
      <w:pPr>
        <w:pStyle w:val="Odrky"/>
        <w:contextualSpacing w:val="0"/>
      </w:pPr>
      <w:r w:rsidRPr="009A44ED">
        <w:t xml:space="preserve">Růst výdajů na VaV ve veřejném sektoru zaznamenaný od roku 2005 byl doprovázen jak absolutním růstem publikačních výstupů autorů z ČR, tak také růstem podílu těchto publikací na světové produkci. Meziročně však došlo v roce 2012 k mírnému poklesu počtu publikací evidovaných v databázi Thomson Reuters Web of Science a podíl ČR na světové produkci publikací tak stagnoval na úrovni 0,76 %. Počet publikací na jednoho pracovníka ve VaV ve veřejném sektoru se však v ČR stále drží na úrovni evropského průměru. </w:t>
      </w:r>
    </w:p>
    <w:p w:rsidR="009D46E6" w:rsidRDefault="009D46E6">
      <w:pPr>
        <w:spacing w:before="200" w:after="200" w:line="276" w:lineRule="auto"/>
        <w:jc w:val="left"/>
      </w:pPr>
      <w:r>
        <w:br w:type="page"/>
      </w:r>
    </w:p>
    <w:p w:rsidR="009D46E6" w:rsidRPr="009A44ED" w:rsidRDefault="009D46E6" w:rsidP="000E3106">
      <w:pPr>
        <w:pStyle w:val="Odrky"/>
        <w:contextualSpacing w:val="0"/>
      </w:pPr>
      <w:r w:rsidRPr="009A44ED">
        <w:t xml:space="preserve">Jinak je tomu v případě citovanosti publikací, kdy </w:t>
      </w:r>
      <w:r w:rsidRPr="009A44ED">
        <w:rPr>
          <w:b/>
        </w:rPr>
        <w:t>publikace českých autorů jsou v průměru na jednoho pracovníka ve veřejném VaV citovány méně, než je průměr EU27</w:t>
      </w:r>
      <w:r w:rsidRPr="009A44ED">
        <w:t>. V porovnání se světem však také citovanost publikací českých autorů v čase roste a oborově normalizovaná citovanost publikací českých autorů převyšuje od roku 2010 světový průměr. Ve světovém kontextu patří mezi relativně velké (podle počtu publikací) a zároveň vysoce citované obory v ČR multidisciplinární fyzika, jaderná fyzika, jaderné vědy a technologie. Nejvíce citovanými obory v pětiletém průměru jsou všeobecné lékařství i další medicínské obory, jako je revmatologie, kardiovaskulární medicína a lékařská laboratorní technologie.</w:t>
      </w:r>
    </w:p>
    <w:p w:rsidR="009D46E6" w:rsidRPr="009A44ED" w:rsidRDefault="009D46E6" w:rsidP="000E3106">
      <w:pPr>
        <w:pStyle w:val="Odrky"/>
        <w:contextualSpacing w:val="0"/>
      </w:pPr>
      <w:r w:rsidRPr="009A44ED">
        <w:t xml:space="preserve">Také výstupy veřejného výzkumu v podobě udělených patentů zaznamenaly v posledních letech poměrně rychlý nárůst. Zatímco ještě v roce 2008 bylo vysokým školám a veřejným výzkumným institucím uděleno nebo validováno Úřadem průmyslového vlastnictví ČR (ÚPV) jen 47 patentů pro území ČR, v roce 2011 to již bylo 144 udělených patentů a v roce 2012 dokonce 190. </w:t>
      </w:r>
      <w:r w:rsidRPr="009A44ED">
        <w:rPr>
          <w:b/>
        </w:rPr>
        <w:t>Enormně rychle rostly patenty udělené pro ČR vysokým školám</w:t>
      </w:r>
      <w:r w:rsidRPr="009A44ED">
        <w:t>, konkrétně z 19 v roce 2008 na 142 v roce 2012. Patentová aktivita českých subjektů (výzkumných organizací i podniků) v zahraničí však i přes trvalý nárůst výrazně zaostává za vyspělými zeměmi EU. Zatímco v EU27 bylo v roce 2012 podáno v průměru 129 přihlášek vynálezů u EPO na jeden milion obyvatel v ČR to bylo pouze 13 přihlášek.</w:t>
      </w:r>
    </w:p>
    <w:p w:rsidR="009D46E6" w:rsidRPr="009A44ED" w:rsidRDefault="009D46E6" w:rsidP="000E3106">
      <w:pPr>
        <w:pStyle w:val="Odrky"/>
        <w:contextualSpacing w:val="0"/>
      </w:pPr>
      <w:r w:rsidRPr="009A44ED">
        <w:t>Nárůst patentové aktivity ve veřejném výzkumu v posledních letech ale není doprovázen odpovídajícím nárůstem počtu licencovaných patentů a souvisejících licenčních příjmů. Při abstrahování od licenčních příjmů Ústavu organické chemie a biochemie AV ČR, který má v tomto ohledu výjimečné postavení, získaly vysoké školy a veřejné výzkumné instituce v roce 2012 necelých 19 mil. Kč z licenčních poplatků za poskytnuté právo využívat vynálezy či technická řešení chráněná patentem nebo užitným vzorem, přičemž pouze 1,2 mil. Kč pocházelo z nových smluv.</w:t>
      </w:r>
    </w:p>
    <w:p w:rsidR="009D46E6" w:rsidRPr="009A44ED" w:rsidRDefault="009D46E6" w:rsidP="000E3106">
      <w:pPr>
        <w:pStyle w:val="Odrky"/>
        <w:contextualSpacing w:val="0"/>
      </w:pPr>
      <w:r w:rsidRPr="009A44ED">
        <w:t xml:space="preserve">Důležitou součástí rozvoje výzkumného systému je posilování mezinárodní spolupráce ve výzkumu. Hlavním nástrojem na podporu evropské výzkumné spolupráce je 7. RP, který bude od roku 2014 nahrazen novým rámcovým programem pro výzkum a inovace Horizont 2020. </w:t>
      </w:r>
      <w:r w:rsidRPr="009A44ED">
        <w:rPr>
          <w:b/>
        </w:rPr>
        <w:t>Výzkumné organizace se do konce roku 2012 zapojily do 676 výzkumných projektů 7. RP s příspěvkem přesahujícím 136 mil. Eur</w:t>
      </w:r>
      <w:r w:rsidRPr="009A44ED">
        <w:t>. Míra zapojení vysokoškolského a vládního sektoru je v ČR velmi vyrovnaná s mírnou převahou týmů z vysokoškolského sektoru. Nejvíce se na řešení projektů 7. RP podílí Univerzita Karlova v Praze, ČVUT v Praze, Masarykova univerzita a Ústav jaderného výzkumu Řež, který svou účast opírá zejména o aktivity v programu EURATOM. Do budoucna bude zapojení veřejného výzkumu do mezinárodní spolupráce hrát významnou roli při získávání mimorozpočtových zdrojů financování výzkumných aktivit, při využívání nově vybudovaných výzkumných infrastruktur a při získávání nových partnerství pro zvýšení kvality a mezinárodní otevřenosti českého výzkumu.</w:t>
      </w:r>
    </w:p>
    <w:p w:rsidR="009D46E6" w:rsidRDefault="009D46E6" w:rsidP="002711A9"/>
    <w:p w:rsidR="009D46E6" w:rsidRDefault="009D46E6" w:rsidP="002711A9">
      <w:pPr>
        <w:spacing w:before="200" w:after="200" w:line="276" w:lineRule="auto"/>
        <w:jc w:val="left"/>
      </w:pPr>
      <w:r>
        <w:br w:type="page"/>
      </w:r>
    </w:p>
    <w:p w:rsidR="009D46E6" w:rsidRPr="00BC1D05" w:rsidRDefault="009D46E6" w:rsidP="00750D9B">
      <w:pPr>
        <w:pStyle w:val="Caption"/>
      </w:pPr>
      <w:bookmarkStart w:id="7" w:name="_Toc369091919"/>
      <w:r>
        <w:t xml:space="preserve">Tabulka </w:t>
      </w:r>
      <w:fldSimple w:instr=" SEQ Tabulka \* ARABIC \s 1 ">
        <w:r>
          <w:rPr>
            <w:noProof/>
          </w:rPr>
          <w:t>1</w:t>
        </w:r>
      </w:fldSimple>
      <w:r w:rsidRPr="00BC1D05">
        <w:t xml:space="preserve">: </w:t>
      </w:r>
      <w:r>
        <w:t>Klíčové ukazatele – Česká republika v čase</w:t>
      </w:r>
      <w:bookmarkEnd w:id="7"/>
    </w:p>
    <w:tbl>
      <w:tblPr>
        <w:tblW w:w="9587" w:type="dxa"/>
        <w:jc w:val="center"/>
        <w:tblLayout w:type="fixed"/>
        <w:tblCellMar>
          <w:left w:w="0" w:type="dxa"/>
          <w:right w:w="0" w:type="dxa"/>
        </w:tblCellMar>
        <w:tblLook w:val="00A0"/>
      </w:tblPr>
      <w:tblGrid>
        <w:gridCol w:w="3983"/>
        <w:gridCol w:w="624"/>
        <w:gridCol w:w="623"/>
        <w:gridCol w:w="623"/>
        <w:gridCol w:w="623"/>
        <w:gridCol w:w="623"/>
        <w:gridCol w:w="623"/>
        <w:gridCol w:w="623"/>
        <w:gridCol w:w="623"/>
        <w:gridCol w:w="619"/>
      </w:tblGrid>
      <w:tr w:rsidR="009D46E6" w:rsidRPr="00DB1559" w:rsidTr="00DB1559">
        <w:trPr>
          <w:trHeight w:val="255"/>
          <w:jc w:val="center"/>
        </w:trPr>
        <w:tc>
          <w:tcPr>
            <w:tcW w:w="2077" w:type="pct"/>
            <w:tcBorders>
              <w:top w:val="single" w:sz="8" w:space="0" w:color="FFFFFF"/>
              <w:left w:val="single" w:sz="8" w:space="0" w:color="FFFFFF"/>
              <w:bottom w:val="single" w:sz="4" w:space="0" w:color="943634"/>
              <w:right w:val="single" w:sz="8" w:space="0" w:color="FFFFFF"/>
            </w:tcBorders>
            <w:shd w:val="clear" w:color="auto" w:fill="F2DBDB"/>
            <w:noWrap/>
            <w:vAlign w:val="center"/>
          </w:tcPr>
          <w:p w:rsidR="009D46E6" w:rsidRPr="00DB1559" w:rsidRDefault="009D46E6" w:rsidP="00DB1559">
            <w:pPr>
              <w:spacing w:after="0" w:line="240" w:lineRule="auto"/>
              <w:jc w:val="left"/>
              <w:rPr>
                <w:rFonts w:cs="Tahoma"/>
                <w:b/>
                <w:bCs/>
                <w:sz w:val="14"/>
                <w:szCs w:val="14"/>
              </w:rPr>
            </w:pPr>
          </w:p>
        </w:tc>
        <w:tc>
          <w:tcPr>
            <w:tcW w:w="325" w:type="pct"/>
            <w:tcBorders>
              <w:top w:val="single" w:sz="8" w:space="0" w:color="FFFFFF"/>
              <w:left w:val="nil"/>
              <w:bottom w:val="single" w:sz="4" w:space="0" w:color="943634"/>
              <w:right w:val="single" w:sz="8" w:space="0" w:color="FFFFFF"/>
            </w:tcBorders>
            <w:shd w:val="clear" w:color="auto" w:fill="F2DBDB"/>
            <w:noWrap/>
            <w:vAlign w:val="center"/>
          </w:tcPr>
          <w:p w:rsidR="009D46E6" w:rsidRPr="00DB1559" w:rsidRDefault="009D46E6" w:rsidP="00DB1559">
            <w:pPr>
              <w:spacing w:after="0" w:line="240" w:lineRule="auto"/>
              <w:jc w:val="right"/>
              <w:rPr>
                <w:rFonts w:cs="Tahoma"/>
                <w:b/>
                <w:bCs/>
                <w:sz w:val="14"/>
                <w:szCs w:val="14"/>
              </w:rPr>
            </w:pPr>
            <w:r w:rsidRPr="00DB1559">
              <w:rPr>
                <w:rFonts w:cs="Tahoma"/>
                <w:b/>
                <w:bCs/>
                <w:sz w:val="14"/>
                <w:szCs w:val="14"/>
              </w:rPr>
              <w:t>1995</w:t>
            </w:r>
          </w:p>
        </w:tc>
        <w:tc>
          <w:tcPr>
            <w:tcW w:w="325" w:type="pct"/>
            <w:tcBorders>
              <w:top w:val="single" w:sz="8" w:space="0" w:color="FFFFFF"/>
              <w:left w:val="single" w:sz="8" w:space="0" w:color="FFFFFF"/>
              <w:bottom w:val="single" w:sz="4" w:space="0" w:color="943634"/>
              <w:right w:val="single" w:sz="8" w:space="0" w:color="FFFFFF"/>
            </w:tcBorders>
            <w:shd w:val="clear" w:color="auto" w:fill="F2DBDB"/>
            <w:noWrap/>
            <w:vAlign w:val="center"/>
          </w:tcPr>
          <w:p w:rsidR="009D46E6" w:rsidRPr="00DB1559" w:rsidRDefault="009D46E6" w:rsidP="00DB1559">
            <w:pPr>
              <w:spacing w:after="0" w:line="240" w:lineRule="auto"/>
              <w:jc w:val="right"/>
              <w:rPr>
                <w:rFonts w:cs="Tahoma"/>
                <w:b/>
                <w:bCs/>
                <w:sz w:val="14"/>
                <w:szCs w:val="14"/>
              </w:rPr>
            </w:pPr>
            <w:r w:rsidRPr="00DB1559">
              <w:rPr>
                <w:rFonts w:cs="Tahoma"/>
                <w:b/>
                <w:bCs/>
                <w:sz w:val="14"/>
                <w:szCs w:val="14"/>
              </w:rPr>
              <w:t>2000</w:t>
            </w:r>
          </w:p>
        </w:tc>
        <w:tc>
          <w:tcPr>
            <w:tcW w:w="325" w:type="pct"/>
            <w:tcBorders>
              <w:top w:val="single" w:sz="8" w:space="0" w:color="FFFFFF"/>
              <w:left w:val="single" w:sz="8" w:space="0" w:color="FFFFFF"/>
              <w:bottom w:val="single" w:sz="4" w:space="0" w:color="943634"/>
              <w:right w:val="single" w:sz="8" w:space="0" w:color="FFFFFF"/>
            </w:tcBorders>
            <w:shd w:val="clear" w:color="auto" w:fill="F2DBDB"/>
            <w:noWrap/>
            <w:vAlign w:val="center"/>
          </w:tcPr>
          <w:p w:rsidR="009D46E6" w:rsidRPr="00DB1559" w:rsidRDefault="009D46E6" w:rsidP="00DB1559">
            <w:pPr>
              <w:spacing w:after="0" w:line="240" w:lineRule="auto"/>
              <w:jc w:val="right"/>
              <w:rPr>
                <w:rFonts w:cs="Tahoma"/>
                <w:b/>
                <w:bCs/>
                <w:sz w:val="14"/>
                <w:szCs w:val="14"/>
              </w:rPr>
            </w:pPr>
            <w:r w:rsidRPr="00DB1559">
              <w:rPr>
                <w:rFonts w:cs="Tahoma"/>
                <w:b/>
                <w:bCs/>
                <w:sz w:val="14"/>
                <w:szCs w:val="14"/>
              </w:rPr>
              <w:t>2005</w:t>
            </w:r>
          </w:p>
        </w:tc>
        <w:tc>
          <w:tcPr>
            <w:tcW w:w="325" w:type="pct"/>
            <w:tcBorders>
              <w:top w:val="single" w:sz="8" w:space="0" w:color="FFFFFF"/>
              <w:left w:val="single" w:sz="8" w:space="0" w:color="FFFFFF"/>
              <w:bottom w:val="single" w:sz="4" w:space="0" w:color="943634"/>
              <w:right w:val="single" w:sz="8" w:space="0" w:color="FFFFFF"/>
            </w:tcBorders>
            <w:shd w:val="clear" w:color="auto" w:fill="F2DBDB"/>
            <w:noWrap/>
            <w:vAlign w:val="center"/>
          </w:tcPr>
          <w:p w:rsidR="009D46E6" w:rsidRPr="00DB1559" w:rsidRDefault="009D46E6" w:rsidP="00DB1559">
            <w:pPr>
              <w:spacing w:after="0" w:line="240" w:lineRule="auto"/>
              <w:jc w:val="right"/>
              <w:rPr>
                <w:rFonts w:cs="Tahoma"/>
                <w:b/>
                <w:bCs/>
                <w:sz w:val="14"/>
                <w:szCs w:val="14"/>
              </w:rPr>
            </w:pPr>
            <w:r w:rsidRPr="00DB1559">
              <w:rPr>
                <w:rFonts w:cs="Tahoma"/>
                <w:b/>
                <w:bCs/>
                <w:sz w:val="14"/>
                <w:szCs w:val="14"/>
              </w:rPr>
              <w:t>2007</w:t>
            </w:r>
          </w:p>
        </w:tc>
        <w:tc>
          <w:tcPr>
            <w:tcW w:w="325" w:type="pct"/>
            <w:tcBorders>
              <w:top w:val="single" w:sz="8" w:space="0" w:color="FFFFFF"/>
              <w:left w:val="single" w:sz="8" w:space="0" w:color="FFFFFF"/>
              <w:bottom w:val="single" w:sz="4" w:space="0" w:color="943634"/>
              <w:right w:val="single" w:sz="8" w:space="0" w:color="FFFFFF"/>
            </w:tcBorders>
            <w:shd w:val="clear" w:color="auto" w:fill="F2DBDB"/>
            <w:noWrap/>
            <w:vAlign w:val="center"/>
          </w:tcPr>
          <w:p w:rsidR="009D46E6" w:rsidRPr="00DB1559" w:rsidRDefault="009D46E6" w:rsidP="00DB1559">
            <w:pPr>
              <w:spacing w:after="0" w:line="240" w:lineRule="auto"/>
              <w:jc w:val="right"/>
              <w:rPr>
                <w:rFonts w:cs="Tahoma"/>
                <w:b/>
                <w:bCs/>
                <w:sz w:val="14"/>
                <w:szCs w:val="14"/>
              </w:rPr>
            </w:pPr>
            <w:r w:rsidRPr="00DB1559">
              <w:rPr>
                <w:rFonts w:cs="Tahoma"/>
                <w:b/>
                <w:bCs/>
                <w:sz w:val="14"/>
                <w:szCs w:val="14"/>
              </w:rPr>
              <w:t>2008</w:t>
            </w:r>
          </w:p>
        </w:tc>
        <w:tc>
          <w:tcPr>
            <w:tcW w:w="325" w:type="pct"/>
            <w:tcBorders>
              <w:top w:val="single" w:sz="8" w:space="0" w:color="FFFFFF"/>
              <w:left w:val="single" w:sz="8" w:space="0" w:color="FFFFFF"/>
              <w:bottom w:val="single" w:sz="4" w:space="0" w:color="943634"/>
              <w:right w:val="single" w:sz="8" w:space="0" w:color="FFFFFF"/>
            </w:tcBorders>
            <w:shd w:val="clear" w:color="auto" w:fill="F2DBDB"/>
            <w:noWrap/>
            <w:vAlign w:val="center"/>
          </w:tcPr>
          <w:p w:rsidR="009D46E6" w:rsidRPr="00DB1559" w:rsidRDefault="009D46E6" w:rsidP="00DB1559">
            <w:pPr>
              <w:spacing w:after="0" w:line="240" w:lineRule="auto"/>
              <w:jc w:val="right"/>
              <w:rPr>
                <w:rFonts w:cs="Tahoma"/>
                <w:b/>
                <w:bCs/>
                <w:sz w:val="14"/>
                <w:szCs w:val="14"/>
              </w:rPr>
            </w:pPr>
            <w:r w:rsidRPr="00DB1559">
              <w:rPr>
                <w:rFonts w:cs="Tahoma"/>
                <w:b/>
                <w:bCs/>
                <w:sz w:val="14"/>
                <w:szCs w:val="14"/>
              </w:rPr>
              <w:t>2009</w:t>
            </w:r>
          </w:p>
        </w:tc>
        <w:tc>
          <w:tcPr>
            <w:tcW w:w="325" w:type="pct"/>
            <w:tcBorders>
              <w:top w:val="single" w:sz="8" w:space="0" w:color="FFFFFF"/>
              <w:left w:val="single" w:sz="8" w:space="0" w:color="FFFFFF"/>
              <w:bottom w:val="single" w:sz="4" w:space="0" w:color="943634"/>
              <w:right w:val="single" w:sz="8" w:space="0" w:color="FFFFFF"/>
            </w:tcBorders>
            <w:shd w:val="clear" w:color="auto" w:fill="F2DBDB"/>
            <w:noWrap/>
            <w:vAlign w:val="center"/>
          </w:tcPr>
          <w:p w:rsidR="009D46E6" w:rsidRPr="00DB1559" w:rsidRDefault="009D46E6" w:rsidP="00DB1559">
            <w:pPr>
              <w:spacing w:after="0" w:line="240" w:lineRule="auto"/>
              <w:jc w:val="right"/>
              <w:rPr>
                <w:rFonts w:cs="Tahoma"/>
                <w:b/>
                <w:bCs/>
                <w:sz w:val="14"/>
                <w:szCs w:val="14"/>
              </w:rPr>
            </w:pPr>
            <w:r w:rsidRPr="00DB1559">
              <w:rPr>
                <w:rFonts w:cs="Tahoma"/>
                <w:b/>
                <w:bCs/>
                <w:sz w:val="14"/>
                <w:szCs w:val="14"/>
              </w:rPr>
              <w:t>2010</w:t>
            </w:r>
          </w:p>
        </w:tc>
        <w:tc>
          <w:tcPr>
            <w:tcW w:w="325" w:type="pct"/>
            <w:tcBorders>
              <w:top w:val="single" w:sz="8" w:space="0" w:color="FFFFFF"/>
              <w:left w:val="single" w:sz="8" w:space="0" w:color="FFFFFF"/>
              <w:bottom w:val="single" w:sz="4" w:space="0" w:color="943634"/>
              <w:right w:val="single" w:sz="8" w:space="0" w:color="FFFFFF"/>
            </w:tcBorders>
            <w:shd w:val="clear" w:color="auto" w:fill="F2DBDB"/>
            <w:vAlign w:val="center"/>
          </w:tcPr>
          <w:p w:rsidR="009D46E6" w:rsidRPr="00DB1559" w:rsidRDefault="009D46E6" w:rsidP="00DB1559">
            <w:pPr>
              <w:spacing w:after="0" w:line="240" w:lineRule="auto"/>
              <w:jc w:val="right"/>
              <w:rPr>
                <w:rFonts w:cs="Tahoma"/>
                <w:b/>
                <w:bCs/>
                <w:sz w:val="14"/>
                <w:szCs w:val="14"/>
              </w:rPr>
            </w:pPr>
            <w:r w:rsidRPr="00DB1559">
              <w:rPr>
                <w:rFonts w:cs="Tahoma"/>
                <w:b/>
                <w:bCs/>
                <w:sz w:val="14"/>
                <w:szCs w:val="14"/>
              </w:rPr>
              <w:t>2011</w:t>
            </w:r>
          </w:p>
        </w:tc>
        <w:tc>
          <w:tcPr>
            <w:tcW w:w="323" w:type="pct"/>
            <w:tcBorders>
              <w:top w:val="single" w:sz="8" w:space="0" w:color="FFFFFF"/>
              <w:left w:val="single" w:sz="8" w:space="0" w:color="FFFFFF"/>
              <w:bottom w:val="single" w:sz="4" w:space="0" w:color="943634"/>
              <w:right w:val="single" w:sz="8" w:space="0" w:color="FFFFFF"/>
            </w:tcBorders>
            <w:shd w:val="clear" w:color="auto" w:fill="F2DBDB"/>
            <w:noWrap/>
            <w:vAlign w:val="center"/>
          </w:tcPr>
          <w:p w:rsidR="009D46E6" w:rsidRPr="00DB1559" w:rsidRDefault="009D46E6" w:rsidP="00DB1559">
            <w:pPr>
              <w:spacing w:after="0" w:line="240" w:lineRule="auto"/>
              <w:jc w:val="right"/>
              <w:rPr>
                <w:rFonts w:cs="Tahoma"/>
                <w:b/>
                <w:bCs/>
                <w:sz w:val="14"/>
                <w:szCs w:val="14"/>
              </w:rPr>
            </w:pPr>
            <w:r w:rsidRPr="00DB1559">
              <w:rPr>
                <w:rFonts w:cs="Tahoma"/>
                <w:b/>
                <w:bCs/>
                <w:sz w:val="14"/>
                <w:szCs w:val="14"/>
              </w:rPr>
              <w:t>2012</w:t>
            </w:r>
          </w:p>
        </w:tc>
      </w:tr>
      <w:tr w:rsidR="009D46E6" w:rsidRPr="00DB1559" w:rsidTr="00DB1559">
        <w:trPr>
          <w:trHeight w:val="255"/>
          <w:jc w:val="center"/>
        </w:trPr>
        <w:tc>
          <w:tcPr>
            <w:tcW w:w="2077" w:type="pct"/>
            <w:tcBorders>
              <w:top w:val="single" w:sz="4" w:space="0" w:color="943634"/>
              <w:left w:val="single" w:sz="8" w:space="0" w:color="FFFFFF"/>
              <w:bottom w:val="single" w:sz="4" w:space="0" w:color="943634"/>
              <w:right w:val="single" w:sz="24" w:space="0" w:color="FFFFFF"/>
            </w:tcBorders>
            <w:shd w:val="clear" w:color="auto" w:fill="FFFFFF"/>
            <w:noWrap/>
            <w:vAlign w:val="center"/>
          </w:tcPr>
          <w:p w:rsidR="009D46E6" w:rsidRPr="00DB1559" w:rsidRDefault="009D46E6" w:rsidP="00DB1559">
            <w:pPr>
              <w:spacing w:after="0" w:line="240" w:lineRule="auto"/>
              <w:jc w:val="left"/>
              <w:rPr>
                <w:rFonts w:cs="Tahoma"/>
                <w:b/>
                <w:bCs/>
                <w:sz w:val="14"/>
                <w:szCs w:val="14"/>
              </w:rPr>
            </w:pPr>
            <w:r w:rsidRPr="00DB1559">
              <w:rPr>
                <w:rFonts w:cs="Tahoma"/>
                <w:b/>
                <w:bCs/>
                <w:sz w:val="14"/>
                <w:szCs w:val="14"/>
              </w:rPr>
              <w:t>Financování</w:t>
            </w:r>
          </w:p>
        </w:tc>
        <w:tc>
          <w:tcPr>
            <w:tcW w:w="325" w:type="pct"/>
            <w:tcBorders>
              <w:top w:val="single" w:sz="4" w:space="0" w:color="943634"/>
              <w:left w:val="nil"/>
              <w:bottom w:val="single" w:sz="4" w:space="0" w:color="943634"/>
              <w:right w:val="single" w:sz="8" w:space="0" w:color="FFFFFF"/>
            </w:tcBorders>
            <w:shd w:val="clear" w:color="auto" w:fill="FFFFFF"/>
            <w:noWrap/>
            <w:vAlign w:val="center"/>
          </w:tcPr>
          <w:p w:rsidR="009D46E6" w:rsidRPr="00DB1559" w:rsidRDefault="009D46E6" w:rsidP="00DB1559">
            <w:pPr>
              <w:spacing w:after="0" w:line="240" w:lineRule="auto"/>
              <w:jc w:val="right"/>
              <w:rPr>
                <w:rFonts w:cs="Tahoma"/>
                <w:b/>
                <w:sz w:val="14"/>
                <w:szCs w:val="14"/>
              </w:rPr>
            </w:pPr>
          </w:p>
        </w:tc>
        <w:tc>
          <w:tcPr>
            <w:tcW w:w="325" w:type="pct"/>
            <w:tcBorders>
              <w:top w:val="single" w:sz="4" w:space="0" w:color="943634"/>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spacing w:after="0" w:line="240" w:lineRule="auto"/>
              <w:jc w:val="right"/>
              <w:rPr>
                <w:rFonts w:cs="Tahoma"/>
                <w:b/>
                <w:sz w:val="14"/>
                <w:szCs w:val="14"/>
              </w:rPr>
            </w:pPr>
          </w:p>
        </w:tc>
        <w:tc>
          <w:tcPr>
            <w:tcW w:w="325" w:type="pct"/>
            <w:tcBorders>
              <w:top w:val="single" w:sz="4" w:space="0" w:color="943634"/>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spacing w:after="0" w:line="240" w:lineRule="auto"/>
              <w:jc w:val="right"/>
              <w:rPr>
                <w:rFonts w:cs="Tahoma"/>
                <w:b/>
                <w:sz w:val="14"/>
                <w:szCs w:val="14"/>
              </w:rPr>
            </w:pPr>
          </w:p>
        </w:tc>
        <w:tc>
          <w:tcPr>
            <w:tcW w:w="325" w:type="pct"/>
            <w:tcBorders>
              <w:top w:val="single" w:sz="4" w:space="0" w:color="943634"/>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spacing w:after="0" w:line="240" w:lineRule="auto"/>
              <w:jc w:val="right"/>
              <w:rPr>
                <w:rFonts w:cs="Tahoma"/>
                <w:b/>
                <w:sz w:val="14"/>
                <w:szCs w:val="14"/>
              </w:rPr>
            </w:pPr>
          </w:p>
        </w:tc>
        <w:tc>
          <w:tcPr>
            <w:tcW w:w="325" w:type="pct"/>
            <w:tcBorders>
              <w:top w:val="single" w:sz="4" w:space="0" w:color="943634"/>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spacing w:after="0" w:line="240" w:lineRule="auto"/>
              <w:jc w:val="right"/>
              <w:rPr>
                <w:rFonts w:cs="Tahoma"/>
                <w:b/>
                <w:sz w:val="14"/>
                <w:szCs w:val="14"/>
              </w:rPr>
            </w:pPr>
          </w:p>
        </w:tc>
        <w:tc>
          <w:tcPr>
            <w:tcW w:w="325" w:type="pct"/>
            <w:tcBorders>
              <w:top w:val="single" w:sz="4" w:space="0" w:color="943634"/>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spacing w:after="0" w:line="240" w:lineRule="auto"/>
              <w:jc w:val="right"/>
              <w:rPr>
                <w:rFonts w:cs="Tahoma"/>
                <w:b/>
                <w:sz w:val="14"/>
                <w:szCs w:val="14"/>
              </w:rPr>
            </w:pPr>
          </w:p>
        </w:tc>
        <w:tc>
          <w:tcPr>
            <w:tcW w:w="325" w:type="pct"/>
            <w:tcBorders>
              <w:top w:val="single" w:sz="4" w:space="0" w:color="943634"/>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spacing w:after="0" w:line="240" w:lineRule="auto"/>
              <w:jc w:val="right"/>
              <w:rPr>
                <w:rFonts w:cs="Tahoma"/>
                <w:b/>
                <w:sz w:val="14"/>
                <w:szCs w:val="14"/>
              </w:rPr>
            </w:pPr>
          </w:p>
        </w:tc>
        <w:tc>
          <w:tcPr>
            <w:tcW w:w="325" w:type="pct"/>
            <w:tcBorders>
              <w:top w:val="single" w:sz="4" w:space="0" w:color="943634"/>
              <w:left w:val="single" w:sz="8" w:space="0" w:color="FFFFFF"/>
              <w:bottom w:val="single" w:sz="4" w:space="0" w:color="943634"/>
              <w:right w:val="single" w:sz="8" w:space="0" w:color="FFFFFF"/>
            </w:tcBorders>
            <w:shd w:val="clear" w:color="auto" w:fill="FFFFFF"/>
            <w:vAlign w:val="center"/>
          </w:tcPr>
          <w:p w:rsidR="009D46E6" w:rsidRPr="00DB1559" w:rsidRDefault="009D46E6" w:rsidP="00DB1559">
            <w:pPr>
              <w:spacing w:after="0" w:line="240" w:lineRule="auto"/>
              <w:jc w:val="right"/>
              <w:rPr>
                <w:rFonts w:cs="Tahoma"/>
                <w:b/>
                <w:sz w:val="14"/>
                <w:szCs w:val="14"/>
              </w:rPr>
            </w:pPr>
          </w:p>
        </w:tc>
        <w:tc>
          <w:tcPr>
            <w:tcW w:w="323" w:type="pct"/>
            <w:tcBorders>
              <w:top w:val="single" w:sz="4" w:space="0" w:color="943634"/>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spacing w:after="0" w:line="240" w:lineRule="auto"/>
              <w:jc w:val="right"/>
              <w:rPr>
                <w:rFonts w:cs="Tahoma"/>
                <w:b/>
                <w:sz w:val="14"/>
                <w:szCs w:val="14"/>
              </w:rPr>
            </w:pPr>
          </w:p>
        </w:tc>
      </w:tr>
      <w:tr w:rsidR="009D46E6" w:rsidRPr="00DB1559" w:rsidTr="00DB1559">
        <w:trPr>
          <w:trHeight w:val="255"/>
          <w:jc w:val="center"/>
        </w:trPr>
        <w:tc>
          <w:tcPr>
            <w:tcW w:w="2077" w:type="pct"/>
            <w:tcBorders>
              <w:top w:val="single" w:sz="4" w:space="0" w:color="943634"/>
              <w:left w:val="single" w:sz="8" w:space="0" w:color="FFFFFF"/>
              <w:bottom w:val="nil"/>
              <w:right w:val="single" w:sz="24" w:space="0" w:color="FFFFFF"/>
            </w:tcBorders>
            <w:shd w:val="clear" w:color="auto" w:fill="F2DBDB"/>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GERD (v mld. Kč)</w:t>
            </w:r>
          </w:p>
        </w:tc>
        <w:tc>
          <w:tcPr>
            <w:tcW w:w="325" w:type="pct"/>
            <w:tcBorders>
              <w:top w:val="single" w:sz="4" w:space="0" w:color="943634"/>
              <w:left w:val="nil"/>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14,0</w:t>
            </w:r>
          </w:p>
        </w:tc>
        <w:tc>
          <w:tcPr>
            <w:tcW w:w="325"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26,5</w:t>
            </w:r>
          </w:p>
        </w:tc>
        <w:tc>
          <w:tcPr>
            <w:tcW w:w="325"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38,1</w:t>
            </w:r>
          </w:p>
        </w:tc>
        <w:tc>
          <w:tcPr>
            <w:tcW w:w="325"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50,0</w:t>
            </w:r>
          </w:p>
        </w:tc>
        <w:tc>
          <w:tcPr>
            <w:tcW w:w="325"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49,9</w:t>
            </w:r>
          </w:p>
        </w:tc>
        <w:tc>
          <w:tcPr>
            <w:tcW w:w="325"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50,9</w:t>
            </w:r>
          </w:p>
        </w:tc>
        <w:tc>
          <w:tcPr>
            <w:tcW w:w="325"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53,0</w:t>
            </w:r>
          </w:p>
        </w:tc>
        <w:tc>
          <w:tcPr>
            <w:tcW w:w="325" w:type="pct"/>
            <w:tcBorders>
              <w:top w:val="single" w:sz="4" w:space="0" w:color="943634"/>
            </w:tcBorders>
            <w:shd w:val="clear" w:color="auto" w:fill="F2DBDB"/>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62,8</w:t>
            </w:r>
          </w:p>
        </w:tc>
        <w:tc>
          <w:tcPr>
            <w:tcW w:w="323"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72,4</w:t>
            </w:r>
          </w:p>
        </w:tc>
      </w:tr>
      <w:tr w:rsidR="009D46E6" w:rsidRPr="00DB1559" w:rsidTr="00DB1559">
        <w:trPr>
          <w:trHeight w:val="255"/>
          <w:jc w:val="center"/>
        </w:trPr>
        <w:tc>
          <w:tcPr>
            <w:tcW w:w="2077" w:type="pct"/>
            <w:tcBorders>
              <w:top w:val="single" w:sz="8" w:space="0" w:color="FFFFFF"/>
              <w:left w:val="single" w:sz="8" w:space="0" w:color="FFFFFF"/>
              <w:bottom w:val="nil"/>
              <w:right w:val="single" w:sz="24" w:space="0" w:color="FFFFFF"/>
            </w:tcBorders>
            <w:shd w:val="clear" w:color="auto" w:fill="FFFFFF"/>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GERD (v % HDP)</w:t>
            </w:r>
          </w:p>
        </w:tc>
        <w:tc>
          <w:tcPr>
            <w:tcW w:w="325" w:type="pct"/>
            <w:tcBorders>
              <w:top w:val="single" w:sz="8" w:space="0" w:color="FFFFFF"/>
              <w:left w:val="nil"/>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0,91</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1,17</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1,22</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1,36</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1,30</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1,36</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1,40</w:t>
            </w:r>
          </w:p>
        </w:tc>
        <w:tc>
          <w:tcPr>
            <w:tcW w:w="325" w:type="pct"/>
            <w:tcBorders>
              <w:top w:val="single" w:sz="8" w:space="0" w:color="FFFFFF"/>
              <w:left w:val="single" w:sz="8" w:space="0" w:color="FFFFFF"/>
              <w:bottom w:val="single" w:sz="8" w:space="0" w:color="FFFFFF"/>
              <w:right w:val="single" w:sz="8" w:space="0" w:color="FFFFFF"/>
            </w:tcBorders>
            <w:shd w:val="clear" w:color="auto" w:fill="FFFFFF"/>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1,65</w:t>
            </w:r>
          </w:p>
        </w:tc>
        <w:tc>
          <w:tcPr>
            <w:tcW w:w="323"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1,89</w:t>
            </w:r>
          </w:p>
        </w:tc>
      </w:tr>
      <w:tr w:rsidR="009D46E6" w:rsidRPr="00DB1559" w:rsidTr="00DB1559">
        <w:trPr>
          <w:trHeight w:val="255"/>
          <w:jc w:val="center"/>
        </w:trPr>
        <w:tc>
          <w:tcPr>
            <w:tcW w:w="2077" w:type="pct"/>
            <w:tcBorders>
              <w:left w:val="single" w:sz="8" w:space="0" w:color="FFFFFF"/>
              <w:bottom w:val="nil"/>
              <w:right w:val="single" w:sz="24" w:space="0" w:color="FFFFFF"/>
            </w:tcBorders>
            <w:shd w:val="clear" w:color="auto" w:fill="F2DBDB"/>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BERD (v % GERD)</w:t>
            </w:r>
          </w:p>
        </w:tc>
        <w:tc>
          <w:tcPr>
            <w:tcW w:w="325" w:type="pct"/>
            <w:tcBorders>
              <w:left w:val="nil"/>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65,1</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60,0</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59,3</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58,7</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58,6</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56,5</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57,7</w:t>
            </w:r>
          </w:p>
        </w:tc>
        <w:tc>
          <w:tcPr>
            <w:tcW w:w="325" w:type="pct"/>
            <w:shd w:val="clear" w:color="auto" w:fill="F2DBDB"/>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55,3</w:t>
            </w:r>
          </w:p>
        </w:tc>
        <w:tc>
          <w:tcPr>
            <w:tcW w:w="323"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53,6</w:t>
            </w:r>
          </w:p>
        </w:tc>
      </w:tr>
      <w:tr w:rsidR="009D46E6" w:rsidRPr="00DB1559" w:rsidTr="00DB1559">
        <w:trPr>
          <w:trHeight w:val="255"/>
          <w:jc w:val="center"/>
        </w:trPr>
        <w:tc>
          <w:tcPr>
            <w:tcW w:w="2077" w:type="pct"/>
            <w:tcBorders>
              <w:top w:val="single" w:sz="8" w:space="0" w:color="FFFFFF"/>
              <w:left w:val="single" w:sz="8" w:space="0" w:color="FFFFFF"/>
              <w:bottom w:val="nil"/>
              <w:right w:val="single" w:sz="24" w:space="0" w:color="FFFFFF"/>
            </w:tcBorders>
            <w:shd w:val="clear" w:color="auto" w:fill="FFFFFF"/>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GOVERD (v % GERD)</w:t>
            </w:r>
          </w:p>
        </w:tc>
        <w:tc>
          <w:tcPr>
            <w:tcW w:w="325" w:type="pct"/>
            <w:tcBorders>
              <w:top w:val="single" w:sz="8" w:space="0" w:color="FFFFFF"/>
              <w:left w:val="nil"/>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26,4</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25,3</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22,1</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22,6</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22,7</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23,3</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21,7</w:t>
            </w:r>
          </w:p>
        </w:tc>
        <w:tc>
          <w:tcPr>
            <w:tcW w:w="325" w:type="pct"/>
            <w:tcBorders>
              <w:top w:val="single" w:sz="8" w:space="0" w:color="FFFFFF"/>
              <w:left w:val="single" w:sz="8" w:space="0" w:color="FFFFFF"/>
              <w:bottom w:val="single" w:sz="8" w:space="0" w:color="FFFFFF"/>
              <w:right w:val="single" w:sz="8" w:space="0" w:color="FFFFFF"/>
            </w:tcBorders>
            <w:shd w:val="clear" w:color="auto" w:fill="FFFFFF"/>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19,8</w:t>
            </w:r>
          </w:p>
        </w:tc>
        <w:tc>
          <w:tcPr>
            <w:tcW w:w="323"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18,4</w:t>
            </w:r>
          </w:p>
        </w:tc>
      </w:tr>
      <w:tr w:rsidR="009D46E6" w:rsidRPr="00DB1559" w:rsidTr="00DB1559">
        <w:trPr>
          <w:trHeight w:val="255"/>
          <w:jc w:val="center"/>
        </w:trPr>
        <w:tc>
          <w:tcPr>
            <w:tcW w:w="2077" w:type="pct"/>
            <w:tcBorders>
              <w:left w:val="single" w:sz="8" w:space="0" w:color="FFFFFF"/>
              <w:bottom w:val="nil"/>
              <w:right w:val="single" w:sz="24" w:space="0" w:color="FFFFFF"/>
            </w:tcBorders>
            <w:shd w:val="clear" w:color="auto" w:fill="F2DBDB"/>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HERD (v % GERD)</w:t>
            </w:r>
          </w:p>
        </w:tc>
        <w:tc>
          <w:tcPr>
            <w:tcW w:w="325" w:type="pct"/>
            <w:tcBorders>
              <w:left w:val="nil"/>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8,5</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14,2</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18,1</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18,3</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18,2</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19,7</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20,0</w:t>
            </w:r>
          </w:p>
        </w:tc>
        <w:tc>
          <w:tcPr>
            <w:tcW w:w="325" w:type="pct"/>
            <w:shd w:val="clear" w:color="auto" w:fill="F2DBDB"/>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24,4</w:t>
            </w:r>
          </w:p>
        </w:tc>
        <w:tc>
          <w:tcPr>
            <w:tcW w:w="323"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27,5</w:t>
            </w:r>
          </w:p>
        </w:tc>
      </w:tr>
      <w:tr w:rsidR="009D46E6" w:rsidRPr="00DB1559" w:rsidTr="00DB1559">
        <w:trPr>
          <w:trHeight w:val="255"/>
          <w:jc w:val="center"/>
        </w:trPr>
        <w:tc>
          <w:tcPr>
            <w:tcW w:w="2077" w:type="pct"/>
            <w:tcBorders>
              <w:top w:val="single" w:sz="8" w:space="0" w:color="FFFFFF"/>
              <w:left w:val="single" w:sz="8" w:space="0" w:color="FFFFFF"/>
              <w:bottom w:val="nil"/>
              <w:right w:val="single" w:sz="24" w:space="0" w:color="FFFFFF"/>
            </w:tcBorders>
            <w:shd w:val="clear" w:color="auto" w:fill="FFFFFF"/>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Podíl BERD financovaný z veřejných zdrojů (v %)</w:t>
            </w:r>
          </w:p>
        </w:tc>
        <w:tc>
          <w:tcPr>
            <w:tcW w:w="325" w:type="pct"/>
            <w:tcBorders>
              <w:top w:val="single" w:sz="8" w:space="0" w:color="FFFFFF"/>
              <w:left w:val="nil"/>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4,5</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14,7</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17,0</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15,3</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15,1</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17,1</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15,4</w:t>
            </w:r>
          </w:p>
        </w:tc>
        <w:tc>
          <w:tcPr>
            <w:tcW w:w="325" w:type="pct"/>
            <w:tcBorders>
              <w:top w:val="single" w:sz="8" w:space="0" w:color="FFFFFF"/>
              <w:left w:val="single" w:sz="8" w:space="0" w:color="FFFFFF"/>
              <w:bottom w:val="single" w:sz="8" w:space="0" w:color="FFFFFF"/>
              <w:right w:val="single" w:sz="8" w:space="0" w:color="FFFFFF"/>
            </w:tcBorders>
            <w:shd w:val="clear" w:color="auto" w:fill="FFFFFF"/>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15,7</w:t>
            </w:r>
          </w:p>
        </w:tc>
        <w:tc>
          <w:tcPr>
            <w:tcW w:w="323"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13,7</w:t>
            </w:r>
          </w:p>
        </w:tc>
      </w:tr>
      <w:tr w:rsidR="009D46E6" w:rsidRPr="00DB1559" w:rsidTr="00DB1559">
        <w:trPr>
          <w:trHeight w:val="255"/>
          <w:jc w:val="center"/>
        </w:trPr>
        <w:tc>
          <w:tcPr>
            <w:tcW w:w="2077" w:type="pct"/>
            <w:tcBorders>
              <w:left w:val="single" w:sz="8" w:space="0" w:color="FFFFFF"/>
              <w:bottom w:val="nil"/>
              <w:right w:val="single" w:sz="24" w:space="0" w:color="FFFFFF"/>
            </w:tcBorders>
            <w:shd w:val="clear" w:color="auto" w:fill="F2DBDB"/>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Podíl GOVERD financovaný z podnikatelských zdrojů (v %)</w:t>
            </w:r>
          </w:p>
        </w:tc>
        <w:tc>
          <w:tcPr>
            <w:tcW w:w="325" w:type="pct"/>
            <w:tcBorders>
              <w:left w:val="nil"/>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11,3</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9,6</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9,2</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6,7</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5,9</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4,2</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4,7</w:t>
            </w:r>
          </w:p>
        </w:tc>
        <w:tc>
          <w:tcPr>
            <w:tcW w:w="325" w:type="pct"/>
            <w:shd w:val="clear" w:color="auto" w:fill="F2DBDB"/>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3,4</w:t>
            </w:r>
          </w:p>
        </w:tc>
        <w:tc>
          <w:tcPr>
            <w:tcW w:w="323"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4,0</w:t>
            </w:r>
          </w:p>
        </w:tc>
      </w:tr>
      <w:tr w:rsidR="009D46E6" w:rsidRPr="00DB1559" w:rsidTr="00DB1559">
        <w:trPr>
          <w:trHeight w:val="255"/>
          <w:jc w:val="center"/>
        </w:trPr>
        <w:tc>
          <w:tcPr>
            <w:tcW w:w="2077" w:type="pct"/>
            <w:tcBorders>
              <w:top w:val="single" w:sz="8" w:space="0" w:color="FFFFFF"/>
              <w:left w:val="single" w:sz="8" w:space="0" w:color="FFFFFF"/>
              <w:bottom w:val="nil"/>
              <w:right w:val="single" w:sz="24" w:space="0" w:color="FFFFFF"/>
            </w:tcBorders>
            <w:shd w:val="clear" w:color="auto" w:fill="FFFFFF"/>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Podíl HERD financovaný z podnikatelských zdrojů (v %)</w:t>
            </w:r>
          </w:p>
        </w:tc>
        <w:tc>
          <w:tcPr>
            <w:tcW w:w="325" w:type="pct"/>
            <w:tcBorders>
              <w:top w:val="single" w:sz="8" w:space="0" w:color="FFFFFF"/>
              <w:left w:val="nil"/>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2,0</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1,1</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0,8</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0,7</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0,6</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1,1</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1,1</w:t>
            </w:r>
          </w:p>
        </w:tc>
        <w:tc>
          <w:tcPr>
            <w:tcW w:w="325" w:type="pct"/>
            <w:tcBorders>
              <w:top w:val="single" w:sz="8" w:space="0" w:color="FFFFFF"/>
              <w:left w:val="single" w:sz="8" w:space="0" w:color="FFFFFF"/>
              <w:bottom w:val="single" w:sz="8" w:space="0" w:color="FFFFFF"/>
              <w:right w:val="single" w:sz="8" w:space="0" w:color="FFFFFF"/>
            </w:tcBorders>
            <w:shd w:val="clear" w:color="auto" w:fill="FFFFFF"/>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1,0</w:t>
            </w:r>
          </w:p>
        </w:tc>
        <w:tc>
          <w:tcPr>
            <w:tcW w:w="323"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0,8</w:t>
            </w:r>
          </w:p>
        </w:tc>
      </w:tr>
      <w:tr w:rsidR="009D46E6" w:rsidRPr="00DB1559" w:rsidTr="00DB1559">
        <w:trPr>
          <w:trHeight w:val="255"/>
          <w:jc w:val="center"/>
        </w:trPr>
        <w:tc>
          <w:tcPr>
            <w:tcW w:w="2077" w:type="pct"/>
            <w:tcBorders>
              <w:left w:val="single" w:sz="8" w:space="0" w:color="FFFFFF"/>
              <w:bottom w:val="nil"/>
              <w:right w:val="single" w:sz="24" w:space="0" w:color="FFFFFF"/>
            </w:tcBorders>
            <w:shd w:val="clear" w:color="auto" w:fill="F2DBDB"/>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GBAORD (v mld. Kč)</w:t>
            </w:r>
          </w:p>
        </w:tc>
        <w:tc>
          <w:tcPr>
            <w:tcW w:w="325" w:type="pct"/>
            <w:tcBorders>
              <w:left w:val="nil"/>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6,2</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11,9</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16,4</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20,5</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20,5</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23,0</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22,6</w:t>
            </w:r>
          </w:p>
        </w:tc>
        <w:tc>
          <w:tcPr>
            <w:tcW w:w="325" w:type="pct"/>
            <w:shd w:val="clear" w:color="auto" w:fill="F2DBDB"/>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25,8</w:t>
            </w:r>
          </w:p>
        </w:tc>
        <w:tc>
          <w:tcPr>
            <w:tcW w:w="323"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26,2</w:t>
            </w:r>
          </w:p>
        </w:tc>
      </w:tr>
      <w:tr w:rsidR="009D46E6" w:rsidRPr="00DB1559" w:rsidTr="00DB1559">
        <w:trPr>
          <w:trHeight w:val="255"/>
          <w:jc w:val="center"/>
        </w:trPr>
        <w:tc>
          <w:tcPr>
            <w:tcW w:w="2077" w:type="pct"/>
            <w:tcBorders>
              <w:top w:val="single" w:sz="8" w:space="0" w:color="FFFFFF"/>
              <w:left w:val="single" w:sz="8" w:space="0" w:color="FFFFFF"/>
              <w:bottom w:val="single" w:sz="4" w:space="0" w:color="943634"/>
              <w:right w:val="single" w:sz="24" w:space="0" w:color="FFFFFF"/>
            </w:tcBorders>
            <w:shd w:val="clear" w:color="auto" w:fill="FFFFFF"/>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Podíl GBAORD ve výdajích státního rozpočtu (v %)</w:t>
            </w:r>
          </w:p>
        </w:tc>
        <w:tc>
          <w:tcPr>
            <w:tcW w:w="325" w:type="pct"/>
            <w:tcBorders>
              <w:top w:val="single" w:sz="8" w:space="0" w:color="FFFFFF"/>
              <w:left w:val="nil"/>
              <w:bottom w:val="single" w:sz="4" w:space="0" w:color="943634"/>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1,3</w:t>
            </w:r>
          </w:p>
        </w:tc>
        <w:tc>
          <w:tcPr>
            <w:tcW w:w="325" w:type="pct"/>
            <w:tcBorders>
              <w:top w:val="single" w:sz="8" w:space="0" w:color="FFFFFF"/>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1,8</w:t>
            </w:r>
          </w:p>
        </w:tc>
        <w:tc>
          <w:tcPr>
            <w:tcW w:w="325" w:type="pct"/>
            <w:tcBorders>
              <w:top w:val="single" w:sz="8" w:space="0" w:color="FFFFFF"/>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1,6</w:t>
            </w:r>
          </w:p>
        </w:tc>
        <w:tc>
          <w:tcPr>
            <w:tcW w:w="325" w:type="pct"/>
            <w:tcBorders>
              <w:top w:val="single" w:sz="8" w:space="0" w:color="FFFFFF"/>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1,9</w:t>
            </w:r>
          </w:p>
        </w:tc>
        <w:tc>
          <w:tcPr>
            <w:tcW w:w="325" w:type="pct"/>
            <w:tcBorders>
              <w:top w:val="single" w:sz="8" w:space="0" w:color="FFFFFF"/>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1,9</w:t>
            </w:r>
          </w:p>
        </w:tc>
        <w:tc>
          <w:tcPr>
            <w:tcW w:w="325" w:type="pct"/>
            <w:tcBorders>
              <w:top w:val="single" w:sz="8" w:space="0" w:color="FFFFFF"/>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2,0</w:t>
            </w:r>
          </w:p>
        </w:tc>
        <w:tc>
          <w:tcPr>
            <w:tcW w:w="325" w:type="pct"/>
            <w:tcBorders>
              <w:top w:val="single" w:sz="8" w:space="0" w:color="FFFFFF"/>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2,0</w:t>
            </w:r>
          </w:p>
        </w:tc>
        <w:tc>
          <w:tcPr>
            <w:tcW w:w="325" w:type="pct"/>
            <w:tcBorders>
              <w:top w:val="single" w:sz="8" w:space="0" w:color="FFFFFF"/>
              <w:left w:val="single" w:sz="8" w:space="0" w:color="FFFFFF"/>
              <w:bottom w:val="single" w:sz="4" w:space="0" w:color="943634"/>
              <w:right w:val="single" w:sz="8" w:space="0" w:color="FFFFFF"/>
            </w:tcBorders>
            <w:shd w:val="clear" w:color="auto" w:fill="FFFFFF"/>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2,2</w:t>
            </w:r>
          </w:p>
        </w:tc>
        <w:tc>
          <w:tcPr>
            <w:tcW w:w="323" w:type="pct"/>
            <w:tcBorders>
              <w:top w:val="single" w:sz="8" w:space="0" w:color="FFFFFF"/>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2,3</w:t>
            </w:r>
          </w:p>
        </w:tc>
      </w:tr>
      <w:tr w:rsidR="009D46E6" w:rsidRPr="00DB1559" w:rsidTr="00DB1559">
        <w:trPr>
          <w:trHeight w:val="255"/>
          <w:jc w:val="center"/>
        </w:trPr>
        <w:tc>
          <w:tcPr>
            <w:tcW w:w="2077" w:type="pct"/>
            <w:tcBorders>
              <w:top w:val="single" w:sz="4" w:space="0" w:color="943634"/>
              <w:left w:val="single" w:sz="8" w:space="0" w:color="FFFFFF"/>
              <w:bottom w:val="single" w:sz="4" w:space="0" w:color="943634"/>
              <w:right w:val="single" w:sz="24" w:space="0" w:color="FFFFFF"/>
            </w:tcBorders>
            <w:shd w:val="clear" w:color="auto" w:fill="FFFFFF"/>
            <w:noWrap/>
            <w:vAlign w:val="center"/>
          </w:tcPr>
          <w:p w:rsidR="009D46E6" w:rsidRPr="00DB1559" w:rsidRDefault="009D46E6" w:rsidP="00DB1559">
            <w:pPr>
              <w:spacing w:after="0" w:line="240" w:lineRule="auto"/>
              <w:jc w:val="left"/>
              <w:rPr>
                <w:rFonts w:cs="Tahoma"/>
                <w:b/>
                <w:bCs/>
                <w:sz w:val="14"/>
                <w:szCs w:val="14"/>
              </w:rPr>
            </w:pPr>
            <w:r w:rsidRPr="00DB1559">
              <w:rPr>
                <w:rFonts w:cs="Tahoma"/>
                <w:b/>
                <w:bCs/>
                <w:sz w:val="14"/>
                <w:szCs w:val="14"/>
              </w:rPr>
              <w:t>Lidské zdroje</w:t>
            </w:r>
          </w:p>
        </w:tc>
        <w:tc>
          <w:tcPr>
            <w:tcW w:w="325" w:type="pct"/>
            <w:tcBorders>
              <w:top w:val="single" w:sz="4" w:space="0" w:color="943634"/>
              <w:left w:val="nil"/>
              <w:bottom w:val="single" w:sz="4" w:space="0" w:color="943634"/>
            </w:tcBorders>
            <w:shd w:val="clear" w:color="auto" w:fill="FFFFFF"/>
            <w:noWrap/>
            <w:vAlign w:val="center"/>
          </w:tcPr>
          <w:p w:rsidR="009D46E6" w:rsidRPr="00DB1559" w:rsidRDefault="009D46E6">
            <w:pPr>
              <w:rPr>
                <w:rFonts w:ascii="Calibri" w:hAnsi="Calibri" w:cs="Arial"/>
                <w:color w:val="000000"/>
                <w:sz w:val="22"/>
                <w:szCs w:val="22"/>
              </w:rPr>
            </w:pPr>
            <w:r w:rsidRPr="00DB1559">
              <w:rPr>
                <w:rFonts w:ascii="Calibri" w:hAnsi="Calibri" w:cs="Arial"/>
                <w:color w:val="000000"/>
                <w:sz w:val="22"/>
                <w:szCs w:val="22"/>
              </w:rPr>
              <w:t> </w:t>
            </w:r>
          </w:p>
        </w:tc>
        <w:tc>
          <w:tcPr>
            <w:tcW w:w="325" w:type="pct"/>
            <w:tcBorders>
              <w:top w:val="single" w:sz="4" w:space="0" w:color="943634"/>
              <w:bottom w:val="single" w:sz="4" w:space="0" w:color="943634"/>
            </w:tcBorders>
            <w:shd w:val="clear" w:color="auto" w:fill="FFFFFF"/>
            <w:noWrap/>
            <w:vAlign w:val="center"/>
          </w:tcPr>
          <w:p w:rsidR="009D46E6" w:rsidRPr="00DB1559" w:rsidRDefault="009D46E6">
            <w:pPr>
              <w:rPr>
                <w:rFonts w:ascii="Calibri" w:hAnsi="Calibri" w:cs="Arial"/>
                <w:color w:val="000000"/>
                <w:sz w:val="22"/>
                <w:szCs w:val="22"/>
              </w:rPr>
            </w:pPr>
            <w:r w:rsidRPr="00DB1559">
              <w:rPr>
                <w:rFonts w:ascii="Calibri" w:hAnsi="Calibri" w:cs="Arial"/>
                <w:color w:val="000000"/>
                <w:sz w:val="22"/>
                <w:szCs w:val="22"/>
              </w:rPr>
              <w:t> </w:t>
            </w:r>
          </w:p>
        </w:tc>
        <w:tc>
          <w:tcPr>
            <w:tcW w:w="325" w:type="pct"/>
            <w:tcBorders>
              <w:top w:val="single" w:sz="4" w:space="0" w:color="943634"/>
              <w:bottom w:val="single" w:sz="4" w:space="0" w:color="943634"/>
            </w:tcBorders>
            <w:shd w:val="clear" w:color="auto" w:fill="FFFFFF"/>
            <w:noWrap/>
            <w:vAlign w:val="center"/>
          </w:tcPr>
          <w:p w:rsidR="009D46E6" w:rsidRPr="00DB1559" w:rsidRDefault="009D46E6">
            <w:pPr>
              <w:rPr>
                <w:rFonts w:ascii="Calibri" w:hAnsi="Calibri" w:cs="Arial"/>
                <w:color w:val="000000"/>
                <w:sz w:val="22"/>
                <w:szCs w:val="22"/>
              </w:rPr>
            </w:pPr>
            <w:r w:rsidRPr="00DB1559">
              <w:rPr>
                <w:rFonts w:ascii="Calibri" w:hAnsi="Calibri" w:cs="Arial"/>
                <w:color w:val="000000"/>
                <w:sz w:val="22"/>
                <w:szCs w:val="22"/>
              </w:rPr>
              <w:t> </w:t>
            </w:r>
          </w:p>
        </w:tc>
        <w:tc>
          <w:tcPr>
            <w:tcW w:w="325" w:type="pct"/>
            <w:tcBorders>
              <w:top w:val="single" w:sz="4" w:space="0" w:color="943634"/>
              <w:bottom w:val="single" w:sz="4" w:space="0" w:color="943634"/>
            </w:tcBorders>
            <w:shd w:val="clear" w:color="auto" w:fill="FFFFFF"/>
            <w:noWrap/>
            <w:vAlign w:val="center"/>
          </w:tcPr>
          <w:p w:rsidR="009D46E6" w:rsidRPr="00DB1559" w:rsidRDefault="009D46E6">
            <w:pPr>
              <w:rPr>
                <w:rFonts w:ascii="Calibri" w:hAnsi="Calibri" w:cs="Arial"/>
                <w:color w:val="000000"/>
                <w:sz w:val="22"/>
                <w:szCs w:val="22"/>
              </w:rPr>
            </w:pPr>
            <w:r w:rsidRPr="00DB1559">
              <w:rPr>
                <w:rFonts w:ascii="Calibri" w:hAnsi="Calibri" w:cs="Arial"/>
                <w:color w:val="000000"/>
                <w:sz w:val="22"/>
                <w:szCs w:val="22"/>
              </w:rPr>
              <w:t> </w:t>
            </w:r>
          </w:p>
        </w:tc>
        <w:tc>
          <w:tcPr>
            <w:tcW w:w="325" w:type="pct"/>
            <w:tcBorders>
              <w:top w:val="single" w:sz="4" w:space="0" w:color="943634"/>
              <w:bottom w:val="single" w:sz="4" w:space="0" w:color="943634"/>
            </w:tcBorders>
            <w:shd w:val="clear" w:color="auto" w:fill="FFFFFF"/>
            <w:noWrap/>
            <w:vAlign w:val="center"/>
          </w:tcPr>
          <w:p w:rsidR="009D46E6" w:rsidRPr="00DB1559" w:rsidRDefault="009D46E6">
            <w:pPr>
              <w:rPr>
                <w:rFonts w:ascii="Calibri" w:hAnsi="Calibri" w:cs="Arial"/>
                <w:color w:val="000000"/>
                <w:sz w:val="22"/>
                <w:szCs w:val="22"/>
              </w:rPr>
            </w:pPr>
            <w:r w:rsidRPr="00DB1559">
              <w:rPr>
                <w:rFonts w:ascii="Calibri" w:hAnsi="Calibri" w:cs="Arial"/>
                <w:color w:val="000000"/>
                <w:sz w:val="22"/>
                <w:szCs w:val="22"/>
              </w:rPr>
              <w:t> </w:t>
            </w:r>
          </w:p>
        </w:tc>
        <w:tc>
          <w:tcPr>
            <w:tcW w:w="325" w:type="pct"/>
            <w:tcBorders>
              <w:top w:val="single" w:sz="4" w:space="0" w:color="943634"/>
              <w:bottom w:val="single" w:sz="4" w:space="0" w:color="943634"/>
            </w:tcBorders>
            <w:shd w:val="clear" w:color="auto" w:fill="FFFFFF"/>
            <w:noWrap/>
            <w:vAlign w:val="center"/>
          </w:tcPr>
          <w:p w:rsidR="009D46E6" w:rsidRPr="00DB1559" w:rsidRDefault="009D46E6">
            <w:pPr>
              <w:rPr>
                <w:rFonts w:ascii="Calibri" w:hAnsi="Calibri" w:cs="Arial"/>
                <w:color w:val="000000"/>
                <w:sz w:val="22"/>
                <w:szCs w:val="22"/>
              </w:rPr>
            </w:pPr>
            <w:r w:rsidRPr="00DB1559">
              <w:rPr>
                <w:rFonts w:ascii="Calibri" w:hAnsi="Calibri" w:cs="Arial"/>
                <w:color w:val="000000"/>
                <w:sz w:val="22"/>
                <w:szCs w:val="22"/>
              </w:rPr>
              <w:t> </w:t>
            </w:r>
          </w:p>
        </w:tc>
        <w:tc>
          <w:tcPr>
            <w:tcW w:w="325" w:type="pct"/>
            <w:tcBorders>
              <w:top w:val="single" w:sz="4" w:space="0" w:color="943634"/>
              <w:bottom w:val="single" w:sz="4" w:space="0" w:color="943634"/>
            </w:tcBorders>
            <w:shd w:val="clear" w:color="auto" w:fill="FFFFFF"/>
            <w:noWrap/>
            <w:vAlign w:val="center"/>
          </w:tcPr>
          <w:p w:rsidR="009D46E6" w:rsidRPr="00DB1559" w:rsidRDefault="009D46E6">
            <w:pPr>
              <w:rPr>
                <w:rFonts w:ascii="Calibri" w:hAnsi="Calibri" w:cs="Arial"/>
                <w:color w:val="000000"/>
                <w:sz w:val="22"/>
                <w:szCs w:val="22"/>
              </w:rPr>
            </w:pPr>
            <w:r w:rsidRPr="00DB1559">
              <w:rPr>
                <w:rFonts w:ascii="Calibri" w:hAnsi="Calibri" w:cs="Arial"/>
                <w:color w:val="000000"/>
                <w:sz w:val="22"/>
                <w:szCs w:val="22"/>
              </w:rPr>
              <w:t> </w:t>
            </w:r>
          </w:p>
        </w:tc>
        <w:tc>
          <w:tcPr>
            <w:tcW w:w="325" w:type="pct"/>
            <w:tcBorders>
              <w:top w:val="single" w:sz="4" w:space="0" w:color="943634"/>
              <w:bottom w:val="single" w:sz="4" w:space="0" w:color="943634"/>
            </w:tcBorders>
            <w:shd w:val="clear" w:color="auto" w:fill="FFFFFF"/>
            <w:vAlign w:val="center"/>
          </w:tcPr>
          <w:p w:rsidR="009D46E6" w:rsidRPr="00DB1559" w:rsidRDefault="009D46E6" w:rsidP="00DB1559">
            <w:pPr>
              <w:jc w:val="right"/>
              <w:rPr>
                <w:rFonts w:cs="Tahoma"/>
                <w:b/>
                <w:bCs/>
                <w:color w:val="000000"/>
                <w:sz w:val="14"/>
                <w:szCs w:val="14"/>
              </w:rPr>
            </w:pPr>
            <w:r w:rsidRPr="00DB1559">
              <w:rPr>
                <w:rFonts w:cs="Tahoma"/>
                <w:b/>
                <w:bCs/>
                <w:color w:val="000000"/>
                <w:sz w:val="14"/>
                <w:szCs w:val="14"/>
              </w:rPr>
              <w:t> </w:t>
            </w:r>
          </w:p>
        </w:tc>
        <w:tc>
          <w:tcPr>
            <w:tcW w:w="323" w:type="pct"/>
            <w:tcBorders>
              <w:top w:val="single" w:sz="4" w:space="0" w:color="943634"/>
              <w:bottom w:val="single" w:sz="4" w:space="0" w:color="943634"/>
            </w:tcBorders>
            <w:shd w:val="clear" w:color="auto" w:fill="FFFFFF"/>
            <w:noWrap/>
            <w:vAlign w:val="center"/>
          </w:tcPr>
          <w:p w:rsidR="009D46E6" w:rsidRPr="00DB1559" w:rsidRDefault="009D46E6" w:rsidP="00DB1559">
            <w:pPr>
              <w:jc w:val="right"/>
              <w:rPr>
                <w:rFonts w:cs="Tahoma"/>
                <w:b/>
                <w:bCs/>
                <w:color w:val="000000"/>
                <w:sz w:val="14"/>
                <w:szCs w:val="14"/>
              </w:rPr>
            </w:pPr>
            <w:r w:rsidRPr="00DB1559">
              <w:rPr>
                <w:rFonts w:cs="Tahoma"/>
                <w:b/>
                <w:bCs/>
                <w:color w:val="000000"/>
                <w:sz w:val="14"/>
                <w:szCs w:val="14"/>
              </w:rPr>
              <w:t> </w:t>
            </w:r>
          </w:p>
        </w:tc>
      </w:tr>
      <w:tr w:rsidR="009D46E6" w:rsidRPr="00DB1559" w:rsidTr="00DB1559">
        <w:trPr>
          <w:trHeight w:val="255"/>
          <w:jc w:val="center"/>
        </w:trPr>
        <w:tc>
          <w:tcPr>
            <w:tcW w:w="2077" w:type="pct"/>
            <w:tcBorders>
              <w:top w:val="single" w:sz="4" w:space="0" w:color="943634"/>
              <w:left w:val="single" w:sz="8" w:space="0" w:color="FFFFFF"/>
              <w:bottom w:val="nil"/>
              <w:right w:val="single" w:sz="24" w:space="0" w:color="FFFFFF"/>
            </w:tcBorders>
            <w:shd w:val="clear" w:color="auto" w:fill="F2DBDB"/>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Zaměstnaní ve VaV (počet ve FTE)</w:t>
            </w:r>
          </w:p>
        </w:tc>
        <w:tc>
          <w:tcPr>
            <w:tcW w:w="325" w:type="pct"/>
            <w:tcBorders>
              <w:top w:val="single" w:sz="4" w:space="0" w:color="943634"/>
              <w:left w:val="nil"/>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w:t>
            </w:r>
          </w:p>
        </w:tc>
        <w:tc>
          <w:tcPr>
            <w:tcW w:w="325" w:type="pct"/>
            <w:tcBorders>
              <w:top w:val="single" w:sz="4" w:space="0" w:color="943634"/>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w:t>
            </w:r>
          </w:p>
        </w:tc>
        <w:tc>
          <w:tcPr>
            <w:tcW w:w="325" w:type="pct"/>
            <w:tcBorders>
              <w:top w:val="single" w:sz="4" w:space="0" w:color="943634"/>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43 370</w:t>
            </w:r>
          </w:p>
        </w:tc>
        <w:tc>
          <w:tcPr>
            <w:tcW w:w="325" w:type="pct"/>
            <w:tcBorders>
              <w:top w:val="single" w:sz="4" w:space="0" w:color="943634"/>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49 192</w:t>
            </w:r>
          </w:p>
        </w:tc>
        <w:tc>
          <w:tcPr>
            <w:tcW w:w="325" w:type="pct"/>
            <w:tcBorders>
              <w:top w:val="single" w:sz="4" w:space="0" w:color="943634"/>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50 808</w:t>
            </w:r>
          </w:p>
        </w:tc>
        <w:tc>
          <w:tcPr>
            <w:tcW w:w="325" w:type="pct"/>
            <w:tcBorders>
              <w:top w:val="single" w:sz="4" w:space="0" w:color="943634"/>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50 961</w:t>
            </w:r>
          </w:p>
        </w:tc>
        <w:tc>
          <w:tcPr>
            <w:tcW w:w="325" w:type="pct"/>
            <w:tcBorders>
              <w:top w:val="single" w:sz="4" w:space="0" w:color="943634"/>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52 290</w:t>
            </w:r>
          </w:p>
        </w:tc>
        <w:tc>
          <w:tcPr>
            <w:tcW w:w="325" w:type="pct"/>
            <w:tcBorders>
              <w:top w:val="single" w:sz="4" w:space="0" w:color="943634"/>
              <w:left w:val="single" w:sz="8" w:space="0" w:color="FFFFFF"/>
              <w:bottom w:val="single" w:sz="8" w:space="0" w:color="FFFFFF"/>
              <w:right w:val="single" w:sz="8" w:space="0" w:color="FFFFFF"/>
            </w:tcBorders>
            <w:shd w:val="clear" w:color="auto" w:fill="F2DBDB"/>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55 697</w:t>
            </w:r>
          </w:p>
        </w:tc>
        <w:tc>
          <w:tcPr>
            <w:tcW w:w="323" w:type="pct"/>
            <w:tcBorders>
              <w:top w:val="single" w:sz="4" w:space="0" w:color="943634"/>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60 223</w:t>
            </w:r>
          </w:p>
        </w:tc>
      </w:tr>
      <w:tr w:rsidR="009D46E6" w:rsidRPr="00DB1559" w:rsidTr="00DB1559">
        <w:trPr>
          <w:trHeight w:val="255"/>
          <w:jc w:val="center"/>
        </w:trPr>
        <w:tc>
          <w:tcPr>
            <w:tcW w:w="2077" w:type="pct"/>
            <w:tcBorders>
              <w:left w:val="single" w:sz="8" w:space="0" w:color="FFFFFF"/>
              <w:bottom w:val="nil"/>
              <w:right w:val="single" w:sz="24" w:space="0" w:color="FFFFFF"/>
            </w:tcBorders>
            <w:shd w:val="clear" w:color="auto" w:fill="FFFFFF"/>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Zaměstnaní ve VaV (počet ve FTE na 1000 obyvatel)</w:t>
            </w:r>
          </w:p>
        </w:tc>
        <w:tc>
          <w:tcPr>
            <w:tcW w:w="325" w:type="pct"/>
            <w:tcBorders>
              <w:left w:val="nil"/>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4,5</w:t>
            </w:r>
          </w:p>
        </w:tc>
        <w:tc>
          <w:tcPr>
            <w:tcW w:w="325" w:type="pct"/>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5,0</w:t>
            </w:r>
          </w:p>
        </w:tc>
        <w:tc>
          <w:tcPr>
            <w:tcW w:w="325" w:type="pct"/>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8,8</w:t>
            </w:r>
          </w:p>
        </w:tc>
        <w:tc>
          <w:tcPr>
            <w:tcW w:w="325" w:type="pct"/>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9,7</w:t>
            </w:r>
          </w:p>
        </w:tc>
        <w:tc>
          <w:tcPr>
            <w:tcW w:w="325" w:type="pct"/>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9,8</w:t>
            </w:r>
          </w:p>
        </w:tc>
        <w:tc>
          <w:tcPr>
            <w:tcW w:w="325" w:type="pct"/>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10,0</w:t>
            </w:r>
          </w:p>
        </w:tc>
        <w:tc>
          <w:tcPr>
            <w:tcW w:w="325" w:type="pct"/>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10,3</w:t>
            </w:r>
          </w:p>
        </w:tc>
        <w:tc>
          <w:tcPr>
            <w:tcW w:w="325" w:type="pct"/>
            <w:shd w:val="clear" w:color="auto" w:fill="FFFFFF"/>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11,0</w:t>
            </w:r>
          </w:p>
        </w:tc>
        <w:tc>
          <w:tcPr>
            <w:tcW w:w="323" w:type="pct"/>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w:t>
            </w:r>
          </w:p>
        </w:tc>
      </w:tr>
      <w:tr w:rsidR="009D46E6" w:rsidRPr="00DB1559" w:rsidTr="00DB1559">
        <w:trPr>
          <w:trHeight w:val="255"/>
          <w:jc w:val="center"/>
        </w:trPr>
        <w:tc>
          <w:tcPr>
            <w:tcW w:w="2077" w:type="pct"/>
            <w:tcBorders>
              <w:top w:val="single" w:sz="8" w:space="0" w:color="FFFFFF"/>
              <w:left w:val="single" w:sz="8" w:space="0" w:color="FFFFFF"/>
              <w:bottom w:val="nil"/>
              <w:right w:val="single" w:sz="24" w:space="0" w:color="FFFFFF"/>
            </w:tcBorders>
            <w:shd w:val="clear" w:color="auto" w:fill="F2DBDB"/>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Výzkumní pracovníci (počet ve FTE)</w:t>
            </w:r>
          </w:p>
        </w:tc>
        <w:tc>
          <w:tcPr>
            <w:tcW w:w="325" w:type="pct"/>
            <w:tcBorders>
              <w:top w:val="single" w:sz="8" w:space="0" w:color="FFFFFF"/>
              <w:left w:val="nil"/>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w:t>
            </w:r>
          </w:p>
        </w:tc>
        <w:tc>
          <w:tcPr>
            <w:tcW w:w="325" w:type="pct"/>
            <w:tcBorders>
              <w:top w:val="single" w:sz="8" w:space="0" w:color="FFFFFF"/>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w:t>
            </w:r>
          </w:p>
        </w:tc>
        <w:tc>
          <w:tcPr>
            <w:tcW w:w="325" w:type="pct"/>
            <w:tcBorders>
              <w:top w:val="single" w:sz="8" w:space="0" w:color="FFFFFF"/>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24 169</w:t>
            </w:r>
          </w:p>
        </w:tc>
        <w:tc>
          <w:tcPr>
            <w:tcW w:w="325" w:type="pct"/>
            <w:tcBorders>
              <w:top w:val="single" w:sz="8" w:space="0" w:color="FFFFFF"/>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27 878</w:t>
            </w:r>
          </w:p>
        </w:tc>
        <w:tc>
          <w:tcPr>
            <w:tcW w:w="325" w:type="pct"/>
            <w:tcBorders>
              <w:top w:val="single" w:sz="8" w:space="0" w:color="FFFFFF"/>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29 785</w:t>
            </w:r>
          </w:p>
        </w:tc>
        <w:tc>
          <w:tcPr>
            <w:tcW w:w="325" w:type="pct"/>
            <w:tcBorders>
              <w:top w:val="single" w:sz="8" w:space="0" w:color="FFFFFF"/>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28 759</w:t>
            </w:r>
          </w:p>
        </w:tc>
        <w:tc>
          <w:tcPr>
            <w:tcW w:w="325" w:type="pct"/>
            <w:tcBorders>
              <w:top w:val="single" w:sz="8" w:space="0" w:color="FFFFFF"/>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29 228</w:t>
            </w:r>
          </w:p>
        </w:tc>
        <w:tc>
          <w:tcPr>
            <w:tcW w:w="325" w:type="pct"/>
            <w:tcBorders>
              <w:top w:val="single" w:sz="8" w:space="0" w:color="FFFFFF"/>
              <w:left w:val="single" w:sz="8" w:space="0" w:color="FFFFFF"/>
              <w:bottom w:val="single" w:sz="8" w:space="0" w:color="FFFFFF"/>
              <w:right w:val="single" w:sz="8" w:space="0" w:color="FFFFFF"/>
            </w:tcBorders>
            <w:shd w:val="clear" w:color="auto" w:fill="F2DBDB"/>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30 682</w:t>
            </w:r>
          </w:p>
        </w:tc>
        <w:tc>
          <w:tcPr>
            <w:tcW w:w="323" w:type="pct"/>
            <w:tcBorders>
              <w:top w:val="single" w:sz="8" w:space="0" w:color="FFFFFF"/>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33 169</w:t>
            </w:r>
          </w:p>
        </w:tc>
      </w:tr>
      <w:tr w:rsidR="009D46E6" w:rsidRPr="00DB1559" w:rsidTr="00DB1559">
        <w:trPr>
          <w:trHeight w:val="255"/>
          <w:jc w:val="center"/>
        </w:trPr>
        <w:tc>
          <w:tcPr>
            <w:tcW w:w="2077" w:type="pct"/>
            <w:tcBorders>
              <w:left w:val="single" w:sz="8" w:space="0" w:color="FFFFFF"/>
              <w:bottom w:val="nil"/>
              <w:right w:val="single" w:sz="24" w:space="0" w:color="FFFFFF"/>
            </w:tcBorders>
            <w:shd w:val="clear" w:color="auto" w:fill="FFFFFF"/>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Výzkumní pracovníci (počet ve FTE na 1000 obyvatel)</w:t>
            </w:r>
          </w:p>
        </w:tc>
        <w:tc>
          <w:tcPr>
            <w:tcW w:w="325" w:type="pct"/>
            <w:tcBorders>
              <w:left w:val="nil"/>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2,3</w:t>
            </w:r>
          </w:p>
        </w:tc>
        <w:tc>
          <w:tcPr>
            <w:tcW w:w="325" w:type="pct"/>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2,9</w:t>
            </w:r>
          </w:p>
        </w:tc>
        <w:tc>
          <w:tcPr>
            <w:tcW w:w="325" w:type="pct"/>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4,9</w:t>
            </w:r>
          </w:p>
        </w:tc>
        <w:tc>
          <w:tcPr>
            <w:tcW w:w="325" w:type="pct"/>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5,5</w:t>
            </w:r>
          </w:p>
        </w:tc>
        <w:tc>
          <w:tcPr>
            <w:tcW w:w="325" w:type="pct"/>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5,7</w:t>
            </w:r>
          </w:p>
        </w:tc>
        <w:tc>
          <w:tcPr>
            <w:tcW w:w="325" w:type="pct"/>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5,6</w:t>
            </w:r>
          </w:p>
        </w:tc>
        <w:tc>
          <w:tcPr>
            <w:tcW w:w="325" w:type="pct"/>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5,8</w:t>
            </w:r>
          </w:p>
        </w:tc>
        <w:tc>
          <w:tcPr>
            <w:tcW w:w="325" w:type="pct"/>
            <w:shd w:val="clear" w:color="auto" w:fill="FFFFFF"/>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6,1</w:t>
            </w:r>
          </w:p>
        </w:tc>
        <w:tc>
          <w:tcPr>
            <w:tcW w:w="323" w:type="pct"/>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w:t>
            </w:r>
          </w:p>
        </w:tc>
      </w:tr>
      <w:tr w:rsidR="009D46E6" w:rsidRPr="00DB1559" w:rsidTr="00DB1559">
        <w:trPr>
          <w:trHeight w:val="255"/>
          <w:jc w:val="center"/>
        </w:trPr>
        <w:tc>
          <w:tcPr>
            <w:tcW w:w="2077" w:type="pct"/>
            <w:tcBorders>
              <w:top w:val="single" w:sz="8" w:space="0" w:color="FFFFFF"/>
              <w:left w:val="single" w:sz="8" w:space="0" w:color="FFFFFF"/>
              <w:bottom w:val="nil"/>
              <w:right w:val="single" w:sz="24" w:space="0" w:color="FFFFFF"/>
            </w:tcBorders>
            <w:shd w:val="clear" w:color="auto" w:fill="F2DBDB"/>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Podíl žen na počtu výzkumných pracovníků (FTE, v %)</w:t>
            </w:r>
          </w:p>
        </w:tc>
        <w:tc>
          <w:tcPr>
            <w:tcW w:w="325" w:type="pct"/>
            <w:tcBorders>
              <w:top w:val="single" w:sz="8" w:space="0" w:color="FFFFFF"/>
              <w:left w:val="nil"/>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w:t>
            </w:r>
          </w:p>
        </w:tc>
        <w:tc>
          <w:tcPr>
            <w:tcW w:w="325" w:type="pct"/>
            <w:tcBorders>
              <w:top w:val="single" w:sz="8" w:space="0" w:color="FFFFFF"/>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w:t>
            </w:r>
          </w:p>
        </w:tc>
        <w:tc>
          <w:tcPr>
            <w:tcW w:w="325" w:type="pct"/>
            <w:tcBorders>
              <w:top w:val="single" w:sz="8" w:space="0" w:color="FFFFFF"/>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26,3</w:t>
            </w:r>
          </w:p>
        </w:tc>
        <w:tc>
          <w:tcPr>
            <w:tcW w:w="325" w:type="pct"/>
            <w:tcBorders>
              <w:top w:val="single" w:sz="8" w:space="0" w:color="FFFFFF"/>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25,4</w:t>
            </w:r>
          </w:p>
        </w:tc>
        <w:tc>
          <w:tcPr>
            <w:tcW w:w="325" w:type="pct"/>
            <w:tcBorders>
              <w:top w:val="single" w:sz="8" w:space="0" w:color="FFFFFF"/>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25,4</w:t>
            </w:r>
          </w:p>
        </w:tc>
        <w:tc>
          <w:tcPr>
            <w:tcW w:w="325" w:type="pct"/>
            <w:tcBorders>
              <w:top w:val="single" w:sz="8" w:space="0" w:color="FFFFFF"/>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26</w:t>
            </w:r>
          </w:p>
        </w:tc>
        <w:tc>
          <w:tcPr>
            <w:tcW w:w="325" w:type="pct"/>
            <w:tcBorders>
              <w:top w:val="single" w:sz="8" w:space="0" w:color="FFFFFF"/>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25,4</w:t>
            </w:r>
          </w:p>
        </w:tc>
        <w:tc>
          <w:tcPr>
            <w:tcW w:w="325" w:type="pct"/>
            <w:tcBorders>
              <w:top w:val="single" w:sz="8" w:space="0" w:color="FFFFFF"/>
              <w:left w:val="single" w:sz="8" w:space="0" w:color="FFFFFF"/>
              <w:bottom w:val="single" w:sz="8" w:space="0" w:color="FFFFFF"/>
              <w:right w:val="single" w:sz="8" w:space="0" w:color="FFFFFF"/>
            </w:tcBorders>
            <w:shd w:val="clear" w:color="auto" w:fill="F2DBDB"/>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25,1</w:t>
            </w:r>
          </w:p>
        </w:tc>
        <w:tc>
          <w:tcPr>
            <w:tcW w:w="323" w:type="pct"/>
            <w:tcBorders>
              <w:top w:val="single" w:sz="8" w:space="0" w:color="FFFFFF"/>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24,7</w:t>
            </w:r>
          </w:p>
        </w:tc>
      </w:tr>
      <w:tr w:rsidR="009D46E6" w:rsidRPr="00DB1559" w:rsidTr="00DB1559">
        <w:trPr>
          <w:trHeight w:val="255"/>
          <w:jc w:val="center"/>
        </w:trPr>
        <w:tc>
          <w:tcPr>
            <w:tcW w:w="2077" w:type="pct"/>
            <w:tcBorders>
              <w:left w:val="single" w:sz="8" w:space="0" w:color="FFFFFF"/>
              <w:bottom w:val="single" w:sz="4" w:space="0" w:color="943634"/>
              <w:right w:val="single" w:sz="24" w:space="0" w:color="FFFFFF"/>
            </w:tcBorders>
            <w:shd w:val="clear" w:color="auto" w:fill="FFFFFF"/>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Podíl osob s VŠ vzděláním (% populace 25 - 64 let)</w:t>
            </w:r>
          </w:p>
        </w:tc>
        <w:tc>
          <w:tcPr>
            <w:tcW w:w="325" w:type="pct"/>
            <w:tcBorders>
              <w:left w:val="nil"/>
              <w:bottom w:val="single" w:sz="4" w:space="0" w:color="943634"/>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w:t>
            </w:r>
          </w:p>
        </w:tc>
        <w:tc>
          <w:tcPr>
            <w:tcW w:w="325" w:type="pct"/>
            <w:tcBorders>
              <w:bottom w:val="single" w:sz="4" w:space="0" w:color="943634"/>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11,5</w:t>
            </w:r>
          </w:p>
        </w:tc>
        <w:tc>
          <w:tcPr>
            <w:tcW w:w="325" w:type="pct"/>
            <w:tcBorders>
              <w:bottom w:val="single" w:sz="4" w:space="0" w:color="943634"/>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13,1</w:t>
            </w:r>
          </w:p>
        </w:tc>
        <w:tc>
          <w:tcPr>
            <w:tcW w:w="325" w:type="pct"/>
            <w:tcBorders>
              <w:bottom w:val="single" w:sz="4" w:space="0" w:color="943634"/>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13,7</w:t>
            </w:r>
          </w:p>
        </w:tc>
        <w:tc>
          <w:tcPr>
            <w:tcW w:w="325" w:type="pct"/>
            <w:tcBorders>
              <w:bottom w:val="single" w:sz="4" w:space="0" w:color="943634"/>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14,5</w:t>
            </w:r>
          </w:p>
        </w:tc>
        <w:tc>
          <w:tcPr>
            <w:tcW w:w="325" w:type="pct"/>
            <w:tcBorders>
              <w:bottom w:val="single" w:sz="4" w:space="0" w:color="943634"/>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15,5</w:t>
            </w:r>
          </w:p>
        </w:tc>
        <w:tc>
          <w:tcPr>
            <w:tcW w:w="325" w:type="pct"/>
            <w:tcBorders>
              <w:bottom w:val="single" w:sz="4" w:space="0" w:color="943634"/>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16,8</w:t>
            </w:r>
          </w:p>
        </w:tc>
        <w:tc>
          <w:tcPr>
            <w:tcW w:w="325" w:type="pct"/>
            <w:tcBorders>
              <w:bottom w:val="single" w:sz="4" w:space="0" w:color="943634"/>
            </w:tcBorders>
            <w:shd w:val="clear" w:color="auto" w:fill="FFFFFF"/>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18,2</w:t>
            </w:r>
          </w:p>
        </w:tc>
        <w:tc>
          <w:tcPr>
            <w:tcW w:w="323" w:type="pct"/>
            <w:tcBorders>
              <w:bottom w:val="single" w:sz="4" w:space="0" w:color="943634"/>
            </w:tcBorders>
            <w:shd w:val="clear" w:color="auto" w:fill="FFFFFF"/>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19,2</w:t>
            </w:r>
          </w:p>
        </w:tc>
      </w:tr>
      <w:tr w:rsidR="009D46E6" w:rsidRPr="00DB1559" w:rsidTr="00DB1559">
        <w:trPr>
          <w:trHeight w:val="255"/>
          <w:jc w:val="center"/>
        </w:trPr>
        <w:tc>
          <w:tcPr>
            <w:tcW w:w="2077" w:type="pct"/>
            <w:tcBorders>
              <w:top w:val="single" w:sz="4" w:space="0" w:color="943634"/>
              <w:left w:val="single" w:sz="8" w:space="0" w:color="FFFFFF"/>
              <w:bottom w:val="single" w:sz="4" w:space="0" w:color="943634"/>
              <w:right w:val="single" w:sz="24" w:space="0" w:color="FFFFFF"/>
            </w:tcBorders>
            <w:shd w:val="clear" w:color="auto" w:fill="FFFFFF"/>
            <w:noWrap/>
            <w:vAlign w:val="center"/>
          </w:tcPr>
          <w:p w:rsidR="009D46E6" w:rsidRPr="00DB1559" w:rsidRDefault="009D46E6" w:rsidP="00DB1559">
            <w:pPr>
              <w:spacing w:after="0" w:line="240" w:lineRule="auto"/>
              <w:jc w:val="left"/>
              <w:rPr>
                <w:rFonts w:cs="Tahoma"/>
                <w:b/>
                <w:bCs/>
                <w:sz w:val="14"/>
                <w:szCs w:val="14"/>
              </w:rPr>
            </w:pPr>
            <w:r w:rsidRPr="00DB1559">
              <w:rPr>
                <w:rFonts w:cs="Tahoma"/>
                <w:b/>
                <w:bCs/>
                <w:sz w:val="14"/>
                <w:szCs w:val="14"/>
              </w:rPr>
              <w:t>Výsledky</w:t>
            </w:r>
          </w:p>
        </w:tc>
        <w:tc>
          <w:tcPr>
            <w:tcW w:w="325" w:type="pct"/>
            <w:tcBorders>
              <w:top w:val="single" w:sz="4" w:space="0" w:color="943634"/>
              <w:left w:val="nil"/>
              <w:bottom w:val="single" w:sz="4" w:space="0" w:color="943634"/>
              <w:right w:val="single" w:sz="8" w:space="0" w:color="FFFFFF"/>
            </w:tcBorders>
            <w:shd w:val="clear" w:color="auto" w:fill="FFFFFF"/>
            <w:noWrap/>
            <w:vAlign w:val="center"/>
          </w:tcPr>
          <w:p w:rsidR="009D46E6" w:rsidRPr="00DB1559" w:rsidRDefault="009D46E6">
            <w:pPr>
              <w:rPr>
                <w:rFonts w:ascii="Calibri" w:hAnsi="Calibri" w:cs="Arial"/>
                <w:color w:val="000000"/>
                <w:sz w:val="22"/>
                <w:szCs w:val="22"/>
              </w:rPr>
            </w:pPr>
            <w:r w:rsidRPr="00DB1559">
              <w:rPr>
                <w:rFonts w:ascii="Calibri" w:hAnsi="Calibri" w:cs="Arial"/>
                <w:color w:val="000000"/>
                <w:sz w:val="22"/>
                <w:szCs w:val="22"/>
              </w:rPr>
              <w:t> </w:t>
            </w:r>
          </w:p>
        </w:tc>
        <w:tc>
          <w:tcPr>
            <w:tcW w:w="325" w:type="pct"/>
            <w:tcBorders>
              <w:top w:val="single" w:sz="4" w:space="0" w:color="943634"/>
              <w:left w:val="single" w:sz="8" w:space="0" w:color="FFFFFF"/>
              <w:bottom w:val="single" w:sz="4" w:space="0" w:color="943634"/>
              <w:right w:val="single" w:sz="8" w:space="0" w:color="FFFFFF"/>
            </w:tcBorders>
            <w:shd w:val="clear" w:color="auto" w:fill="FFFFFF"/>
            <w:noWrap/>
            <w:vAlign w:val="center"/>
          </w:tcPr>
          <w:p w:rsidR="009D46E6" w:rsidRPr="00DB1559" w:rsidRDefault="009D46E6">
            <w:pPr>
              <w:rPr>
                <w:rFonts w:ascii="Calibri" w:hAnsi="Calibri" w:cs="Arial"/>
                <w:color w:val="000000"/>
                <w:sz w:val="22"/>
                <w:szCs w:val="22"/>
              </w:rPr>
            </w:pPr>
            <w:r w:rsidRPr="00DB1559">
              <w:rPr>
                <w:rFonts w:ascii="Calibri" w:hAnsi="Calibri" w:cs="Arial"/>
                <w:color w:val="000000"/>
                <w:sz w:val="22"/>
                <w:szCs w:val="22"/>
              </w:rPr>
              <w:t> </w:t>
            </w:r>
          </w:p>
        </w:tc>
        <w:tc>
          <w:tcPr>
            <w:tcW w:w="325" w:type="pct"/>
            <w:tcBorders>
              <w:top w:val="single" w:sz="4" w:space="0" w:color="943634"/>
              <w:left w:val="single" w:sz="8" w:space="0" w:color="FFFFFF"/>
              <w:bottom w:val="single" w:sz="4" w:space="0" w:color="943634"/>
              <w:right w:val="single" w:sz="8" w:space="0" w:color="FFFFFF"/>
            </w:tcBorders>
            <w:shd w:val="clear" w:color="auto" w:fill="FFFFFF"/>
            <w:noWrap/>
            <w:vAlign w:val="center"/>
          </w:tcPr>
          <w:p w:rsidR="009D46E6" w:rsidRPr="00DB1559" w:rsidRDefault="009D46E6">
            <w:pPr>
              <w:rPr>
                <w:rFonts w:ascii="Calibri" w:hAnsi="Calibri" w:cs="Arial"/>
                <w:color w:val="000000"/>
                <w:sz w:val="22"/>
                <w:szCs w:val="22"/>
              </w:rPr>
            </w:pPr>
            <w:r w:rsidRPr="00DB1559">
              <w:rPr>
                <w:rFonts w:ascii="Calibri" w:hAnsi="Calibri" w:cs="Arial"/>
                <w:color w:val="000000"/>
                <w:sz w:val="22"/>
                <w:szCs w:val="22"/>
              </w:rPr>
              <w:t> </w:t>
            </w:r>
          </w:p>
        </w:tc>
        <w:tc>
          <w:tcPr>
            <w:tcW w:w="325" w:type="pct"/>
            <w:tcBorders>
              <w:top w:val="single" w:sz="4" w:space="0" w:color="943634"/>
              <w:left w:val="single" w:sz="8" w:space="0" w:color="FFFFFF"/>
              <w:bottom w:val="single" w:sz="4" w:space="0" w:color="943634"/>
              <w:right w:val="single" w:sz="8" w:space="0" w:color="FFFFFF"/>
            </w:tcBorders>
            <w:shd w:val="clear" w:color="auto" w:fill="FFFFFF"/>
            <w:noWrap/>
            <w:vAlign w:val="center"/>
          </w:tcPr>
          <w:p w:rsidR="009D46E6" w:rsidRPr="00DB1559" w:rsidRDefault="009D46E6">
            <w:pPr>
              <w:rPr>
                <w:rFonts w:ascii="Calibri" w:hAnsi="Calibri" w:cs="Arial"/>
                <w:color w:val="000000"/>
                <w:sz w:val="22"/>
                <w:szCs w:val="22"/>
              </w:rPr>
            </w:pPr>
            <w:r w:rsidRPr="00DB1559">
              <w:rPr>
                <w:rFonts w:ascii="Calibri" w:hAnsi="Calibri" w:cs="Arial"/>
                <w:color w:val="000000"/>
                <w:sz w:val="22"/>
                <w:szCs w:val="22"/>
              </w:rPr>
              <w:t> </w:t>
            </w:r>
          </w:p>
        </w:tc>
        <w:tc>
          <w:tcPr>
            <w:tcW w:w="325" w:type="pct"/>
            <w:tcBorders>
              <w:top w:val="single" w:sz="4" w:space="0" w:color="943634"/>
              <w:left w:val="single" w:sz="8" w:space="0" w:color="FFFFFF"/>
              <w:bottom w:val="single" w:sz="4" w:space="0" w:color="943634"/>
              <w:right w:val="single" w:sz="8" w:space="0" w:color="FFFFFF"/>
            </w:tcBorders>
            <w:shd w:val="clear" w:color="auto" w:fill="FFFFFF"/>
            <w:noWrap/>
            <w:vAlign w:val="center"/>
          </w:tcPr>
          <w:p w:rsidR="009D46E6" w:rsidRPr="00DB1559" w:rsidRDefault="009D46E6">
            <w:pPr>
              <w:rPr>
                <w:rFonts w:ascii="Calibri" w:hAnsi="Calibri" w:cs="Arial"/>
                <w:color w:val="000000"/>
                <w:sz w:val="22"/>
                <w:szCs w:val="22"/>
              </w:rPr>
            </w:pPr>
            <w:r w:rsidRPr="00DB1559">
              <w:rPr>
                <w:rFonts w:ascii="Calibri" w:hAnsi="Calibri" w:cs="Arial"/>
                <w:color w:val="000000"/>
                <w:sz w:val="22"/>
                <w:szCs w:val="22"/>
              </w:rPr>
              <w:t> </w:t>
            </w:r>
          </w:p>
        </w:tc>
        <w:tc>
          <w:tcPr>
            <w:tcW w:w="325" w:type="pct"/>
            <w:tcBorders>
              <w:top w:val="single" w:sz="4" w:space="0" w:color="943634"/>
              <w:left w:val="single" w:sz="8" w:space="0" w:color="FFFFFF"/>
              <w:bottom w:val="single" w:sz="4" w:space="0" w:color="943634"/>
              <w:right w:val="single" w:sz="8" w:space="0" w:color="FFFFFF"/>
            </w:tcBorders>
            <w:shd w:val="clear" w:color="auto" w:fill="FFFFFF"/>
            <w:noWrap/>
            <w:vAlign w:val="center"/>
          </w:tcPr>
          <w:p w:rsidR="009D46E6" w:rsidRPr="00DB1559" w:rsidRDefault="009D46E6">
            <w:pPr>
              <w:rPr>
                <w:rFonts w:ascii="Calibri" w:hAnsi="Calibri" w:cs="Arial"/>
                <w:color w:val="000000"/>
                <w:sz w:val="22"/>
                <w:szCs w:val="22"/>
              </w:rPr>
            </w:pPr>
            <w:r w:rsidRPr="00DB1559">
              <w:rPr>
                <w:rFonts w:ascii="Calibri" w:hAnsi="Calibri" w:cs="Arial"/>
                <w:color w:val="000000"/>
                <w:sz w:val="22"/>
                <w:szCs w:val="22"/>
              </w:rPr>
              <w:t> </w:t>
            </w:r>
          </w:p>
        </w:tc>
        <w:tc>
          <w:tcPr>
            <w:tcW w:w="325" w:type="pct"/>
            <w:tcBorders>
              <w:top w:val="single" w:sz="4" w:space="0" w:color="943634"/>
              <w:left w:val="single" w:sz="8" w:space="0" w:color="FFFFFF"/>
              <w:bottom w:val="single" w:sz="4" w:space="0" w:color="943634"/>
              <w:right w:val="single" w:sz="8" w:space="0" w:color="FFFFFF"/>
            </w:tcBorders>
            <w:shd w:val="clear" w:color="auto" w:fill="FFFFFF"/>
            <w:noWrap/>
            <w:vAlign w:val="center"/>
          </w:tcPr>
          <w:p w:rsidR="009D46E6" w:rsidRPr="00DB1559" w:rsidRDefault="009D46E6">
            <w:pPr>
              <w:rPr>
                <w:rFonts w:ascii="Calibri" w:hAnsi="Calibri" w:cs="Arial"/>
                <w:color w:val="000000"/>
                <w:sz w:val="22"/>
                <w:szCs w:val="22"/>
              </w:rPr>
            </w:pPr>
            <w:r w:rsidRPr="00DB1559">
              <w:rPr>
                <w:rFonts w:ascii="Calibri" w:hAnsi="Calibri" w:cs="Arial"/>
                <w:color w:val="000000"/>
                <w:sz w:val="22"/>
                <w:szCs w:val="22"/>
              </w:rPr>
              <w:t> </w:t>
            </w:r>
          </w:p>
        </w:tc>
        <w:tc>
          <w:tcPr>
            <w:tcW w:w="325" w:type="pct"/>
            <w:tcBorders>
              <w:top w:val="single" w:sz="4" w:space="0" w:color="943634"/>
              <w:left w:val="single" w:sz="8" w:space="0" w:color="FFFFFF"/>
              <w:bottom w:val="single" w:sz="4" w:space="0" w:color="943634"/>
              <w:right w:val="single" w:sz="8" w:space="0" w:color="FFFFFF"/>
            </w:tcBorders>
            <w:shd w:val="clear" w:color="auto" w:fill="FFFFFF"/>
            <w:vAlign w:val="center"/>
          </w:tcPr>
          <w:p w:rsidR="009D46E6" w:rsidRPr="00DB1559" w:rsidRDefault="009D46E6" w:rsidP="00DB1559">
            <w:pPr>
              <w:jc w:val="right"/>
              <w:rPr>
                <w:rFonts w:cs="Tahoma"/>
                <w:b/>
                <w:bCs/>
                <w:color w:val="000000"/>
                <w:sz w:val="14"/>
                <w:szCs w:val="14"/>
              </w:rPr>
            </w:pPr>
            <w:r w:rsidRPr="00DB1559">
              <w:rPr>
                <w:rFonts w:cs="Tahoma"/>
                <w:b/>
                <w:bCs/>
                <w:color w:val="000000"/>
                <w:sz w:val="14"/>
                <w:szCs w:val="14"/>
              </w:rPr>
              <w:t> </w:t>
            </w:r>
          </w:p>
        </w:tc>
        <w:tc>
          <w:tcPr>
            <w:tcW w:w="323" w:type="pct"/>
            <w:tcBorders>
              <w:top w:val="single" w:sz="4" w:space="0" w:color="943634"/>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jc w:val="right"/>
              <w:rPr>
                <w:rFonts w:cs="Tahoma"/>
                <w:b/>
                <w:bCs/>
                <w:color w:val="000000"/>
                <w:sz w:val="14"/>
                <w:szCs w:val="14"/>
              </w:rPr>
            </w:pPr>
            <w:r w:rsidRPr="00DB1559">
              <w:rPr>
                <w:rFonts w:cs="Tahoma"/>
                <w:b/>
                <w:bCs/>
                <w:color w:val="000000"/>
                <w:sz w:val="14"/>
                <w:szCs w:val="14"/>
              </w:rPr>
              <w:t> </w:t>
            </w:r>
          </w:p>
        </w:tc>
      </w:tr>
      <w:tr w:rsidR="009D46E6" w:rsidRPr="00DB1559" w:rsidTr="00DB1559">
        <w:trPr>
          <w:trHeight w:val="255"/>
          <w:jc w:val="center"/>
        </w:trPr>
        <w:tc>
          <w:tcPr>
            <w:tcW w:w="2077" w:type="pct"/>
            <w:tcBorders>
              <w:top w:val="single" w:sz="4" w:space="0" w:color="943634"/>
              <w:left w:val="single" w:sz="8" w:space="0" w:color="FFFFFF"/>
              <w:bottom w:val="nil"/>
              <w:right w:val="single" w:sz="24" w:space="0" w:color="FFFFFF"/>
            </w:tcBorders>
            <w:shd w:val="clear" w:color="auto" w:fill="F2DBDB"/>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Počet publikací na 1000 obyvatel</w:t>
            </w:r>
          </w:p>
        </w:tc>
        <w:tc>
          <w:tcPr>
            <w:tcW w:w="325" w:type="pct"/>
            <w:tcBorders>
              <w:top w:val="single" w:sz="4" w:space="0" w:color="943634"/>
              <w:left w:val="nil"/>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0,34</w:t>
            </w:r>
          </w:p>
        </w:tc>
        <w:tc>
          <w:tcPr>
            <w:tcW w:w="325" w:type="pct"/>
            <w:tcBorders>
              <w:top w:val="single" w:sz="4" w:space="0" w:color="943634"/>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0,43</w:t>
            </w:r>
          </w:p>
        </w:tc>
        <w:tc>
          <w:tcPr>
            <w:tcW w:w="325" w:type="pct"/>
            <w:tcBorders>
              <w:top w:val="single" w:sz="4" w:space="0" w:color="943634"/>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0,60</w:t>
            </w:r>
          </w:p>
        </w:tc>
        <w:tc>
          <w:tcPr>
            <w:tcW w:w="325" w:type="pct"/>
            <w:tcBorders>
              <w:top w:val="single" w:sz="4" w:space="0" w:color="943634"/>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0,73</w:t>
            </w:r>
          </w:p>
        </w:tc>
        <w:tc>
          <w:tcPr>
            <w:tcW w:w="325" w:type="pct"/>
            <w:tcBorders>
              <w:top w:val="single" w:sz="4" w:space="0" w:color="943634"/>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0,79</w:t>
            </w:r>
          </w:p>
        </w:tc>
        <w:tc>
          <w:tcPr>
            <w:tcW w:w="325" w:type="pct"/>
            <w:tcBorders>
              <w:top w:val="single" w:sz="4" w:space="0" w:color="943634"/>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0,84</w:t>
            </w:r>
          </w:p>
        </w:tc>
        <w:tc>
          <w:tcPr>
            <w:tcW w:w="325" w:type="pct"/>
            <w:tcBorders>
              <w:top w:val="single" w:sz="4" w:space="0" w:color="943634"/>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0,84</w:t>
            </w:r>
          </w:p>
        </w:tc>
        <w:tc>
          <w:tcPr>
            <w:tcW w:w="325" w:type="pct"/>
            <w:tcBorders>
              <w:top w:val="single" w:sz="4" w:space="0" w:color="943634"/>
            </w:tcBorders>
            <w:shd w:val="clear" w:color="auto" w:fill="F2DBDB"/>
            <w:vAlign w:val="center"/>
          </w:tcPr>
          <w:p w:rsidR="009D46E6" w:rsidRPr="00DB1559" w:rsidRDefault="009D46E6" w:rsidP="00DB1559">
            <w:pPr>
              <w:jc w:val="right"/>
              <w:rPr>
                <w:rFonts w:cs="Tahoma"/>
                <w:sz w:val="14"/>
                <w:szCs w:val="14"/>
              </w:rPr>
            </w:pPr>
            <w:r w:rsidRPr="00DB1559">
              <w:rPr>
                <w:rFonts w:cs="Tahoma"/>
                <w:sz w:val="14"/>
                <w:szCs w:val="14"/>
              </w:rPr>
              <w:t>0,93</w:t>
            </w:r>
          </w:p>
        </w:tc>
        <w:tc>
          <w:tcPr>
            <w:tcW w:w="323" w:type="pct"/>
            <w:tcBorders>
              <w:top w:val="single" w:sz="4" w:space="0" w:color="943634"/>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0,92</w:t>
            </w:r>
          </w:p>
        </w:tc>
      </w:tr>
      <w:tr w:rsidR="009D46E6" w:rsidRPr="00DB1559" w:rsidTr="00DB1559">
        <w:trPr>
          <w:trHeight w:val="454"/>
          <w:jc w:val="center"/>
        </w:trPr>
        <w:tc>
          <w:tcPr>
            <w:tcW w:w="2077" w:type="pct"/>
            <w:tcBorders>
              <w:top w:val="single" w:sz="8" w:space="0" w:color="FFFFFF"/>
              <w:left w:val="single" w:sz="8" w:space="0" w:color="FFFFFF"/>
              <w:bottom w:val="nil"/>
              <w:right w:val="single" w:sz="24" w:space="0" w:color="FFFFFF"/>
            </w:tcBorders>
            <w:shd w:val="clear" w:color="auto" w:fill="FFFFFF"/>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Oborově normalizovaná citovanost odborných publikací</w:t>
            </w:r>
          </w:p>
          <w:p w:rsidR="009D46E6" w:rsidRPr="00DB1559" w:rsidRDefault="009D46E6" w:rsidP="00DB1559">
            <w:pPr>
              <w:spacing w:after="0" w:line="240" w:lineRule="auto"/>
              <w:jc w:val="left"/>
              <w:rPr>
                <w:rFonts w:cs="Tahoma"/>
                <w:b/>
                <w:bCs/>
                <w:sz w:val="14"/>
                <w:szCs w:val="14"/>
              </w:rPr>
            </w:pPr>
            <w:r w:rsidRPr="00DB1559">
              <w:rPr>
                <w:rFonts w:cs="Tahoma"/>
                <w:bCs/>
                <w:sz w:val="14"/>
                <w:szCs w:val="14"/>
              </w:rPr>
              <w:t>(v % světového průměru)</w:t>
            </w:r>
          </w:p>
        </w:tc>
        <w:tc>
          <w:tcPr>
            <w:tcW w:w="325" w:type="pct"/>
            <w:tcBorders>
              <w:top w:val="single" w:sz="8" w:space="0" w:color="FFFFFF"/>
              <w:left w:val="nil"/>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55,0</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67,9</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81,1</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87,6</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92,5</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94,5</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104,6</w:t>
            </w:r>
          </w:p>
        </w:tc>
        <w:tc>
          <w:tcPr>
            <w:tcW w:w="325" w:type="pct"/>
            <w:tcBorders>
              <w:top w:val="single" w:sz="8" w:space="0" w:color="FFFFFF"/>
              <w:left w:val="single" w:sz="8" w:space="0" w:color="FFFFFF"/>
              <w:bottom w:val="single" w:sz="8" w:space="0" w:color="FFFFFF"/>
              <w:right w:val="single" w:sz="8" w:space="0" w:color="FFFFFF"/>
            </w:tcBorders>
            <w:shd w:val="clear" w:color="auto" w:fill="FFFFFF"/>
            <w:vAlign w:val="center"/>
          </w:tcPr>
          <w:p w:rsidR="009D46E6" w:rsidRPr="00DB1559" w:rsidRDefault="009D46E6" w:rsidP="00DB1559">
            <w:pPr>
              <w:jc w:val="right"/>
              <w:rPr>
                <w:rFonts w:cs="Tahoma"/>
                <w:sz w:val="14"/>
                <w:szCs w:val="14"/>
              </w:rPr>
            </w:pPr>
            <w:r w:rsidRPr="00DB1559">
              <w:rPr>
                <w:rFonts w:cs="Tahoma"/>
                <w:sz w:val="14"/>
                <w:szCs w:val="14"/>
              </w:rPr>
              <w:t>112,4</w:t>
            </w:r>
          </w:p>
        </w:tc>
        <w:tc>
          <w:tcPr>
            <w:tcW w:w="323"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145,8</w:t>
            </w:r>
          </w:p>
        </w:tc>
      </w:tr>
      <w:tr w:rsidR="009D46E6" w:rsidRPr="00DB1559" w:rsidTr="00DB1559">
        <w:trPr>
          <w:trHeight w:val="255"/>
          <w:jc w:val="center"/>
        </w:trPr>
        <w:tc>
          <w:tcPr>
            <w:tcW w:w="2077" w:type="pct"/>
            <w:tcBorders>
              <w:left w:val="single" w:sz="8" w:space="0" w:color="FFFFFF"/>
              <w:bottom w:val="nil"/>
              <w:right w:val="single" w:sz="24" w:space="0" w:color="FFFFFF"/>
            </w:tcBorders>
            <w:shd w:val="clear" w:color="auto" w:fill="F2DBDB"/>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Počet přihlášek patentů u EPO (na 1 mil. obyvatel)</w:t>
            </w:r>
          </w:p>
        </w:tc>
        <w:tc>
          <w:tcPr>
            <w:tcW w:w="325" w:type="pct"/>
            <w:tcBorders>
              <w:left w:val="nil"/>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1,4</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4,5</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7,5</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9,4</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10,5</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12,9</w:t>
            </w:r>
          </w:p>
        </w:tc>
        <w:tc>
          <w:tcPr>
            <w:tcW w:w="325"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15,9</w:t>
            </w:r>
          </w:p>
        </w:tc>
        <w:tc>
          <w:tcPr>
            <w:tcW w:w="325" w:type="pct"/>
            <w:shd w:val="clear" w:color="auto" w:fill="F2DBDB"/>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15,4</w:t>
            </w:r>
          </w:p>
        </w:tc>
        <w:tc>
          <w:tcPr>
            <w:tcW w:w="323"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13,1</w:t>
            </w:r>
          </w:p>
        </w:tc>
      </w:tr>
      <w:tr w:rsidR="009D46E6" w:rsidRPr="00DB1559" w:rsidTr="00DB1559">
        <w:trPr>
          <w:trHeight w:val="255"/>
          <w:jc w:val="center"/>
        </w:trPr>
        <w:tc>
          <w:tcPr>
            <w:tcW w:w="2077" w:type="pct"/>
            <w:tcBorders>
              <w:top w:val="single" w:sz="8" w:space="0" w:color="FFFFFF"/>
              <w:left w:val="single" w:sz="8" w:space="0" w:color="FFFFFF"/>
              <w:bottom w:val="nil"/>
              <w:right w:val="single" w:sz="24" w:space="0" w:color="FFFFFF"/>
            </w:tcBorders>
            <w:shd w:val="clear" w:color="auto" w:fill="FFFFFF"/>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Příjmy z licencí na patenty a užitné vzory (v mil. Kč)</w:t>
            </w:r>
          </w:p>
        </w:tc>
        <w:tc>
          <w:tcPr>
            <w:tcW w:w="325" w:type="pct"/>
            <w:tcBorders>
              <w:top w:val="single" w:sz="8" w:space="0" w:color="FFFFFF"/>
              <w:left w:val="nil"/>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538</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1 257</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1 160</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1 332</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1 586</w:t>
            </w:r>
          </w:p>
        </w:tc>
        <w:tc>
          <w:tcPr>
            <w:tcW w:w="325" w:type="pct"/>
            <w:tcBorders>
              <w:top w:val="single" w:sz="8" w:space="0" w:color="FFFFFF"/>
              <w:left w:val="single" w:sz="8" w:space="0" w:color="FFFFFF"/>
              <w:bottom w:val="single" w:sz="8" w:space="0" w:color="FFFFFF"/>
              <w:right w:val="single" w:sz="8" w:space="0" w:color="FFFFFF"/>
            </w:tcBorders>
            <w:shd w:val="clear" w:color="auto" w:fill="FFFFFF"/>
            <w:vAlign w:val="center"/>
          </w:tcPr>
          <w:p w:rsidR="009D46E6" w:rsidRPr="00DB1559" w:rsidRDefault="009D46E6" w:rsidP="00DB1559">
            <w:pPr>
              <w:jc w:val="right"/>
              <w:rPr>
                <w:rFonts w:cs="Tahoma"/>
                <w:sz w:val="14"/>
                <w:szCs w:val="14"/>
              </w:rPr>
            </w:pPr>
            <w:r w:rsidRPr="00DB1559">
              <w:rPr>
                <w:rFonts w:cs="Tahoma"/>
                <w:sz w:val="14"/>
                <w:szCs w:val="14"/>
              </w:rPr>
              <w:t>1 745</w:t>
            </w:r>
          </w:p>
        </w:tc>
        <w:tc>
          <w:tcPr>
            <w:tcW w:w="323"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1 675</w:t>
            </w:r>
          </w:p>
        </w:tc>
      </w:tr>
      <w:tr w:rsidR="009D46E6" w:rsidRPr="00DB1559" w:rsidTr="00DB1559">
        <w:trPr>
          <w:trHeight w:val="454"/>
          <w:jc w:val="center"/>
        </w:trPr>
        <w:tc>
          <w:tcPr>
            <w:tcW w:w="2077" w:type="pct"/>
            <w:tcBorders>
              <w:left w:val="single" w:sz="8" w:space="0" w:color="FFFFFF"/>
              <w:bottom w:val="single" w:sz="4" w:space="0" w:color="943634"/>
              <w:right w:val="single" w:sz="24" w:space="0" w:color="FFFFFF"/>
            </w:tcBorders>
            <w:shd w:val="clear" w:color="auto" w:fill="F2DBDB"/>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Příjmy z licencí ze zahraničí</w:t>
            </w:r>
          </w:p>
          <w:p w:rsidR="009D46E6" w:rsidRPr="00DB1559" w:rsidRDefault="009D46E6" w:rsidP="00DB1559">
            <w:pPr>
              <w:spacing w:after="0" w:line="240" w:lineRule="auto"/>
              <w:jc w:val="left"/>
              <w:rPr>
                <w:rFonts w:cs="Tahoma"/>
                <w:b/>
                <w:bCs/>
                <w:sz w:val="14"/>
                <w:szCs w:val="14"/>
              </w:rPr>
            </w:pPr>
            <w:r w:rsidRPr="00DB1559">
              <w:rPr>
                <w:rFonts w:cs="Tahoma"/>
                <w:bCs/>
                <w:sz w:val="14"/>
                <w:szCs w:val="14"/>
              </w:rPr>
              <w:t>(v % celkových příjmů za vývoz služeb)</w:t>
            </w:r>
          </w:p>
        </w:tc>
        <w:tc>
          <w:tcPr>
            <w:tcW w:w="325" w:type="pct"/>
            <w:tcBorders>
              <w:left w:val="nil"/>
              <w:bottom w:val="single" w:sz="4" w:space="0" w:color="943634"/>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w:t>
            </w:r>
          </w:p>
        </w:tc>
        <w:tc>
          <w:tcPr>
            <w:tcW w:w="325" w:type="pct"/>
            <w:tcBorders>
              <w:bottom w:val="single" w:sz="4" w:space="0" w:color="943634"/>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1,1</w:t>
            </w:r>
          </w:p>
        </w:tc>
        <w:tc>
          <w:tcPr>
            <w:tcW w:w="325" w:type="pct"/>
            <w:tcBorders>
              <w:bottom w:val="single" w:sz="4" w:space="0" w:color="943634"/>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0,6</w:t>
            </w:r>
          </w:p>
        </w:tc>
        <w:tc>
          <w:tcPr>
            <w:tcW w:w="325" w:type="pct"/>
            <w:tcBorders>
              <w:bottom w:val="single" w:sz="4" w:space="0" w:color="943634"/>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0,3</w:t>
            </w:r>
          </w:p>
        </w:tc>
        <w:tc>
          <w:tcPr>
            <w:tcW w:w="325" w:type="pct"/>
            <w:tcBorders>
              <w:bottom w:val="single" w:sz="4" w:space="0" w:color="943634"/>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0,4</w:t>
            </w:r>
          </w:p>
        </w:tc>
        <w:tc>
          <w:tcPr>
            <w:tcW w:w="325" w:type="pct"/>
            <w:tcBorders>
              <w:bottom w:val="single" w:sz="4" w:space="0" w:color="943634"/>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0,8</w:t>
            </w:r>
          </w:p>
        </w:tc>
        <w:tc>
          <w:tcPr>
            <w:tcW w:w="325" w:type="pct"/>
            <w:tcBorders>
              <w:bottom w:val="single" w:sz="4" w:space="0" w:color="943634"/>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0,6</w:t>
            </w:r>
          </w:p>
        </w:tc>
        <w:tc>
          <w:tcPr>
            <w:tcW w:w="325" w:type="pct"/>
            <w:tcBorders>
              <w:bottom w:val="single" w:sz="4" w:space="0" w:color="943634"/>
            </w:tcBorders>
            <w:shd w:val="clear" w:color="auto" w:fill="F2DBDB"/>
            <w:vAlign w:val="center"/>
          </w:tcPr>
          <w:p w:rsidR="009D46E6" w:rsidRPr="00DB1559" w:rsidRDefault="009D46E6" w:rsidP="00DB1559">
            <w:pPr>
              <w:jc w:val="right"/>
              <w:rPr>
                <w:rFonts w:cs="Tahoma"/>
                <w:sz w:val="14"/>
                <w:szCs w:val="14"/>
              </w:rPr>
            </w:pPr>
            <w:r w:rsidRPr="00DB1559">
              <w:rPr>
                <w:rFonts w:cs="Tahoma"/>
                <w:sz w:val="14"/>
                <w:szCs w:val="14"/>
              </w:rPr>
              <w:t>0,6</w:t>
            </w:r>
          </w:p>
        </w:tc>
        <w:tc>
          <w:tcPr>
            <w:tcW w:w="323" w:type="pct"/>
            <w:tcBorders>
              <w:bottom w:val="single" w:sz="4" w:space="0" w:color="943634"/>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w:t>
            </w:r>
          </w:p>
        </w:tc>
      </w:tr>
      <w:tr w:rsidR="009D46E6" w:rsidRPr="00DB1559" w:rsidTr="00DB1559">
        <w:trPr>
          <w:trHeight w:val="255"/>
          <w:jc w:val="center"/>
        </w:trPr>
        <w:tc>
          <w:tcPr>
            <w:tcW w:w="2077" w:type="pct"/>
            <w:tcBorders>
              <w:top w:val="single" w:sz="4" w:space="0" w:color="943634"/>
              <w:left w:val="single" w:sz="8" w:space="0" w:color="FFFFFF"/>
              <w:bottom w:val="single" w:sz="4" w:space="0" w:color="943634"/>
              <w:right w:val="single" w:sz="24" w:space="0" w:color="FFFFFF"/>
            </w:tcBorders>
            <w:shd w:val="clear" w:color="auto" w:fill="FFFFFF"/>
            <w:noWrap/>
            <w:vAlign w:val="center"/>
          </w:tcPr>
          <w:p w:rsidR="009D46E6" w:rsidRPr="00DB1559" w:rsidRDefault="009D46E6" w:rsidP="00DB1559">
            <w:pPr>
              <w:spacing w:after="0" w:line="240" w:lineRule="auto"/>
              <w:jc w:val="left"/>
              <w:rPr>
                <w:rFonts w:cs="Tahoma"/>
                <w:b/>
                <w:bCs/>
                <w:sz w:val="14"/>
                <w:szCs w:val="14"/>
              </w:rPr>
            </w:pPr>
            <w:r w:rsidRPr="00DB1559">
              <w:rPr>
                <w:rFonts w:cs="Tahoma"/>
                <w:b/>
                <w:bCs/>
                <w:sz w:val="14"/>
                <w:szCs w:val="14"/>
              </w:rPr>
              <w:t>Inovace</w:t>
            </w:r>
          </w:p>
        </w:tc>
        <w:tc>
          <w:tcPr>
            <w:tcW w:w="325" w:type="pct"/>
            <w:tcBorders>
              <w:top w:val="single" w:sz="4" w:space="0" w:color="943634"/>
              <w:left w:val="nil"/>
              <w:bottom w:val="single" w:sz="4" w:space="0" w:color="943634"/>
              <w:right w:val="single" w:sz="8" w:space="0" w:color="FFFFFF"/>
            </w:tcBorders>
            <w:shd w:val="clear" w:color="auto" w:fill="FFFFFF"/>
            <w:noWrap/>
            <w:vAlign w:val="center"/>
          </w:tcPr>
          <w:p w:rsidR="009D46E6" w:rsidRPr="00DB1559" w:rsidRDefault="009D46E6" w:rsidP="00DB1559">
            <w:pPr>
              <w:jc w:val="right"/>
              <w:rPr>
                <w:rFonts w:cs="Tahoma"/>
                <w:sz w:val="14"/>
                <w:szCs w:val="14"/>
              </w:rPr>
            </w:pPr>
          </w:p>
        </w:tc>
        <w:tc>
          <w:tcPr>
            <w:tcW w:w="325" w:type="pct"/>
            <w:tcBorders>
              <w:top w:val="single" w:sz="4" w:space="0" w:color="943634"/>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jc w:val="right"/>
              <w:rPr>
                <w:rFonts w:cs="Tahoma"/>
                <w:sz w:val="14"/>
                <w:szCs w:val="14"/>
              </w:rPr>
            </w:pPr>
          </w:p>
        </w:tc>
        <w:tc>
          <w:tcPr>
            <w:tcW w:w="325" w:type="pct"/>
            <w:tcBorders>
              <w:top w:val="single" w:sz="4" w:space="0" w:color="943634"/>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jc w:val="right"/>
              <w:rPr>
                <w:rFonts w:cs="Tahoma"/>
                <w:sz w:val="14"/>
                <w:szCs w:val="14"/>
              </w:rPr>
            </w:pPr>
          </w:p>
        </w:tc>
        <w:tc>
          <w:tcPr>
            <w:tcW w:w="325" w:type="pct"/>
            <w:tcBorders>
              <w:top w:val="single" w:sz="4" w:space="0" w:color="943634"/>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jc w:val="right"/>
              <w:rPr>
                <w:rFonts w:cs="Tahoma"/>
                <w:sz w:val="14"/>
                <w:szCs w:val="14"/>
              </w:rPr>
            </w:pPr>
          </w:p>
        </w:tc>
        <w:tc>
          <w:tcPr>
            <w:tcW w:w="325" w:type="pct"/>
            <w:tcBorders>
              <w:top w:val="single" w:sz="4" w:space="0" w:color="943634"/>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jc w:val="right"/>
              <w:rPr>
                <w:rFonts w:cs="Tahoma"/>
                <w:sz w:val="14"/>
                <w:szCs w:val="14"/>
              </w:rPr>
            </w:pPr>
          </w:p>
        </w:tc>
        <w:tc>
          <w:tcPr>
            <w:tcW w:w="325" w:type="pct"/>
            <w:tcBorders>
              <w:top w:val="single" w:sz="4" w:space="0" w:color="943634"/>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jc w:val="right"/>
              <w:rPr>
                <w:rFonts w:cs="Tahoma"/>
                <w:sz w:val="14"/>
                <w:szCs w:val="14"/>
              </w:rPr>
            </w:pPr>
          </w:p>
        </w:tc>
        <w:tc>
          <w:tcPr>
            <w:tcW w:w="325" w:type="pct"/>
            <w:tcBorders>
              <w:top w:val="single" w:sz="4" w:space="0" w:color="943634"/>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jc w:val="right"/>
              <w:rPr>
                <w:rFonts w:cs="Tahoma"/>
                <w:sz w:val="14"/>
                <w:szCs w:val="14"/>
              </w:rPr>
            </w:pPr>
          </w:p>
        </w:tc>
        <w:tc>
          <w:tcPr>
            <w:tcW w:w="325" w:type="pct"/>
            <w:tcBorders>
              <w:top w:val="single" w:sz="4" w:space="0" w:color="943634"/>
              <w:left w:val="single" w:sz="8" w:space="0" w:color="FFFFFF"/>
              <w:bottom w:val="single" w:sz="4" w:space="0" w:color="943634"/>
              <w:right w:val="single" w:sz="8" w:space="0" w:color="FFFFFF"/>
            </w:tcBorders>
            <w:shd w:val="clear" w:color="auto" w:fill="FFFFFF"/>
            <w:vAlign w:val="center"/>
          </w:tcPr>
          <w:p w:rsidR="009D46E6" w:rsidRPr="00DB1559" w:rsidRDefault="009D46E6" w:rsidP="00DB1559">
            <w:pPr>
              <w:jc w:val="right"/>
              <w:rPr>
                <w:rFonts w:cs="Tahoma"/>
                <w:sz w:val="14"/>
                <w:szCs w:val="14"/>
              </w:rPr>
            </w:pPr>
          </w:p>
        </w:tc>
        <w:tc>
          <w:tcPr>
            <w:tcW w:w="323" w:type="pct"/>
            <w:tcBorders>
              <w:top w:val="single" w:sz="4" w:space="0" w:color="943634"/>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jc w:val="right"/>
              <w:rPr>
                <w:rFonts w:cs="Tahoma"/>
                <w:sz w:val="14"/>
                <w:szCs w:val="14"/>
              </w:rPr>
            </w:pPr>
          </w:p>
        </w:tc>
      </w:tr>
      <w:tr w:rsidR="009D46E6" w:rsidRPr="00DB1559" w:rsidTr="00DB1559">
        <w:trPr>
          <w:trHeight w:val="454"/>
          <w:jc w:val="center"/>
        </w:trPr>
        <w:tc>
          <w:tcPr>
            <w:tcW w:w="2077" w:type="pct"/>
            <w:tcBorders>
              <w:top w:val="single" w:sz="4" w:space="0" w:color="943634"/>
              <w:left w:val="single" w:sz="8" w:space="0" w:color="FFFFFF"/>
              <w:bottom w:val="nil"/>
              <w:right w:val="single" w:sz="24" w:space="0" w:color="FFFFFF"/>
            </w:tcBorders>
            <w:shd w:val="clear" w:color="auto" w:fill="F2DBDB"/>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Podíl podniků s technickými inovačními aktivitami</w:t>
            </w:r>
          </w:p>
          <w:p w:rsidR="009D46E6" w:rsidRPr="00DB1559" w:rsidRDefault="009D46E6" w:rsidP="00DB1559">
            <w:pPr>
              <w:spacing w:after="0" w:line="240" w:lineRule="auto"/>
              <w:jc w:val="left"/>
              <w:rPr>
                <w:rFonts w:cs="Tahoma"/>
                <w:b/>
                <w:bCs/>
                <w:sz w:val="14"/>
                <w:szCs w:val="14"/>
              </w:rPr>
            </w:pPr>
            <w:r w:rsidRPr="00DB1559">
              <w:rPr>
                <w:rFonts w:cs="Tahoma"/>
                <w:bCs/>
                <w:sz w:val="14"/>
                <w:szCs w:val="14"/>
              </w:rPr>
              <w:t>(v % z celkového počtu podniků)</w:t>
            </w:r>
          </w:p>
        </w:tc>
        <w:tc>
          <w:tcPr>
            <w:tcW w:w="325" w:type="pct"/>
            <w:tcBorders>
              <w:top w:val="single" w:sz="4" w:space="0" w:color="943634"/>
              <w:left w:val="nil"/>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w:t>
            </w:r>
          </w:p>
        </w:tc>
        <w:tc>
          <w:tcPr>
            <w:tcW w:w="325" w:type="pct"/>
            <w:tcBorders>
              <w:top w:val="single" w:sz="4" w:space="0" w:color="943634"/>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31,0</w:t>
            </w:r>
          </w:p>
        </w:tc>
        <w:tc>
          <w:tcPr>
            <w:tcW w:w="325" w:type="pct"/>
            <w:tcBorders>
              <w:top w:val="single" w:sz="4" w:space="0" w:color="943634"/>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w:t>
            </w:r>
          </w:p>
        </w:tc>
        <w:tc>
          <w:tcPr>
            <w:tcW w:w="325" w:type="pct"/>
            <w:tcBorders>
              <w:top w:val="single" w:sz="4" w:space="0" w:color="943634"/>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w:t>
            </w:r>
          </w:p>
        </w:tc>
        <w:tc>
          <w:tcPr>
            <w:tcW w:w="325" w:type="pct"/>
            <w:tcBorders>
              <w:top w:val="single" w:sz="4" w:space="0" w:color="943634"/>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39,3</w:t>
            </w:r>
          </w:p>
        </w:tc>
        <w:tc>
          <w:tcPr>
            <w:tcW w:w="325" w:type="pct"/>
            <w:tcBorders>
              <w:top w:val="single" w:sz="4" w:space="0" w:color="943634"/>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w:t>
            </w:r>
          </w:p>
        </w:tc>
        <w:tc>
          <w:tcPr>
            <w:tcW w:w="325" w:type="pct"/>
            <w:tcBorders>
              <w:top w:val="single" w:sz="4" w:space="0" w:color="943634"/>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34,8</w:t>
            </w:r>
          </w:p>
        </w:tc>
        <w:tc>
          <w:tcPr>
            <w:tcW w:w="325" w:type="pct"/>
            <w:tcBorders>
              <w:top w:val="single" w:sz="4" w:space="0" w:color="943634"/>
            </w:tcBorders>
            <w:shd w:val="clear" w:color="auto" w:fill="F2DBDB"/>
            <w:vAlign w:val="center"/>
          </w:tcPr>
          <w:p w:rsidR="009D46E6" w:rsidRPr="00DB1559" w:rsidRDefault="009D46E6" w:rsidP="00DB1559">
            <w:pPr>
              <w:jc w:val="right"/>
              <w:rPr>
                <w:rFonts w:cs="Tahoma"/>
                <w:sz w:val="14"/>
                <w:szCs w:val="14"/>
              </w:rPr>
            </w:pPr>
            <w:r w:rsidRPr="00DB1559">
              <w:rPr>
                <w:rFonts w:cs="Tahoma"/>
                <w:sz w:val="14"/>
                <w:szCs w:val="14"/>
              </w:rPr>
              <w:t>.</w:t>
            </w:r>
          </w:p>
        </w:tc>
        <w:tc>
          <w:tcPr>
            <w:tcW w:w="323" w:type="pct"/>
            <w:tcBorders>
              <w:top w:val="single" w:sz="4" w:space="0" w:color="943634"/>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w:t>
            </w:r>
          </w:p>
        </w:tc>
      </w:tr>
      <w:tr w:rsidR="009D46E6" w:rsidRPr="00DB1559" w:rsidTr="00DB1559">
        <w:trPr>
          <w:trHeight w:val="454"/>
          <w:jc w:val="center"/>
        </w:trPr>
        <w:tc>
          <w:tcPr>
            <w:tcW w:w="2077" w:type="pct"/>
            <w:tcBorders>
              <w:top w:val="single" w:sz="8" w:space="0" w:color="FFFFFF"/>
              <w:left w:val="single" w:sz="8" w:space="0" w:color="FFFFFF"/>
              <w:bottom w:val="nil"/>
              <w:right w:val="single" w:sz="24" w:space="0" w:color="FFFFFF"/>
            </w:tcBorders>
            <w:shd w:val="clear" w:color="auto" w:fill="FFFFFF"/>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Podíl tržeb z prodeje výrobků nových na trhu</w:t>
            </w:r>
          </w:p>
          <w:p w:rsidR="009D46E6" w:rsidRPr="00DB1559" w:rsidRDefault="009D46E6" w:rsidP="00DB1559">
            <w:pPr>
              <w:spacing w:after="0" w:line="240" w:lineRule="auto"/>
              <w:jc w:val="left"/>
              <w:rPr>
                <w:rFonts w:cs="Tahoma"/>
                <w:b/>
                <w:bCs/>
                <w:sz w:val="14"/>
                <w:szCs w:val="14"/>
              </w:rPr>
            </w:pPr>
            <w:r w:rsidRPr="00DB1559">
              <w:rPr>
                <w:rFonts w:cs="Tahoma"/>
                <w:bCs/>
                <w:sz w:val="14"/>
                <w:szCs w:val="14"/>
              </w:rPr>
              <w:t>(v % celkových tržeb technicky inovujících podniků)</w:t>
            </w:r>
          </w:p>
        </w:tc>
        <w:tc>
          <w:tcPr>
            <w:tcW w:w="325" w:type="pct"/>
            <w:tcBorders>
              <w:top w:val="single" w:sz="8" w:space="0" w:color="FFFFFF"/>
              <w:left w:val="nil"/>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12,9</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16,1</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12,4</w:t>
            </w:r>
          </w:p>
        </w:tc>
        <w:tc>
          <w:tcPr>
            <w:tcW w:w="325" w:type="pct"/>
            <w:tcBorders>
              <w:top w:val="single" w:sz="8" w:space="0" w:color="FFFFFF"/>
              <w:left w:val="single" w:sz="8" w:space="0" w:color="FFFFFF"/>
              <w:bottom w:val="single" w:sz="8" w:space="0" w:color="FFFFFF"/>
              <w:right w:val="single" w:sz="8" w:space="0" w:color="FFFFFF"/>
            </w:tcBorders>
            <w:shd w:val="clear" w:color="auto" w:fill="FFFFFF"/>
            <w:vAlign w:val="center"/>
          </w:tcPr>
          <w:p w:rsidR="009D46E6" w:rsidRPr="00DB1559" w:rsidRDefault="009D46E6" w:rsidP="00DB1559">
            <w:pPr>
              <w:jc w:val="right"/>
              <w:rPr>
                <w:rFonts w:cs="Tahoma"/>
                <w:sz w:val="14"/>
                <w:szCs w:val="14"/>
              </w:rPr>
            </w:pPr>
            <w:r w:rsidRPr="00DB1559">
              <w:rPr>
                <w:rFonts w:cs="Tahoma"/>
                <w:sz w:val="14"/>
                <w:szCs w:val="14"/>
              </w:rPr>
              <w:t>.</w:t>
            </w:r>
          </w:p>
        </w:tc>
        <w:tc>
          <w:tcPr>
            <w:tcW w:w="323"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w:t>
            </w:r>
          </w:p>
        </w:tc>
      </w:tr>
      <w:tr w:rsidR="009D46E6" w:rsidRPr="00DB1559" w:rsidTr="00DB1559">
        <w:trPr>
          <w:trHeight w:val="255"/>
          <w:jc w:val="center"/>
        </w:trPr>
        <w:tc>
          <w:tcPr>
            <w:tcW w:w="2077" w:type="pct"/>
            <w:tcBorders>
              <w:left w:val="single" w:sz="8" w:space="0" w:color="FFFFFF"/>
              <w:bottom w:val="nil"/>
              <w:right w:val="single" w:sz="24" w:space="0" w:color="FFFFFF"/>
            </w:tcBorders>
            <w:shd w:val="clear" w:color="auto" w:fill="F2DBDB"/>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Vývoz high-tech zboží (v % celkového vývozu)</w:t>
            </w:r>
          </w:p>
        </w:tc>
        <w:tc>
          <w:tcPr>
            <w:tcW w:w="325" w:type="pct"/>
            <w:tcBorders>
              <w:left w:val="nil"/>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5,0</w:t>
            </w:r>
          </w:p>
        </w:tc>
        <w:tc>
          <w:tcPr>
            <w:tcW w:w="325" w:type="pct"/>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7,8</w:t>
            </w:r>
          </w:p>
        </w:tc>
        <w:tc>
          <w:tcPr>
            <w:tcW w:w="325" w:type="pct"/>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11,7</w:t>
            </w:r>
          </w:p>
        </w:tc>
        <w:tc>
          <w:tcPr>
            <w:tcW w:w="325" w:type="pct"/>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14,2</w:t>
            </w:r>
          </w:p>
        </w:tc>
        <w:tc>
          <w:tcPr>
            <w:tcW w:w="325" w:type="pct"/>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14,2</w:t>
            </w:r>
          </w:p>
        </w:tc>
        <w:tc>
          <w:tcPr>
            <w:tcW w:w="325" w:type="pct"/>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15,4</w:t>
            </w:r>
          </w:p>
        </w:tc>
        <w:tc>
          <w:tcPr>
            <w:tcW w:w="325" w:type="pct"/>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16,2</w:t>
            </w:r>
          </w:p>
        </w:tc>
        <w:tc>
          <w:tcPr>
            <w:tcW w:w="325" w:type="pct"/>
            <w:shd w:val="clear" w:color="auto" w:fill="F2DBDB"/>
            <w:vAlign w:val="center"/>
          </w:tcPr>
          <w:p w:rsidR="009D46E6" w:rsidRPr="00DB1559" w:rsidRDefault="009D46E6" w:rsidP="00DB1559">
            <w:pPr>
              <w:jc w:val="right"/>
              <w:rPr>
                <w:rFonts w:cs="Tahoma"/>
                <w:sz w:val="14"/>
                <w:szCs w:val="14"/>
              </w:rPr>
            </w:pPr>
            <w:r w:rsidRPr="00DB1559">
              <w:rPr>
                <w:rFonts w:cs="Tahoma"/>
                <w:sz w:val="14"/>
                <w:szCs w:val="14"/>
              </w:rPr>
              <w:t>16,5</w:t>
            </w:r>
          </w:p>
        </w:tc>
        <w:tc>
          <w:tcPr>
            <w:tcW w:w="323" w:type="pct"/>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16,4</w:t>
            </w:r>
          </w:p>
        </w:tc>
      </w:tr>
      <w:tr w:rsidR="009D46E6" w:rsidRPr="00DB1559" w:rsidTr="00DB1559">
        <w:trPr>
          <w:trHeight w:val="454"/>
          <w:jc w:val="center"/>
        </w:trPr>
        <w:tc>
          <w:tcPr>
            <w:tcW w:w="2077" w:type="pct"/>
            <w:tcBorders>
              <w:top w:val="single" w:sz="8" w:space="0" w:color="FFFFFF"/>
              <w:left w:val="single" w:sz="8" w:space="0" w:color="FFFFFF"/>
              <w:bottom w:val="nil"/>
              <w:right w:val="single" w:sz="24" w:space="0" w:color="FFFFFF"/>
            </w:tcBorders>
            <w:shd w:val="clear" w:color="auto" w:fill="FFFFFF"/>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Zaměstnanost v high-tech průmyslu</w:t>
            </w:r>
          </w:p>
          <w:p w:rsidR="009D46E6" w:rsidRPr="00DB1559" w:rsidRDefault="009D46E6" w:rsidP="00DB1559">
            <w:pPr>
              <w:spacing w:after="0" w:line="240" w:lineRule="auto"/>
              <w:jc w:val="left"/>
              <w:rPr>
                <w:rFonts w:cs="Tahoma"/>
                <w:b/>
                <w:bCs/>
                <w:sz w:val="14"/>
                <w:szCs w:val="14"/>
              </w:rPr>
            </w:pPr>
            <w:r w:rsidRPr="00DB1559">
              <w:rPr>
                <w:rFonts w:cs="Tahoma"/>
                <w:bCs/>
                <w:sz w:val="14"/>
                <w:szCs w:val="14"/>
              </w:rPr>
              <w:t>(v % zaměstnanosti ve zpracovatelském průmyslu)</w:t>
            </w:r>
          </w:p>
        </w:tc>
        <w:tc>
          <w:tcPr>
            <w:tcW w:w="325" w:type="pct"/>
            <w:tcBorders>
              <w:top w:val="single" w:sz="8" w:space="0" w:color="FFFFFF"/>
              <w:left w:val="nil"/>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3,6</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4,0</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4,5</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4,8</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4,9</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4,7</w:t>
            </w:r>
          </w:p>
        </w:tc>
        <w:tc>
          <w:tcPr>
            <w:tcW w:w="325"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4,5</w:t>
            </w:r>
          </w:p>
        </w:tc>
        <w:tc>
          <w:tcPr>
            <w:tcW w:w="325" w:type="pct"/>
            <w:tcBorders>
              <w:top w:val="single" w:sz="8" w:space="0" w:color="FFFFFF"/>
              <w:left w:val="single" w:sz="8" w:space="0" w:color="FFFFFF"/>
              <w:bottom w:val="single" w:sz="8" w:space="0" w:color="FFFFFF"/>
              <w:right w:val="single" w:sz="8" w:space="0" w:color="FFFFFF"/>
            </w:tcBorders>
            <w:shd w:val="clear" w:color="auto" w:fill="FFFFFF"/>
            <w:vAlign w:val="center"/>
          </w:tcPr>
          <w:p w:rsidR="009D46E6" w:rsidRPr="00DB1559" w:rsidRDefault="009D46E6" w:rsidP="00DB1559">
            <w:pPr>
              <w:jc w:val="right"/>
              <w:rPr>
                <w:rFonts w:cs="Tahoma"/>
                <w:sz w:val="14"/>
                <w:szCs w:val="14"/>
              </w:rPr>
            </w:pPr>
            <w:r w:rsidRPr="00DB1559">
              <w:rPr>
                <w:rFonts w:cs="Tahoma"/>
                <w:sz w:val="14"/>
                <w:szCs w:val="14"/>
              </w:rPr>
              <w:t>4,5</w:t>
            </w:r>
          </w:p>
        </w:tc>
        <w:tc>
          <w:tcPr>
            <w:tcW w:w="323" w:type="pct"/>
            <w:tcBorders>
              <w:top w:val="single" w:sz="8" w:space="0" w:color="FFFFFF"/>
              <w:left w:val="single" w:sz="8" w:space="0" w:color="FFFFFF"/>
              <w:bottom w:val="single" w:sz="8" w:space="0" w:color="FFFFFF"/>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4,6</w:t>
            </w:r>
          </w:p>
        </w:tc>
      </w:tr>
      <w:tr w:rsidR="009D46E6" w:rsidRPr="00DB1559" w:rsidTr="00DB1559">
        <w:trPr>
          <w:trHeight w:val="255"/>
          <w:jc w:val="center"/>
        </w:trPr>
        <w:tc>
          <w:tcPr>
            <w:tcW w:w="2077" w:type="pct"/>
            <w:tcBorders>
              <w:left w:val="single" w:sz="8" w:space="0" w:color="FFFFFF"/>
              <w:bottom w:val="nil"/>
              <w:right w:val="single" w:sz="24" w:space="0" w:color="FFFFFF"/>
            </w:tcBorders>
            <w:shd w:val="clear" w:color="auto" w:fill="F2DBDB"/>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BERD v high-tech průmyslu (v % BERD zpracovatelského průmyslu)</w:t>
            </w:r>
          </w:p>
        </w:tc>
        <w:tc>
          <w:tcPr>
            <w:tcW w:w="325" w:type="pct"/>
            <w:tcBorders>
              <w:left w:val="nil"/>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w:t>
            </w:r>
          </w:p>
        </w:tc>
        <w:tc>
          <w:tcPr>
            <w:tcW w:w="325" w:type="pct"/>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w:t>
            </w:r>
          </w:p>
        </w:tc>
        <w:tc>
          <w:tcPr>
            <w:tcW w:w="325" w:type="pct"/>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13,4</w:t>
            </w:r>
          </w:p>
        </w:tc>
        <w:tc>
          <w:tcPr>
            <w:tcW w:w="325" w:type="pct"/>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14,3</w:t>
            </w:r>
          </w:p>
        </w:tc>
        <w:tc>
          <w:tcPr>
            <w:tcW w:w="325" w:type="pct"/>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12,9</w:t>
            </w:r>
          </w:p>
        </w:tc>
        <w:tc>
          <w:tcPr>
            <w:tcW w:w="325" w:type="pct"/>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12,2</w:t>
            </w:r>
          </w:p>
        </w:tc>
        <w:tc>
          <w:tcPr>
            <w:tcW w:w="325" w:type="pct"/>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9,7</w:t>
            </w:r>
          </w:p>
        </w:tc>
        <w:tc>
          <w:tcPr>
            <w:tcW w:w="325" w:type="pct"/>
            <w:shd w:val="clear" w:color="auto" w:fill="F2DBDB"/>
            <w:vAlign w:val="center"/>
          </w:tcPr>
          <w:p w:rsidR="009D46E6" w:rsidRPr="00DB1559" w:rsidRDefault="009D46E6" w:rsidP="00DB1559">
            <w:pPr>
              <w:jc w:val="right"/>
              <w:rPr>
                <w:rFonts w:cs="Tahoma"/>
                <w:sz w:val="14"/>
                <w:szCs w:val="14"/>
              </w:rPr>
            </w:pPr>
            <w:r w:rsidRPr="00DB1559">
              <w:rPr>
                <w:rFonts w:cs="Tahoma"/>
                <w:sz w:val="14"/>
                <w:szCs w:val="14"/>
              </w:rPr>
              <w:t>8,1</w:t>
            </w:r>
          </w:p>
        </w:tc>
        <w:tc>
          <w:tcPr>
            <w:tcW w:w="323" w:type="pct"/>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w:t>
            </w:r>
          </w:p>
        </w:tc>
      </w:tr>
      <w:tr w:rsidR="009D46E6" w:rsidRPr="00DB1559" w:rsidTr="00DB1559">
        <w:trPr>
          <w:trHeight w:val="255"/>
          <w:jc w:val="center"/>
        </w:trPr>
        <w:tc>
          <w:tcPr>
            <w:tcW w:w="2077" w:type="pct"/>
            <w:tcBorders>
              <w:top w:val="single" w:sz="8" w:space="0" w:color="FFFFFF"/>
              <w:left w:val="single" w:sz="8" w:space="0" w:color="FFFFFF"/>
              <w:bottom w:val="single" w:sz="4" w:space="0" w:color="943634"/>
              <w:right w:val="single" w:sz="24" w:space="0" w:color="FFFFFF"/>
            </w:tcBorders>
            <w:shd w:val="clear" w:color="auto" w:fill="FFFFFF"/>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Investice rizikového kapitálu (v % HDP)</w:t>
            </w:r>
          </w:p>
        </w:tc>
        <w:tc>
          <w:tcPr>
            <w:tcW w:w="325" w:type="pct"/>
            <w:tcBorders>
              <w:top w:val="single" w:sz="8" w:space="0" w:color="FFFFFF"/>
              <w:left w:val="nil"/>
              <w:bottom w:val="single" w:sz="4" w:space="0" w:color="943634"/>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w:t>
            </w:r>
          </w:p>
        </w:tc>
        <w:tc>
          <w:tcPr>
            <w:tcW w:w="325" w:type="pct"/>
            <w:tcBorders>
              <w:top w:val="single" w:sz="8" w:space="0" w:color="FFFFFF"/>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0,025</w:t>
            </w:r>
          </w:p>
        </w:tc>
        <w:tc>
          <w:tcPr>
            <w:tcW w:w="325" w:type="pct"/>
            <w:tcBorders>
              <w:top w:val="single" w:sz="8" w:space="0" w:color="FFFFFF"/>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0,000</w:t>
            </w:r>
          </w:p>
        </w:tc>
        <w:tc>
          <w:tcPr>
            <w:tcW w:w="325" w:type="pct"/>
            <w:tcBorders>
              <w:top w:val="single" w:sz="8" w:space="0" w:color="FFFFFF"/>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0,002</w:t>
            </w:r>
          </w:p>
        </w:tc>
        <w:tc>
          <w:tcPr>
            <w:tcW w:w="325" w:type="pct"/>
            <w:tcBorders>
              <w:top w:val="single" w:sz="8" w:space="0" w:color="FFFFFF"/>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0,003</w:t>
            </w:r>
          </w:p>
        </w:tc>
        <w:tc>
          <w:tcPr>
            <w:tcW w:w="325" w:type="pct"/>
            <w:tcBorders>
              <w:top w:val="single" w:sz="8" w:space="0" w:color="FFFFFF"/>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0,001</w:t>
            </w:r>
          </w:p>
        </w:tc>
        <w:tc>
          <w:tcPr>
            <w:tcW w:w="325" w:type="pct"/>
            <w:tcBorders>
              <w:top w:val="single" w:sz="8" w:space="0" w:color="FFFFFF"/>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0,008</w:t>
            </w:r>
          </w:p>
        </w:tc>
        <w:tc>
          <w:tcPr>
            <w:tcW w:w="325" w:type="pct"/>
            <w:tcBorders>
              <w:top w:val="single" w:sz="8" w:space="0" w:color="FFFFFF"/>
              <w:left w:val="single" w:sz="8" w:space="0" w:color="FFFFFF"/>
              <w:bottom w:val="single" w:sz="4" w:space="0" w:color="943634"/>
              <w:right w:val="single" w:sz="8" w:space="0" w:color="FFFFFF"/>
            </w:tcBorders>
            <w:shd w:val="clear" w:color="auto" w:fill="FFFFFF"/>
            <w:vAlign w:val="center"/>
          </w:tcPr>
          <w:p w:rsidR="009D46E6" w:rsidRPr="00DB1559" w:rsidRDefault="009D46E6" w:rsidP="00DB1559">
            <w:pPr>
              <w:jc w:val="right"/>
              <w:rPr>
                <w:rFonts w:cs="Tahoma"/>
                <w:sz w:val="14"/>
                <w:szCs w:val="14"/>
              </w:rPr>
            </w:pPr>
            <w:r w:rsidRPr="00DB1559">
              <w:rPr>
                <w:rFonts w:cs="Tahoma"/>
                <w:sz w:val="14"/>
                <w:szCs w:val="14"/>
              </w:rPr>
              <w:t>0,005</w:t>
            </w:r>
          </w:p>
        </w:tc>
        <w:tc>
          <w:tcPr>
            <w:tcW w:w="323" w:type="pct"/>
            <w:tcBorders>
              <w:top w:val="single" w:sz="8" w:space="0" w:color="FFFFFF"/>
              <w:left w:val="single" w:sz="8" w:space="0" w:color="FFFFFF"/>
              <w:bottom w:val="single" w:sz="4" w:space="0" w:color="943634"/>
              <w:right w:val="single" w:sz="8" w:space="0" w:color="FFFFFF"/>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0,003</w:t>
            </w:r>
          </w:p>
        </w:tc>
      </w:tr>
      <w:tr w:rsidR="009D46E6" w:rsidRPr="00DB1559" w:rsidTr="00DB1559">
        <w:trPr>
          <w:trHeight w:val="255"/>
          <w:jc w:val="center"/>
        </w:trPr>
        <w:tc>
          <w:tcPr>
            <w:tcW w:w="2077" w:type="pct"/>
            <w:tcBorders>
              <w:top w:val="single" w:sz="4" w:space="0" w:color="943634"/>
              <w:left w:val="single" w:sz="8" w:space="0" w:color="FFFFFF"/>
              <w:bottom w:val="single" w:sz="4" w:space="0" w:color="943634"/>
              <w:right w:val="single" w:sz="24" w:space="0" w:color="FFFFFF"/>
            </w:tcBorders>
            <w:shd w:val="clear" w:color="auto" w:fill="FFFFFF"/>
            <w:noWrap/>
            <w:vAlign w:val="center"/>
          </w:tcPr>
          <w:p w:rsidR="009D46E6" w:rsidRPr="00DB1559" w:rsidRDefault="009D46E6" w:rsidP="00DB1559">
            <w:pPr>
              <w:spacing w:after="0" w:line="240" w:lineRule="auto"/>
              <w:jc w:val="left"/>
              <w:rPr>
                <w:rFonts w:cs="Tahoma"/>
                <w:b/>
                <w:bCs/>
                <w:sz w:val="14"/>
                <w:szCs w:val="14"/>
              </w:rPr>
            </w:pPr>
            <w:r w:rsidRPr="00DB1559">
              <w:rPr>
                <w:rFonts w:cs="Tahoma"/>
                <w:b/>
                <w:bCs/>
                <w:sz w:val="14"/>
                <w:szCs w:val="14"/>
              </w:rPr>
              <w:t>Mezinárodní spolupráce</w:t>
            </w:r>
          </w:p>
        </w:tc>
        <w:tc>
          <w:tcPr>
            <w:tcW w:w="325" w:type="pct"/>
            <w:tcBorders>
              <w:top w:val="single" w:sz="4" w:space="0" w:color="943634"/>
              <w:left w:val="nil"/>
              <w:bottom w:val="single" w:sz="4" w:space="0" w:color="943634"/>
            </w:tcBorders>
            <w:shd w:val="clear" w:color="auto" w:fill="FFFFFF"/>
            <w:noWrap/>
            <w:vAlign w:val="center"/>
          </w:tcPr>
          <w:p w:rsidR="009D46E6" w:rsidRPr="00DB1559" w:rsidRDefault="009D46E6" w:rsidP="00DB1559">
            <w:pPr>
              <w:jc w:val="right"/>
              <w:rPr>
                <w:rFonts w:cs="Tahoma"/>
                <w:sz w:val="14"/>
                <w:szCs w:val="14"/>
              </w:rPr>
            </w:pPr>
          </w:p>
        </w:tc>
        <w:tc>
          <w:tcPr>
            <w:tcW w:w="325" w:type="pct"/>
            <w:tcBorders>
              <w:top w:val="single" w:sz="4" w:space="0" w:color="943634"/>
              <w:bottom w:val="single" w:sz="4" w:space="0" w:color="943634"/>
            </w:tcBorders>
            <w:shd w:val="clear" w:color="auto" w:fill="FFFFFF"/>
            <w:noWrap/>
            <w:vAlign w:val="center"/>
          </w:tcPr>
          <w:p w:rsidR="009D46E6" w:rsidRPr="00DB1559" w:rsidRDefault="009D46E6" w:rsidP="00DB1559">
            <w:pPr>
              <w:jc w:val="right"/>
              <w:rPr>
                <w:rFonts w:cs="Tahoma"/>
                <w:sz w:val="14"/>
                <w:szCs w:val="14"/>
              </w:rPr>
            </w:pPr>
          </w:p>
        </w:tc>
        <w:tc>
          <w:tcPr>
            <w:tcW w:w="325" w:type="pct"/>
            <w:tcBorders>
              <w:top w:val="single" w:sz="4" w:space="0" w:color="943634"/>
              <w:bottom w:val="single" w:sz="4" w:space="0" w:color="943634"/>
            </w:tcBorders>
            <w:shd w:val="clear" w:color="auto" w:fill="FFFFFF"/>
            <w:noWrap/>
            <w:vAlign w:val="center"/>
          </w:tcPr>
          <w:p w:rsidR="009D46E6" w:rsidRPr="00DB1559" w:rsidRDefault="009D46E6" w:rsidP="00DB1559">
            <w:pPr>
              <w:jc w:val="right"/>
              <w:rPr>
                <w:rFonts w:cs="Tahoma"/>
                <w:sz w:val="14"/>
                <w:szCs w:val="14"/>
              </w:rPr>
            </w:pPr>
          </w:p>
        </w:tc>
        <w:tc>
          <w:tcPr>
            <w:tcW w:w="325" w:type="pct"/>
            <w:tcBorders>
              <w:top w:val="single" w:sz="4" w:space="0" w:color="943634"/>
              <w:bottom w:val="single" w:sz="4" w:space="0" w:color="943634"/>
            </w:tcBorders>
            <w:shd w:val="clear" w:color="auto" w:fill="FFFFFF"/>
            <w:noWrap/>
            <w:vAlign w:val="center"/>
          </w:tcPr>
          <w:p w:rsidR="009D46E6" w:rsidRPr="00DB1559" w:rsidRDefault="009D46E6" w:rsidP="00DB1559">
            <w:pPr>
              <w:jc w:val="right"/>
              <w:rPr>
                <w:rFonts w:cs="Tahoma"/>
                <w:sz w:val="14"/>
                <w:szCs w:val="14"/>
              </w:rPr>
            </w:pPr>
          </w:p>
        </w:tc>
        <w:tc>
          <w:tcPr>
            <w:tcW w:w="325" w:type="pct"/>
            <w:tcBorders>
              <w:top w:val="single" w:sz="4" w:space="0" w:color="943634"/>
              <w:bottom w:val="single" w:sz="4" w:space="0" w:color="943634"/>
            </w:tcBorders>
            <w:shd w:val="clear" w:color="auto" w:fill="FFFFFF"/>
            <w:noWrap/>
            <w:vAlign w:val="center"/>
          </w:tcPr>
          <w:p w:rsidR="009D46E6" w:rsidRPr="00DB1559" w:rsidRDefault="009D46E6" w:rsidP="00DB1559">
            <w:pPr>
              <w:jc w:val="right"/>
              <w:rPr>
                <w:rFonts w:cs="Tahoma"/>
                <w:sz w:val="14"/>
                <w:szCs w:val="14"/>
              </w:rPr>
            </w:pPr>
          </w:p>
        </w:tc>
        <w:tc>
          <w:tcPr>
            <w:tcW w:w="325" w:type="pct"/>
            <w:tcBorders>
              <w:top w:val="single" w:sz="4" w:space="0" w:color="943634"/>
              <w:bottom w:val="single" w:sz="4" w:space="0" w:color="943634"/>
            </w:tcBorders>
            <w:shd w:val="clear" w:color="auto" w:fill="FFFFFF"/>
            <w:noWrap/>
            <w:vAlign w:val="center"/>
          </w:tcPr>
          <w:p w:rsidR="009D46E6" w:rsidRPr="00DB1559" w:rsidRDefault="009D46E6" w:rsidP="00DB1559">
            <w:pPr>
              <w:jc w:val="right"/>
              <w:rPr>
                <w:rFonts w:cs="Tahoma"/>
                <w:sz w:val="14"/>
                <w:szCs w:val="14"/>
              </w:rPr>
            </w:pPr>
          </w:p>
        </w:tc>
        <w:tc>
          <w:tcPr>
            <w:tcW w:w="325" w:type="pct"/>
            <w:tcBorders>
              <w:top w:val="single" w:sz="4" w:space="0" w:color="943634"/>
              <w:bottom w:val="single" w:sz="4" w:space="0" w:color="943634"/>
            </w:tcBorders>
            <w:shd w:val="clear" w:color="auto" w:fill="FFFFFF"/>
            <w:noWrap/>
            <w:vAlign w:val="center"/>
          </w:tcPr>
          <w:p w:rsidR="009D46E6" w:rsidRPr="00DB1559" w:rsidRDefault="009D46E6" w:rsidP="00DB1559">
            <w:pPr>
              <w:jc w:val="right"/>
              <w:rPr>
                <w:rFonts w:cs="Tahoma"/>
                <w:sz w:val="14"/>
                <w:szCs w:val="14"/>
              </w:rPr>
            </w:pPr>
          </w:p>
        </w:tc>
        <w:tc>
          <w:tcPr>
            <w:tcW w:w="325" w:type="pct"/>
            <w:tcBorders>
              <w:top w:val="single" w:sz="4" w:space="0" w:color="943634"/>
              <w:bottom w:val="single" w:sz="4" w:space="0" w:color="943634"/>
            </w:tcBorders>
            <w:shd w:val="clear" w:color="auto" w:fill="FFFFFF"/>
            <w:vAlign w:val="center"/>
          </w:tcPr>
          <w:p w:rsidR="009D46E6" w:rsidRPr="00DB1559" w:rsidRDefault="009D46E6" w:rsidP="00DB1559">
            <w:pPr>
              <w:jc w:val="right"/>
              <w:rPr>
                <w:rFonts w:cs="Tahoma"/>
                <w:sz w:val="14"/>
                <w:szCs w:val="14"/>
              </w:rPr>
            </w:pPr>
          </w:p>
        </w:tc>
        <w:tc>
          <w:tcPr>
            <w:tcW w:w="323" w:type="pct"/>
            <w:tcBorders>
              <w:top w:val="single" w:sz="4" w:space="0" w:color="943634"/>
              <w:bottom w:val="single" w:sz="4" w:space="0" w:color="943634"/>
            </w:tcBorders>
            <w:shd w:val="clear" w:color="auto" w:fill="FFFFFF"/>
            <w:noWrap/>
            <w:vAlign w:val="center"/>
          </w:tcPr>
          <w:p w:rsidR="009D46E6" w:rsidRPr="00DB1559" w:rsidRDefault="009D46E6" w:rsidP="00DB1559">
            <w:pPr>
              <w:jc w:val="right"/>
              <w:rPr>
                <w:rFonts w:cs="Tahoma"/>
                <w:sz w:val="14"/>
                <w:szCs w:val="14"/>
              </w:rPr>
            </w:pPr>
          </w:p>
        </w:tc>
      </w:tr>
      <w:tr w:rsidR="009D46E6" w:rsidRPr="00DB1559" w:rsidTr="00DB1559">
        <w:trPr>
          <w:trHeight w:val="255"/>
          <w:jc w:val="center"/>
        </w:trPr>
        <w:tc>
          <w:tcPr>
            <w:tcW w:w="2077" w:type="pct"/>
            <w:tcBorders>
              <w:top w:val="single" w:sz="4" w:space="0" w:color="943634"/>
              <w:left w:val="single" w:sz="8" w:space="0" w:color="FFFFFF"/>
              <w:bottom w:val="nil"/>
              <w:right w:val="single" w:sz="24" w:space="0" w:color="FFFFFF"/>
            </w:tcBorders>
            <w:shd w:val="clear" w:color="auto" w:fill="F2DBDB"/>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GERD financovaný ze zahraničních zdrojů (v %)</w:t>
            </w:r>
          </w:p>
        </w:tc>
        <w:tc>
          <w:tcPr>
            <w:tcW w:w="325" w:type="pct"/>
            <w:tcBorders>
              <w:top w:val="single" w:sz="4" w:space="0" w:color="943634"/>
              <w:left w:val="nil"/>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3,3</w:t>
            </w:r>
          </w:p>
        </w:tc>
        <w:tc>
          <w:tcPr>
            <w:tcW w:w="325" w:type="pct"/>
            <w:tcBorders>
              <w:top w:val="single" w:sz="4" w:space="0" w:color="943634"/>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3,1</w:t>
            </w:r>
          </w:p>
        </w:tc>
        <w:tc>
          <w:tcPr>
            <w:tcW w:w="325" w:type="pct"/>
            <w:tcBorders>
              <w:top w:val="single" w:sz="4" w:space="0" w:color="943634"/>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5,4</w:t>
            </w:r>
          </w:p>
        </w:tc>
        <w:tc>
          <w:tcPr>
            <w:tcW w:w="325" w:type="pct"/>
            <w:tcBorders>
              <w:top w:val="single" w:sz="4" w:space="0" w:color="943634"/>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7,3</w:t>
            </w:r>
          </w:p>
        </w:tc>
        <w:tc>
          <w:tcPr>
            <w:tcW w:w="325" w:type="pct"/>
            <w:tcBorders>
              <w:top w:val="single" w:sz="4" w:space="0" w:color="943634"/>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8,9</w:t>
            </w:r>
          </w:p>
        </w:tc>
        <w:tc>
          <w:tcPr>
            <w:tcW w:w="325" w:type="pct"/>
            <w:tcBorders>
              <w:top w:val="single" w:sz="4" w:space="0" w:color="943634"/>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11,3</w:t>
            </w:r>
          </w:p>
        </w:tc>
        <w:tc>
          <w:tcPr>
            <w:tcW w:w="325" w:type="pct"/>
            <w:tcBorders>
              <w:top w:val="single" w:sz="4" w:space="0" w:color="943634"/>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13,9</w:t>
            </w:r>
          </w:p>
        </w:tc>
        <w:tc>
          <w:tcPr>
            <w:tcW w:w="325" w:type="pct"/>
            <w:tcBorders>
              <w:top w:val="single" w:sz="4" w:space="0" w:color="943634"/>
              <w:left w:val="single" w:sz="8" w:space="0" w:color="FFFFFF"/>
              <w:bottom w:val="single" w:sz="8" w:space="0" w:color="FFFFFF"/>
              <w:right w:val="single" w:sz="8" w:space="0" w:color="FFFFFF"/>
            </w:tcBorders>
            <w:shd w:val="clear" w:color="auto" w:fill="F2DBDB"/>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19,7</w:t>
            </w:r>
          </w:p>
        </w:tc>
        <w:tc>
          <w:tcPr>
            <w:tcW w:w="323" w:type="pct"/>
            <w:tcBorders>
              <w:top w:val="single" w:sz="4" w:space="0" w:color="943634"/>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25,9</w:t>
            </w:r>
          </w:p>
        </w:tc>
      </w:tr>
      <w:tr w:rsidR="009D46E6" w:rsidRPr="00DB1559" w:rsidTr="00DB1559">
        <w:trPr>
          <w:trHeight w:val="454"/>
          <w:jc w:val="center"/>
        </w:trPr>
        <w:tc>
          <w:tcPr>
            <w:tcW w:w="2077" w:type="pct"/>
            <w:tcBorders>
              <w:left w:val="single" w:sz="8" w:space="0" w:color="FFFFFF"/>
              <w:bottom w:val="nil"/>
              <w:right w:val="single" w:sz="24" w:space="0" w:color="FFFFFF"/>
            </w:tcBorders>
            <w:shd w:val="clear" w:color="auto" w:fill="FFFFFF"/>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Podíl publikací ve spoluautorství českých a zahraničních výzkumníků (v % celkového počtu publikací ČR)</w:t>
            </w:r>
          </w:p>
        </w:tc>
        <w:tc>
          <w:tcPr>
            <w:tcW w:w="325" w:type="pct"/>
            <w:tcBorders>
              <w:left w:val="nil"/>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39,1</w:t>
            </w:r>
          </w:p>
        </w:tc>
        <w:tc>
          <w:tcPr>
            <w:tcW w:w="325" w:type="pct"/>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42,6</w:t>
            </w:r>
          </w:p>
        </w:tc>
        <w:tc>
          <w:tcPr>
            <w:tcW w:w="325" w:type="pct"/>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44,4</w:t>
            </w:r>
          </w:p>
        </w:tc>
        <w:tc>
          <w:tcPr>
            <w:tcW w:w="325" w:type="pct"/>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43,3</w:t>
            </w:r>
          </w:p>
        </w:tc>
        <w:tc>
          <w:tcPr>
            <w:tcW w:w="325" w:type="pct"/>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45,1</w:t>
            </w:r>
          </w:p>
        </w:tc>
        <w:tc>
          <w:tcPr>
            <w:tcW w:w="325" w:type="pct"/>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45,7</w:t>
            </w:r>
          </w:p>
        </w:tc>
        <w:tc>
          <w:tcPr>
            <w:tcW w:w="325" w:type="pct"/>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47,4</w:t>
            </w:r>
          </w:p>
        </w:tc>
        <w:tc>
          <w:tcPr>
            <w:tcW w:w="325" w:type="pct"/>
            <w:shd w:val="clear" w:color="auto" w:fill="FFFFFF"/>
            <w:vAlign w:val="center"/>
          </w:tcPr>
          <w:p w:rsidR="009D46E6" w:rsidRPr="00DB1559" w:rsidRDefault="009D46E6" w:rsidP="00DB1559">
            <w:pPr>
              <w:jc w:val="right"/>
              <w:rPr>
                <w:rFonts w:cs="Tahoma"/>
                <w:sz w:val="14"/>
                <w:szCs w:val="14"/>
              </w:rPr>
            </w:pPr>
            <w:r w:rsidRPr="00DB1559">
              <w:rPr>
                <w:rFonts w:cs="Tahoma"/>
                <w:sz w:val="14"/>
                <w:szCs w:val="14"/>
              </w:rPr>
              <w:t>47,5</w:t>
            </w:r>
          </w:p>
        </w:tc>
        <w:tc>
          <w:tcPr>
            <w:tcW w:w="323" w:type="pct"/>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49,1</w:t>
            </w:r>
          </w:p>
        </w:tc>
      </w:tr>
      <w:tr w:rsidR="009D46E6" w:rsidRPr="00DB1559" w:rsidTr="00DB1559">
        <w:trPr>
          <w:trHeight w:val="454"/>
          <w:jc w:val="center"/>
        </w:trPr>
        <w:tc>
          <w:tcPr>
            <w:tcW w:w="2077" w:type="pct"/>
            <w:tcBorders>
              <w:top w:val="single" w:sz="8" w:space="0" w:color="FFFFFF"/>
              <w:left w:val="single" w:sz="8" w:space="0" w:color="FFFFFF"/>
              <w:bottom w:val="nil"/>
              <w:right w:val="single" w:sz="24" w:space="0" w:color="FFFFFF"/>
            </w:tcBorders>
            <w:shd w:val="clear" w:color="auto" w:fill="F2DBDB"/>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Podíl technicky inovujících podniků spolupracujících na inovacích s partnerem z EU nebo EFTA (v %)</w:t>
            </w:r>
          </w:p>
        </w:tc>
        <w:tc>
          <w:tcPr>
            <w:tcW w:w="325" w:type="pct"/>
            <w:tcBorders>
              <w:top w:val="single" w:sz="8" w:space="0" w:color="FFFFFF"/>
              <w:left w:val="nil"/>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w:t>
            </w:r>
          </w:p>
        </w:tc>
        <w:tc>
          <w:tcPr>
            <w:tcW w:w="325" w:type="pct"/>
            <w:tcBorders>
              <w:top w:val="single" w:sz="8" w:space="0" w:color="FFFFFF"/>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w:t>
            </w:r>
          </w:p>
        </w:tc>
        <w:tc>
          <w:tcPr>
            <w:tcW w:w="325" w:type="pct"/>
            <w:tcBorders>
              <w:top w:val="single" w:sz="8" w:space="0" w:color="FFFFFF"/>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w:t>
            </w:r>
          </w:p>
        </w:tc>
        <w:tc>
          <w:tcPr>
            <w:tcW w:w="325" w:type="pct"/>
            <w:tcBorders>
              <w:top w:val="single" w:sz="8" w:space="0" w:color="FFFFFF"/>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w:t>
            </w:r>
          </w:p>
        </w:tc>
        <w:tc>
          <w:tcPr>
            <w:tcW w:w="325" w:type="pct"/>
            <w:tcBorders>
              <w:top w:val="single" w:sz="8" w:space="0" w:color="FFFFFF"/>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19,8</w:t>
            </w:r>
          </w:p>
        </w:tc>
        <w:tc>
          <w:tcPr>
            <w:tcW w:w="325" w:type="pct"/>
            <w:tcBorders>
              <w:top w:val="single" w:sz="8" w:space="0" w:color="FFFFFF"/>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w:t>
            </w:r>
          </w:p>
        </w:tc>
        <w:tc>
          <w:tcPr>
            <w:tcW w:w="325" w:type="pct"/>
            <w:tcBorders>
              <w:top w:val="single" w:sz="8" w:space="0" w:color="FFFFFF"/>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20,9</w:t>
            </w:r>
          </w:p>
        </w:tc>
        <w:tc>
          <w:tcPr>
            <w:tcW w:w="325" w:type="pct"/>
            <w:tcBorders>
              <w:top w:val="single" w:sz="8" w:space="0" w:color="FFFFFF"/>
              <w:left w:val="single" w:sz="8" w:space="0" w:color="FFFFFF"/>
              <w:bottom w:val="single" w:sz="8" w:space="0" w:color="FFFFFF"/>
              <w:right w:val="single" w:sz="8" w:space="0" w:color="FFFFFF"/>
            </w:tcBorders>
            <w:shd w:val="clear" w:color="auto" w:fill="F2DBDB"/>
            <w:vAlign w:val="center"/>
          </w:tcPr>
          <w:p w:rsidR="009D46E6" w:rsidRPr="00DB1559" w:rsidRDefault="009D46E6" w:rsidP="00DB1559">
            <w:pPr>
              <w:jc w:val="right"/>
              <w:rPr>
                <w:rFonts w:cs="Tahoma"/>
                <w:sz w:val="14"/>
                <w:szCs w:val="14"/>
              </w:rPr>
            </w:pPr>
            <w:r w:rsidRPr="00DB1559">
              <w:rPr>
                <w:rFonts w:cs="Tahoma"/>
                <w:sz w:val="14"/>
                <w:szCs w:val="14"/>
              </w:rPr>
              <w:t>.</w:t>
            </w:r>
          </w:p>
        </w:tc>
        <w:tc>
          <w:tcPr>
            <w:tcW w:w="323" w:type="pct"/>
            <w:tcBorders>
              <w:top w:val="single" w:sz="8" w:space="0" w:color="FFFFFF"/>
              <w:left w:val="single" w:sz="8" w:space="0" w:color="FFFFFF"/>
              <w:bottom w:val="single" w:sz="8" w:space="0" w:color="FFFFFF"/>
              <w:right w:val="single" w:sz="8" w:space="0" w:color="FFFFFF"/>
            </w:tcBorders>
            <w:shd w:val="clear" w:color="auto" w:fill="F2DBDB"/>
            <w:noWrap/>
            <w:vAlign w:val="center"/>
          </w:tcPr>
          <w:p w:rsidR="009D46E6" w:rsidRPr="00DB1559" w:rsidRDefault="009D46E6" w:rsidP="00DB1559">
            <w:pPr>
              <w:jc w:val="right"/>
              <w:rPr>
                <w:rFonts w:cs="Tahoma"/>
                <w:sz w:val="14"/>
                <w:szCs w:val="14"/>
              </w:rPr>
            </w:pPr>
            <w:r w:rsidRPr="00DB1559">
              <w:rPr>
                <w:rFonts w:cs="Tahoma"/>
                <w:sz w:val="14"/>
                <w:szCs w:val="14"/>
              </w:rPr>
              <w:t>.</w:t>
            </w:r>
          </w:p>
        </w:tc>
      </w:tr>
      <w:tr w:rsidR="009D46E6" w:rsidRPr="00DB1559" w:rsidTr="00DB1559">
        <w:trPr>
          <w:trHeight w:val="454"/>
          <w:jc w:val="center"/>
        </w:trPr>
        <w:tc>
          <w:tcPr>
            <w:tcW w:w="2077" w:type="pct"/>
            <w:tcBorders>
              <w:left w:val="single" w:sz="8" w:space="0" w:color="FFFFFF"/>
              <w:bottom w:val="single" w:sz="4" w:space="0" w:color="943634"/>
              <w:right w:val="single" w:sz="24" w:space="0" w:color="FFFFFF"/>
            </w:tcBorders>
            <w:shd w:val="clear" w:color="auto" w:fill="FFFFFF"/>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Studenti studující v jiné zemi EU27, EEA nebo kandidátské zemi (v % všech studentů)</w:t>
            </w:r>
          </w:p>
        </w:tc>
        <w:tc>
          <w:tcPr>
            <w:tcW w:w="325" w:type="pct"/>
            <w:tcBorders>
              <w:left w:val="nil"/>
              <w:bottom w:val="single" w:sz="4" w:space="0" w:color="943634"/>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w:t>
            </w:r>
          </w:p>
        </w:tc>
        <w:tc>
          <w:tcPr>
            <w:tcW w:w="325" w:type="pct"/>
            <w:tcBorders>
              <w:bottom w:val="single" w:sz="4" w:space="0" w:color="943634"/>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1,3</w:t>
            </w:r>
          </w:p>
        </w:tc>
        <w:tc>
          <w:tcPr>
            <w:tcW w:w="325" w:type="pct"/>
            <w:tcBorders>
              <w:bottom w:val="single" w:sz="4" w:space="0" w:color="943634"/>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1,8</w:t>
            </w:r>
          </w:p>
        </w:tc>
        <w:tc>
          <w:tcPr>
            <w:tcW w:w="325" w:type="pct"/>
            <w:tcBorders>
              <w:bottom w:val="single" w:sz="4" w:space="0" w:color="943634"/>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2,1</w:t>
            </w:r>
          </w:p>
        </w:tc>
        <w:tc>
          <w:tcPr>
            <w:tcW w:w="325" w:type="pct"/>
            <w:tcBorders>
              <w:bottom w:val="single" w:sz="4" w:space="0" w:color="943634"/>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2,6</w:t>
            </w:r>
          </w:p>
        </w:tc>
        <w:tc>
          <w:tcPr>
            <w:tcW w:w="325" w:type="pct"/>
            <w:tcBorders>
              <w:bottom w:val="single" w:sz="4" w:space="0" w:color="943634"/>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2,7</w:t>
            </w:r>
          </w:p>
        </w:tc>
        <w:tc>
          <w:tcPr>
            <w:tcW w:w="325" w:type="pct"/>
            <w:tcBorders>
              <w:bottom w:val="single" w:sz="4" w:space="0" w:color="943634"/>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2,9</w:t>
            </w:r>
          </w:p>
        </w:tc>
        <w:tc>
          <w:tcPr>
            <w:tcW w:w="325" w:type="pct"/>
            <w:tcBorders>
              <w:bottom w:val="single" w:sz="4" w:space="0" w:color="943634"/>
            </w:tcBorders>
            <w:shd w:val="clear" w:color="auto" w:fill="FFFFFF"/>
            <w:vAlign w:val="center"/>
          </w:tcPr>
          <w:p w:rsidR="009D46E6" w:rsidRPr="00DB1559" w:rsidRDefault="009D46E6" w:rsidP="00DB1559">
            <w:pPr>
              <w:jc w:val="right"/>
              <w:rPr>
                <w:rFonts w:cs="Tahoma"/>
                <w:sz w:val="14"/>
                <w:szCs w:val="14"/>
              </w:rPr>
            </w:pPr>
            <w:r w:rsidRPr="00DB1559">
              <w:rPr>
                <w:rFonts w:cs="Tahoma"/>
                <w:sz w:val="14"/>
                <w:szCs w:val="14"/>
              </w:rPr>
              <w:t>2,9</w:t>
            </w:r>
          </w:p>
        </w:tc>
        <w:tc>
          <w:tcPr>
            <w:tcW w:w="323" w:type="pct"/>
            <w:tcBorders>
              <w:bottom w:val="single" w:sz="4" w:space="0" w:color="943634"/>
            </w:tcBorders>
            <w:shd w:val="clear" w:color="auto" w:fill="FFFFFF"/>
            <w:noWrap/>
            <w:vAlign w:val="center"/>
          </w:tcPr>
          <w:p w:rsidR="009D46E6" w:rsidRPr="00DB1559" w:rsidRDefault="009D46E6" w:rsidP="00DB1559">
            <w:pPr>
              <w:jc w:val="right"/>
              <w:rPr>
                <w:rFonts w:cs="Tahoma"/>
                <w:sz w:val="14"/>
                <w:szCs w:val="14"/>
              </w:rPr>
            </w:pPr>
            <w:r w:rsidRPr="00DB1559">
              <w:rPr>
                <w:rFonts w:cs="Tahoma"/>
                <w:sz w:val="14"/>
                <w:szCs w:val="14"/>
              </w:rPr>
              <w:t>. </w:t>
            </w:r>
          </w:p>
        </w:tc>
      </w:tr>
    </w:tbl>
    <w:p w:rsidR="009D46E6" w:rsidRDefault="009D46E6" w:rsidP="002711A9">
      <w:pPr>
        <w:pStyle w:val="Zdroj"/>
      </w:pPr>
      <w:r>
        <w:t>Pozn.: D</w:t>
      </w:r>
      <w:r w:rsidRPr="007A220D">
        <w:t xml:space="preserve">efinice </w:t>
      </w:r>
      <w:r>
        <w:t>vybraných</w:t>
      </w:r>
      <w:r w:rsidRPr="007A220D">
        <w:t xml:space="preserve"> ukazatelů jsou uvedeny v příloze </w:t>
      </w:r>
      <w:r>
        <w:t>G.</w:t>
      </w:r>
      <w:r w:rsidRPr="007A220D">
        <w:t>1</w:t>
      </w:r>
    </w:p>
    <w:p w:rsidR="009D46E6" w:rsidRPr="009F081E" w:rsidRDefault="009D46E6" w:rsidP="002711A9">
      <w:pPr>
        <w:pStyle w:val="Zdroj"/>
      </w:pPr>
      <w:r>
        <w:t>Zdroj: Data uvedená v jednotlivých kapitolách analýzy</w:t>
      </w:r>
    </w:p>
    <w:p w:rsidR="009D46E6" w:rsidRDefault="009D46E6" w:rsidP="002711A9">
      <w:pPr>
        <w:spacing w:before="200" w:after="200" w:line="276" w:lineRule="auto"/>
        <w:jc w:val="left"/>
      </w:pPr>
      <w:r>
        <w:br w:type="page"/>
      </w:r>
    </w:p>
    <w:p w:rsidR="009D46E6" w:rsidRDefault="009D46E6" w:rsidP="00750D9B">
      <w:pPr>
        <w:pStyle w:val="Caption"/>
      </w:pPr>
      <w:bookmarkStart w:id="8" w:name="_Toc369091920"/>
      <w:r>
        <w:t xml:space="preserve">Tabulka </w:t>
      </w:r>
      <w:fldSimple w:instr=" SEQ Tabulka \* ARABIC \s 1 ">
        <w:r>
          <w:rPr>
            <w:noProof/>
          </w:rPr>
          <w:t>2</w:t>
        </w:r>
      </w:fldSimple>
      <w:r w:rsidRPr="00BC1D05">
        <w:t xml:space="preserve">: </w:t>
      </w:r>
      <w:r>
        <w:t>Klíčové ukazatele – Česká republika v mezinárodním srovnání</w:t>
      </w:r>
      <w:bookmarkEnd w:id="8"/>
    </w:p>
    <w:tbl>
      <w:tblPr>
        <w:tblW w:w="9630" w:type="dxa"/>
        <w:jc w:val="center"/>
        <w:tblLayout w:type="fixed"/>
        <w:tblCellMar>
          <w:top w:w="28" w:type="dxa"/>
          <w:left w:w="28" w:type="dxa"/>
          <w:bottom w:w="28" w:type="dxa"/>
          <w:right w:w="28" w:type="dxa"/>
        </w:tblCellMar>
        <w:tblLook w:val="00A0"/>
      </w:tblPr>
      <w:tblGrid>
        <w:gridCol w:w="4544"/>
        <w:gridCol w:w="852"/>
        <w:gridCol w:w="849"/>
        <w:gridCol w:w="849"/>
        <w:gridCol w:w="847"/>
        <w:gridCol w:w="847"/>
        <w:gridCol w:w="842"/>
      </w:tblGrid>
      <w:tr w:rsidR="009D46E6" w:rsidRPr="00DB1559" w:rsidTr="00DB1559">
        <w:trPr>
          <w:trHeight w:val="255"/>
          <w:jc w:val="center"/>
        </w:trPr>
        <w:tc>
          <w:tcPr>
            <w:tcW w:w="2359" w:type="pct"/>
            <w:tcBorders>
              <w:bottom w:val="single" w:sz="4" w:space="0" w:color="943634"/>
            </w:tcBorders>
            <w:shd w:val="clear" w:color="auto" w:fill="F2DBDB"/>
            <w:noWrap/>
            <w:vAlign w:val="center"/>
          </w:tcPr>
          <w:p w:rsidR="009D46E6" w:rsidRPr="00DB1559" w:rsidRDefault="009D46E6" w:rsidP="00DB1559">
            <w:pPr>
              <w:spacing w:after="0" w:line="240" w:lineRule="auto"/>
              <w:jc w:val="center"/>
              <w:rPr>
                <w:rFonts w:cs="Tahoma"/>
                <w:b/>
                <w:bCs/>
                <w:sz w:val="14"/>
                <w:szCs w:val="14"/>
                <w:lang w:eastAsia="cs-CZ"/>
              </w:rPr>
            </w:pPr>
          </w:p>
        </w:tc>
        <w:tc>
          <w:tcPr>
            <w:tcW w:w="442" w:type="pct"/>
            <w:tcBorders>
              <w:bottom w:val="single" w:sz="4" w:space="0" w:color="943634"/>
            </w:tcBorders>
            <w:shd w:val="clear" w:color="auto" w:fill="F2DBDB"/>
            <w:noWrap/>
            <w:vAlign w:val="center"/>
          </w:tcPr>
          <w:p w:rsidR="009D46E6" w:rsidRPr="00DB1559" w:rsidRDefault="009D46E6" w:rsidP="00DB1559">
            <w:pPr>
              <w:spacing w:after="0" w:line="240" w:lineRule="auto"/>
              <w:jc w:val="right"/>
              <w:rPr>
                <w:rFonts w:cs="Tahoma"/>
                <w:b/>
                <w:bCs/>
                <w:color w:val="000000"/>
                <w:sz w:val="14"/>
                <w:szCs w:val="14"/>
              </w:rPr>
            </w:pPr>
            <w:r w:rsidRPr="00DB1559">
              <w:rPr>
                <w:rFonts w:cs="Tahoma"/>
                <w:b/>
                <w:color w:val="000000"/>
                <w:sz w:val="14"/>
                <w:szCs w:val="14"/>
              </w:rPr>
              <w:t>Rok</w:t>
            </w:r>
          </w:p>
        </w:tc>
        <w:tc>
          <w:tcPr>
            <w:tcW w:w="441" w:type="pct"/>
            <w:tcBorders>
              <w:bottom w:val="single" w:sz="4" w:space="0" w:color="943634"/>
            </w:tcBorders>
            <w:shd w:val="clear" w:color="auto" w:fill="F2DBDB"/>
            <w:noWrap/>
            <w:vAlign w:val="center"/>
          </w:tcPr>
          <w:p w:rsidR="009D46E6" w:rsidRPr="00DB1559" w:rsidRDefault="009D46E6" w:rsidP="00DB1559">
            <w:pPr>
              <w:spacing w:after="0" w:line="240" w:lineRule="auto"/>
              <w:jc w:val="right"/>
              <w:rPr>
                <w:rFonts w:cs="Tahoma"/>
                <w:b/>
                <w:bCs/>
                <w:color w:val="000000"/>
                <w:sz w:val="14"/>
                <w:szCs w:val="14"/>
              </w:rPr>
            </w:pPr>
            <w:r w:rsidRPr="00DB1559">
              <w:rPr>
                <w:rFonts w:cs="Tahoma"/>
                <w:b/>
                <w:color w:val="000000"/>
                <w:sz w:val="14"/>
                <w:szCs w:val="14"/>
              </w:rPr>
              <w:t>ČR</w:t>
            </w:r>
          </w:p>
        </w:tc>
        <w:tc>
          <w:tcPr>
            <w:tcW w:w="441" w:type="pct"/>
            <w:tcBorders>
              <w:bottom w:val="single" w:sz="4" w:space="0" w:color="943634"/>
            </w:tcBorders>
            <w:shd w:val="clear" w:color="auto" w:fill="F2DBDB"/>
            <w:noWrap/>
            <w:vAlign w:val="center"/>
          </w:tcPr>
          <w:p w:rsidR="009D46E6" w:rsidRPr="00DB1559" w:rsidRDefault="009D46E6" w:rsidP="00DB1559">
            <w:pPr>
              <w:spacing w:after="0" w:line="240" w:lineRule="auto"/>
              <w:jc w:val="right"/>
              <w:rPr>
                <w:rFonts w:cs="Tahoma"/>
                <w:b/>
                <w:bCs/>
                <w:color w:val="000000"/>
                <w:sz w:val="14"/>
                <w:szCs w:val="14"/>
              </w:rPr>
            </w:pPr>
            <w:r w:rsidRPr="00DB1559">
              <w:rPr>
                <w:rFonts w:cs="Tahoma"/>
                <w:b/>
                <w:color w:val="000000"/>
                <w:sz w:val="14"/>
                <w:szCs w:val="14"/>
              </w:rPr>
              <w:t>Německo</w:t>
            </w:r>
          </w:p>
        </w:tc>
        <w:tc>
          <w:tcPr>
            <w:tcW w:w="440" w:type="pct"/>
            <w:tcBorders>
              <w:bottom w:val="single" w:sz="4" w:space="0" w:color="943634"/>
            </w:tcBorders>
            <w:shd w:val="clear" w:color="auto" w:fill="F2DBDB"/>
            <w:noWrap/>
            <w:vAlign w:val="center"/>
          </w:tcPr>
          <w:p w:rsidR="009D46E6" w:rsidRPr="00DB1559" w:rsidRDefault="009D46E6" w:rsidP="00DB1559">
            <w:pPr>
              <w:spacing w:after="0" w:line="240" w:lineRule="auto"/>
              <w:jc w:val="right"/>
              <w:rPr>
                <w:rFonts w:cs="Tahoma"/>
                <w:b/>
                <w:bCs/>
                <w:color w:val="000000"/>
                <w:sz w:val="14"/>
                <w:szCs w:val="14"/>
              </w:rPr>
            </w:pPr>
            <w:r w:rsidRPr="00DB1559">
              <w:rPr>
                <w:rFonts w:cs="Tahoma"/>
                <w:b/>
                <w:color w:val="000000"/>
                <w:sz w:val="14"/>
                <w:szCs w:val="14"/>
              </w:rPr>
              <w:t>Rakousko</w:t>
            </w:r>
          </w:p>
        </w:tc>
        <w:tc>
          <w:tcPr>
            <w:tcW w:w="440" w:type="pct"/>
            <w:tcBorders>
              <w:bottom w:val="single" w:sz="4" w:space="0" w:color="943634"/>
            </w:tcBorders>
            <w:shd w:val="clear" w:color="auto" w:fill="F2DBDB"/>
            <w:noWrap/>
            <w:vAlign w:val="center"/>
          </w:tcPr>
          <w:p w:rsidR="009D46E6" w:rsidRPr="00DB1559" w:rsidRDefault="009D46E6" w:rsidP="00DB1559">
            <w:pPr>
              <w:spacing w:after="0" w:line="240" w:lineRule="auto"/>
              <w:jc w:val="right"/>
              <w:rPr>
                <w:rFonts w:cs="Tahoma"/>
                <w:b/>
                <w:bCs/>
                <w:color w:val="000000"/>
                <w:sz w:val="14"/>
                <w:szCs w:val="14"/>
              </w:rPr>
            </w:pPr>
            <w:r w:rsidRPr="00DB1559">
              <w:rPr>
                <w:rFonts w:cs="Tahoma"/>
                <w:b/>
                <w:color w:val="000000"/>
                <w:sz w:val="14"/>
                <w:szCs w:val="14"/>
              </w:rPr>
              <w:t>Slovensko</w:t>
            </w:r>
          </w:p>
        </w:tc>
        <w:tc>
          <w:tcPr>
            <w:tcW w:w="437" w:type="pct"/>
            <w:tcBorders>
              <w:bottom w:val="single" w:sz="4" w:space="0" w:color="943634"/>
            </w:tcBorders>
            <w:shd w:val="clear" w:color="auto" w:fill="F2DBDB"/>
            <w:noWrap/>
            <w:vAlign w:val="center"/>
          </w:tcPr>
          <w:p w:rsidR="009D46E6" w:rsidRPr="00DB1559" w:rsidRDefault="009D46E6" w:rsidP="00DB1559">
            <w:pPr>
              <w:spacing w:after="0" w:line="240" w:lineRule="auto"/>
              <w:jc w:val="right"/>
              <w:rPr>
                <w:rFonts w:cs="Tahoma"/>
                <w:b/>
                <w:bCs/>
                <w:color w:val="000000"/>
                <w:sz w:val="14"/>
                <w:szCs w:val="14"/>
              </w:rPr>
            </w:pPr>
            <w:r w:rsidRPr="00DB1559">
              <w:rPr>
                <w:rFonts w:cs="Tahoma"/>
                <w:b/>
                <w:color w:val="000000"/>
                <w:sz w:val="14"/>
                <w:szCs w:val="14"/>
              </w:rPr>
              <w:t>Polsko</w:t>
            </w:r>
          </w:p>
        </w:tc>
      </w:tr>
      <w:tr w:rsidR="009D46E6" w:rsidRPr="00DB1559" w:rsidTr="00DB1559">
        <w:trPr>
          <w:trHeight w:val="255"/>
          <w:jc w:val="center"/>
        </w:trPr>
        <w:tc>
          <w:tcPr>
            <w:tcW w:w="2359" w:type="pct"/>
            <w:tcBorders>
              <w:top w:val="single" w:sz="4" w:space="0" w:color="943634"/>
              <w:bottom w:val="single" w:sz="4" w:space="0" w:color="943634"/>
            </w:tcBorders>
            <w:noWrap/>
            <w:vAlign w:val="center"/>
          </w:tcPr>
          <w:p w:rsidR="009D46E6" w:rsidRPr="00DB1559" w:rsidRDefault="009D46E6" w:rsidP="00DB1559">
            <w:pPr>
              <w:spacing w:after="0" w:line="240" w:lineRule="auto"/>
              <w:jc w:val="left"/>
              <w:rPr>
                <w:rFonts w:cs="Tahoma"/>
                <w:b/>
                <w:bCs/>
                <w:sz w:val="14"/>
                <w:szCs w:val="14"/>
                <w:lang w:eastAsia="cs-CZ"/>
              </w:rPr>
            </w:pPr>
            <w:r w:rsidRPr="00DB1559">
              <w:rPr>
                <w:rFonts w:cs="Tahoma"/>
                <w:b/>
                <w:sz w:val="14"/>
                <w:szCs w:val="14"/>
                <w:lang w:eastAsia="cs-CZ"/>
              </w:rPr>
              <w:t>Financování</w:t>
            </w:r>
          </w:p>
        </w:tc>
        <w:tc>
          <w:tcPr>
            <w:tcW w:w="442"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color w:val="000000"/>
                <w:sz w:val="14"/>
                <w:szCs w:val="14"/>
              </w:rPr>
            </w:pPr>
          </w:p>
        </w:tc>
        <w:tc>
          <w:tcPr>
            <w:tcW w:w="441"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color w:val="000000"/>
                <w:sz w:val="14"/>
                <w:szCs w:val="14"/>
              </w:rPr>
            </w:pPr>
          </w:p>
        </w:tc>
        <w:tc>
          <w:tcPr>
            <w:tcW w:w="441"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color w:val="000000"/>
                <w:sz w:val="14"/>
                <w:szCs w:val="14"/>
              </w:rPr>
            </w:pPr>
          </w:p>
        </w:tc>
        <w:tc>
          <w:tcPr>
            <w:tcW w:w="440"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color w:val="000000"/>
                <w:sz w:val="14"/>
                <w:szCs w:val="14"/>
              </w:rPr>
            </w:pPr>
          </w:p>
        </w:tc>
        <w:tc>
          <w:tcPr>
            <w:tcW w:w="440"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color w:val="000000"/>
                <w:sz w:val="14"/>
                <w:szCs w:val="14"/>
              </w:rPr>
            </w:pPr>
          </w:p>
        </w:tc>
        <w:tc>
          <w:tcPr>
            <w:tcW w:w="437"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color w:val="000000"/>
                <w:sz w:val="14"/>
                <w:szCs w:val="14"/>
              </w:rPr>
            </w:pPr>
          </w:p>
        </w:tc>
      </w:tr>
      <w:tr w:rsidR="009D46E6" w:rsidRPr="00DB1559" w:rsidTr="00DB1559">
        <w:trPr>
          <w:trHeight w:val="255"/>
          <w:jc w:val="center"/>
        </w:trPr>
        <w:tc>
          <w:tcPr>
            <w:tcW w:w="2359" w:type="pct"/>
            <w:tcBorders>
              <w:top w:val="single" w:sz="4" w:space="0" w:color="943634"/>
            </w:tcBorders>
            <w:shd w:val="clear" w:color="auto" w:fill="F2DBDB"/>
            <w:noWrap/>
            <w:vAlign w:val="center"/>
          </w:tcPr>
          <w:p w:rsidR="009D46E6" w:rsidRPr="00DB1559" w:rsidRDefault="009D46E6" w:rsidP="00DB1559">
            <w:pPr>
              <w:spacing w:after="0" w:line="240" w:lineRule="auto"/>
              <w:jc w:val="left"/>
              <w:rPr>
                <w:rFonts w:cs="Tahoma"/>
                <w:b/>
                <w:bCs/>
                <w:color w:val="000000"/>
                <w:sz w:val="14"/>
                <w:szCs w:val="14"/>
              </w:rPr>
            </w:pPr>
            <w:r w:rsidRPr="00DB1559">
              <w:rPr>
                <w:rFonts w:cs="Tahoma"/>
                <w:bCs/>
                <w:color w:val="000000"/>
                <w:sz w:val="14"/>
                <w:szCs w:val="14"/>
              </w:rPr>
              <w:t>GERD (v mil. €)</w:t>
            </w:r>
          </w:p>
        </w:tc>
        <w:tc>
          <w:tcPr>
            <w:tcW w:w="442" w:type="pct"/>
            <w:tcBorders>
              <w:top w:val="single" w:sz="4" w:space="0" w:color="943634"/>
            </w:tcBorders>
            <w:shd w:val="clear" w:color="auto" w:fill="F2DBDB"/>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2011</w:t>
            </w:r>
          </w:p>
        </w:tc>
        <w:tc>
          <w:tcPr>
            <w:tcW w:w="441"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2 552</w:t>
            </w:r>
          </w:p>
        </w:tc>
        <w:tc>
          <w:tcPr>
            <w:tcW w:w="441"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73 692</w:t>
            </w:r>
          </w:p>
        </w:tc>
        <w:tc>
          <w:tcPr>
            <w:tcW w:w="440"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8 263</w:t>
            </w:r>
          </w:p>
        </w:tc>
        <w:tc>
          <w:tcPr>
            <w:tcW w:w="440"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468</w:t>
            </w:r>
          </w:p>
        </w:tc>
        <w:tc>
          <w:tcPr>
            <w:tcW w:w="437"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2 836</w:t>
            </w:r>
          </w:p>
        </w:tc>
      </w:tr>
      <w:tr w:rsidR="009D46E6" w:rsidRPr="00DB1559" w:rsidTr="00DB1559">
        <w:trPr>
          <w:trHeight w:val="255"/>
          <w:jc w:val="center"/>
        </w:trPr>
        <w:tc>
          <w:tcPr>
            <w:tcW w:w="2359" w:type="pct"/>
            <w:noWrap/>
            <w:vAlign w:val="center"/>
          </w:tcPr>
          <w:p w:rsidR="009D46E6" w:rsidRPr="00DB1559" w:rsidRDefault="009D46E6" w:rsidP="00DB1559">
            <w:pPr>
              <w:spacing w:after="0" w:line="240" w:lineRule="auto"/>
              <w:jc w:val="left"/>
              <w:rPr>
                <w:rFonts w:cs="Tahoma"/>
                <w:b/>
                <w:bCs/>
                <w:color w:val="000000"/>
                <w:sz w:val="14"/>
                <w:szCs w:val="14"/>
              </w:rPr>
            </w:pPr>
            <w:r w:rsidRPr="00DB1559">
              <w:rPr>
                <w:rFonts w:cs="Tahoma"/>
                <w:bCs/>
                <w:color w:val="000000"/>
                <w:sz w:val="14"/>
                <w:szCs w:val="14"/>
              </w:rPr>
              <w:t>GERD (v % HDP)</w:t>
            </w:r>
          </w:p>
        </w:tc>
        <w:tc>
          <w:tcPr>
            <w:tcW w:w="442" w:type="pct"/>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2011</w:t>
            </w:r>
          </w:p>
        </w:tc>
        <w:tc>
          <w:tcPr>
            <w:tcW w:w="441"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1,65</w:t>
            </w:r>
          </w:p>
        </w:tc>
        <w:tc>
          <w:tcPr>
            <w:tcW w:w="441"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2,84</w:t>
            </w:r>
          </w:p>
        </w:tc>
        <w:tc>
          <w:tcPr>
            <w:tcW w:w="440"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2,75</w:t>
            </w:r>
          </w:p>
        </w:tc>
        <w:tc>
          <w:tcPr>
            <w:tcW w:w="440"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0,68</w:t>
            </w:r>
          </w:p>
        </w:tc>
        <w:tc>
          <w:tcPr>
            <w:tcW w:w="437"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0,76</w:t>
            </w:r>
          </w:p>
        </w:tc>
      </w:tr>
      <w:tr w:rsidR="009D46E6" w:rsidRPr="00DB1559" w:rsidTr="00DB1559">
        <w:trPr>
          <w:trHeight w:val="255"/>
          <w:jc w:val="center"/>
        </w:trPr>
        <w:tc>
          <w:tcPr>
            <w:tcW w:w="2359" w:type="pct"/>
            <w:shd w:val="clear" w:color="auto" w:fill="F2DBDB"/>
            <w:noWrap/>
            <w:vAlign w:val="center"/>
          </w:tcPr>
          <w:p w:rsidR="009D46E6" w:rsidRPr="00DB1559" w:rsidRDefault="009D46E6" w:rsidP="00DB1559">
            <w:pPr>
              <w:spacing w:after="0" w:line="240" w:lineRule="auto"/>
              <w:jc w:val="left"/>
              <w:rPr>
                <w:rFonts w:cs="Tahoma"/>
                <w:b/>
                <w:bCs/>
                <w:color w:val="000000"/>
                <w:sz w:val="14"/>
                <w:szCs w:val="14"/>
              </w:rPr>
            </w:pPr>
            <w:r w:rsidRPr="00DB1559">
              <w:rPr>
                <w:rFonts w:cs="Tahoma"/>
                <w:bCs/>
                <w:color w:val="000000"/>
                <w:sz w:val="14"/>
                <w:szCs w:val="14"/>
              </w:rPr>
              <w:t>BERD (v % GERD)</w:t>
            </w:r>
          </w:p>
        </w:tc>
        <w:tc>
          <w:tcPr>
            <w:tcW w:w="442" w:type="pct"/>
            <w:shd w:val="clear" w:color="auto" w:fill="F2DBDB"/>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2011</w:t>
            </w:r>
          </w:p>
        </w:tc>
        <w:tc>
          <w:tcPr>
            <w:tcW w:w="441"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55,3</w:t>
            </w:r>
          </w:p>
        </w:tc>
        <w:tc>
          <w:tcPr>
            <w:tcW w:w="441"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67,0</w:t>
            </w:r>
          </w:p>
        </w:tc>
        <w:tc>
          <w:tcPr>
            <w:tcW w:w="440"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68,1</w:t>
            </w:r>
          </w:p>
        </w:tc>
        <w:tc>
          <w:tcPr>
            <w:tcW w:w="440"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37,2</w:t>
            </w:r>
          </w:p>
        </w:tc>
        <w:tc>
          <w:tcPr>
            <w:tcW w:w="437"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30,1</w:t>
            </w:r>
          </w:p>
        </w:tc>
      </w:tr>
      <w:tr w:rsidR="009D46E6" w:rsidRPr="00DB1559" w:rsidTr="00DB1559">
        <w:trPr>
          <w:trHeight w:val="255"/>
          <w:jc w:val="center"/>
        </w:trPr>
        <w:tc>
          <w:tcPr>
            <w:tcW w:w="2359" w:type="pct"/>
            <w:noWrap/>
            <w:vAlign w:val="center"/>
          </w:tcPr>
          <w:p w:rsidR="009D46E6" w:rsidRPr="00DB1559" w:rsidRDefault="009D46E6" w:rsidP="00DB1559">
            <w:pPr>
              <w:spacing w:after="0" w:line="240" w:lineRule="auto"/>
              <w:jc w:val="left"/>
              <w:rPr>
                <w:rFonts w:cs="Tahoma"/>
                <w:b/>
                <w:bCs/>
                <w:color w:val="000000"/>
                <w:sz w:val="14"/>
                <w:szCs w:val="14"/>
              </w:rPr>
            </w:pPr>
            <w:r w:rsidRPr="00DB1559">
              <w:rPr>
                <w:rFonts w:cs="Tahoma"/>
                <w:bCs/>
                <w:color w:val="000000"/>
                <w:sz w:val="14"/>
                <w:szCs w:val="14"/>
              </w:rPr>
              <w:t>GOVERD (v % GERD)</w:t>
            </w:r>
          </w:p>
        </w:tc>
        <w:tc>
          <w:tcPr>
            <w:tcW w:w="442" w:type="pct"/>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2011</w:t>
            </w:r>
          </w:p>
        </w:tc>
        <w:tc>
          <w:tcPr>
            <w:tcW w:w="441"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19,8</w:t>
            </w:r>
          </w:p>
        </w:tc>
        <w:tc>
          <w:tcPr>
            <w:tcW w:w="441"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14,8</w:t>
            </w:r>
          </w:p>
        </w:tc>
        <w:tc>
          <w:tcPr>
            <w:tcW w:w="440"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5,3</w:t>
            </w:r>
          </w:p>
        </w:tc>
        <w:tc>
          <w:tcPr>
            <w:tcW w:w="440"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27,7</w:t>
            </w:r>
          </w:p>
        </w:tc>
        <w:tc>
          <w:tcPr>
            <w:tcW w:w="437"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34,5</w:t>
            </w:r>
          </w:p>
        </w:tc>
      </w:tr>
      <w:tr w:rsidR="009D46E6" w:rsidRPr="00DB1559" w:rsidTr="00DB1559">
        <w:trPr>
          <w:trHeight w:val="255"/>
          <w:jc w:val="center"/>
        </w:trPr>
        <w:tc>
          <w:tcPr>
            <w:tcW w:w="2359" w:type="pct"/>
            <w:shd w:val="clear" w:color="auto" w:fill="F2DBDB"/>
            <w:noWrap/>
            <w:vAlign w:val="center"/>
          </w:tcPr>
          <w:p w:rsidR="009D46E6" w:rsidRPr="00DB1559" w:rsidRDefault="009D46E6" w:rsidP="00DB1559">
            <w:pPr>
              <w:spacing w:after="0" w:line="240" w:lineRule="auto"/>
              <w:jc w:val="left"/>
              <w:rPr>
                <w:rFonts w:cs="Tahoma"/>
                <w:b/>
                <w:bCs/>
                <w:color w:val="000000"/>
                <w:sz w:val="14"/>
                <w:szCs w:val="14"/>
              </w:rPr>
            </w:pPr>
            <w:r w:rsidRPr="00DB1559">
              <w:rPr>
                <w:rFonts w:cs="Tahoma"/>
                <w:bCs/>
                <w:color w:val="000000"/>
                <w:sz w:val="14"/>
                <w:szCs w:val="14"/>
              </w:rPr>
              <w:t>HERD (v % GERD)</w:t>
            </w:r>
          </w:p>
        </w:tc>
        <w:tc>
          <w:tcPr>
            <w:tcW w:w="442" w:type="pct"/>
            <w:shd w:val="clear" w:color="auto" w:fill="F2DBDB"/>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2011</w:t>
            </w:r>
          </w:p>
        </w:tc>
        <w:tc>
          <w:tcPr>
            <w:tcW w:w="441"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24,4</w:t>
            </w:r>
          </w:p>
        </w:tc>
        <w:tc>
          <w:tcPr>
            <w:tcW w:w="441"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18,3</w:t>
            </w:r>
          </w:p>
        </w:tc>
        <w:tc>
          <w:tcPr>
            <w:tcW w:w="440"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26,1</w:t>
            </w:r>
          </w:p>
        </w:tc>
        <w:tc>
          <w:tcPr>
            <w:tcW w:w="440"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35,0</w:t>
            </w:r>
          </w:p>
        </w:tc>
        <w:tc>
          <w:tcPr>
            <w:tcW w:w="437"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35,1</w:t>
            </w:r>
          </w:p>
        </w:tc>
      </w:tr>
      <w:tr w:rsidR="009D46E6" w:rsidRPr="00DB1559" w:rsidTr="00DB1559">
        <w:trPr>
          <w:trHeight w:val="255"/>
          <w:jc w:val="center"/>
        </w:trPr>
        <w:tc>
          <w:tcPr>
            <w:tcW w:w="2359" w:type="pct"/>
            <w:noWrap/>
            <w:vAlign w:val="center"/>
          </w:tcPr>
          <w:p w:rsidR="009D46E6" w:rsidRPr="00DB1559" w:rsidRDefault="009D46E6" w:rsidP="00DB1559">
            <w:pPr>
              <w:spacing w:after="0" w:line="240" w:lineRule="auto"/>
              <w:jc w:val="left"/>
              <w:rPr>
                <w:rFonts w:cs="Tahoma"/>
                <w:b/>
                <w:bCs/>
                <w:color w:val="000000"/>
                <w:sz w:val="14"/>
                <w:szCs w:val="14"/>
              </w:rPr>
            </w:pPr>
            <w:r w:rsidRPr="00DB1559">
              <w:rPr>
                <w:rFonts w:cs="Tahoma"/>
                <w:bCs/>
                <w:color w:val="000000"/>
                <w:sz w:val="14"/>
                <w:szCs w:val="14"/>
              </w:rPr>
              <w:t>Podíl BERD financovaný z veřejných zdrojů (v %)</w:t>
            </w:r>
          </w:p>
        </w:tc>
        <w:tc>
          <w:tcPr>
            <w:tcW w:w="442" w:type="pct"/>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2011</w:t>
            </w:r>
          </w:p>
        </w:tc>
        <w:tc>
          <w:tcPr>
            <w:tcW w:w="441"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15,7</w:t>
            </w:r>
          </w:p>
        </w:tc>
        <w:tc>
          <w:tcPr>
            <w:tcW w:w="441"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4,5</w:t>
            </w:r>
          </w:p>
        </w:tc>
        <w:tc>
          <w:tcPr>
            <w:tcW w:w="440"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10,3</w:t>
            </w:r>
            <w:r w:rsidRPr="00DB1559">
              <w:rPr>
                <w:rFonts w:cs="Tahoma"/>
                <w:color w:val="000000"/>
                <w:sz w:val="14"/>
                <w:szCs w:val="14"/>
                <w:vertAlign w:val="superscript"/>
              </w:rPr>
              <w:t xml:space="preserve"> (2007)</w:t>
            </w:r>
          </w:p>
        </w:tc>
        <w:tc>
          <w:tcPr>
            <w:tcW w:w="440"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10,4</w:t>
            </w:r>
          </w:p>
        </w:tc>
        <w:tc>
          <w:tcPr>
            <w:tcW w:w="437"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12,7</w:t>
            </w:r>
          </w:p>
        </w:tc>
      </w:tr>
      <w:tr w:rsidR="009D46E6" w:rsidRPr="00DB1559" w:rsidTr="00DB1559">
        <w:trPr>
          <w:trHeight w:val="255"/>
          <w:jc w:val="center"/>
        </w:trPr>
        <w:tc>
          <w:tcPr>
            <w:tcW w:w="2359" w:type="pct"/>
            <w:shd w:val="clear" w:color="auto" w:fill="F2DBDB"/>
            <w:noWrap/>
            <w:vAlign w:val="center"/>
          </w:tcPr>
          <w:p w:rsidR="009D46E6" w:rsidRPr="00DB1559" w:rsidRDefault="009D46E6" w:rsidP="00DB1559">
            <w:pPr>
              <w:spacing w:after="0" w:line="240" w:lineRule="auto"/>
              <w:jc w:val="left"/>
              <w:rPr>
                <w:rFonts w:cs="Tahoma"/>
                <w:b/>
                <w:bCs/>
                <w:color w:val="000000"/>
                <w:sz w:val="14"/>
                <w:szCs w:val="14"/>
              </w:rPr>
            </w:pPr>
            <w:r w:rsidRPr="00DB1559">
              <w:rPr>
                <w:rFonts w:cs="Tahoma"/>
                <w:bCs/>
                <w:color w:val="000000"/>
                <w:sz w:val="14"/>
                <w:szCs w:val="14"/>
              </w:rPr>
              <w:t>Podíl GOVERD financovaný z podnikatelských zdrojů (v %)</w:t>
            </w:r>
          </w:p>
        </w:tc>
        <w:tc>
          <w:tcPr>
            <w:tcW w:w="442" w:type="pct"/>
            <w:shd w:val="clear" w:color="auto" w:fill="F2DBDB"/>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2011</w:t>
            </w:r>
          </w:p>
        </w:tc>
        <w:tc>
          <w:tcPr>
            <w:tcW w:w="441"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3,4</w:t>
            </w:r>
          </w:p>
        </w:tc>
        <w:tc>
          <w:tcPr>
            <w:tcW w:w="441"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9,0</w:t>
            </w:r>
          </w:p>
        </w:tc>
        <w:tc>
          <w:tcPr>
            <w:tcW w:w="440"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 xml:space="preserve">9,3 </w:t>
            </w:r>
            <w:r w:rsidRPr="00DB1559">
              <w:rPr>
                <w:rFonts w:cs="Tahoma"/>
                <w:color w:val="000000"/>
                <w:sz w:val="14"/>
                <w:szCs w:val="14"/>
                <w:vertAlign w:val="superscript"/>
              </w:rPr>
              <w:t>(2007)</w:t>
            </w:r>
          </w:p>
        </w:tc>
        <w:tc>
          <w:tcPr>
            <w:tcW w:w="440"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12,5</w:t>
            </w:r>
          </w:p>
        </w:tc>
        <w:tc>
          <w:tcPr>
            <w:tcW w:w="437"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7,4</w:t>
            </w:r>
          </w:p>
        </w:tc>
      </w:tr>
      <w:tr w:rsidR="009D46E6" w:rsidRPr="00DB1559" w:rsidTr="00DB1559">
        <w:trPr>
          <w:trHeight w:val="255"/>
          <w:jc w:val="center"/>
        </w:trPr>
        <w:tc>
          <w:tcPr>
            <w:tcW w:w="2359" w:type="pct"/>
            <w:noWrap/>
            <w:vAlign w:val="center"/>
          </w:tcPr>
          <w:p w:rsidR="009D46E6" w:rsidRPr="00DB1559" w:rsidRDefault="009D46E6" w:rsidP="00DB1559">
            <w:pPr>
              <w:spacing w:after="0" w:line="240" w:lineRule="auto"/>
              <w:jc w:val="left"/>
              <w:rPr>
                <w:rFonts w:cs="Tahoma"/>
                <w:b/>
                <w:bCs/>
                <w:color w:val="000000"/>
                <w:sz w:val="14"/>
                <w:szCs w:val="14"/>
              </w:rPr>
            </w:pPr>
            <w:r w:rsidRPr="00DB1559">
              <w:rPr>
                <w:rFonts w:cs="Tahoma"/>
                <w:bCs/>
                <w:color w:val="000000"/>
                <w:sz w:val="14"/>
                <w:szCs w:val="14"/>
              </w:rPr>
              <w:t>Podíl HERD financovaný z podnikatelských zdrojů (v %)</w:t>
            </w:r>
          </w:p>
        </w:tc>
        <w:tc>
          <w:tcPr>
            <w:tcW w:w="442" w:type="pct"/>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2011</w:t>
            </w:r>
          </w:p>
        </w:tc>
        <w:tc>
          <w:tcPr>
            <w:tcW w:w="441"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1,0</w:t>
            </w:r>
          </w:p>
        </w:tc>
        <w:tc>
          <w:tcPr>
            <w:tcW w:w="441"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13,9</w:t>
            </w:r>
          </w:p>
        </w:tc>
        <w:tc>
          <w:tcPr>
            <w:tcW w:w="440"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5,7</w:t>
            </w:r>
            <w:r w:rsidRPr="00DB1559">
              <w:rPr>
                <w:rFonts w:cs="Tahoma"/>
                <w:color w:val="000000"/>
                <w:sz w:val="14"/>
                <w:szCs w:val="14"/>
                <w:vertAlign w:val="superscript"/>
              </w:rPr>
              <w:t xml:space="preserve"> (2007)</w:t>
            </w:r>
          </w:p>
        </w:tc>
        <w:tc>
          <w:tcPr>
            <w:tcW w:w="440"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3,5</w:t>
            </w:r>
          </w:p>
        </w:tc>
        <w:tc>
          <w:tcPr>
            <w:tcW w:w="437"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2,6</w:t>
            </w:r>
          </w:p>
        </w:tc>
      </w:tr>
      <w:tr w:rsidR="009D46E6" w:rsidRPr="00DB1559" w:rsidTr="00DB1559">
        <w:trPr>
          <w:trHeight w:val="255"/>
          <w:jc w:val="center"/>
        </w:trPr>
        <w:tc>
          <w:tcPr>
            <w:tcW w:w="2359" w:type="pct"/>
            <w:shd w:val="clear" w:color="auto" w:fill="F2DBDB"/>
            <w:noWrap/>
            <w:vAlign w:val="center"/>
          </w:tcPr>
          <w:p w:rsidR="009D46E6" w:rsidRPr="00DB1559" w:rsidRDefault="009D46E6" w:rsidP="00DB1559">
            <w:pPr>
              <w:spacing w:after="0" w:line="240" w:lineRule="auto"/>
              <w:jc w:val="left"/>
              <w:rPr>
                <w:rFonts w:cs="Tahoma"/>
                <w:b/>
                <w:bCs/>
                <w:color w:val="000000"/>
                <w:sz w:val="14"/>
                <w:szCs w:val="14"/>
              </w:rPr>
            </w:pPr>
            <w:r w:rsidRPr="00DB1559">
              <w:rPr>
                <w:rFonts w:cs="Tahoma"/>
                <w:bCs/>
                <w:color w:val="000000"/>
                <w:sz w:val="14"/>
                <w:szCs w:val="14"/>
              </w:rPr>
              <w:t>GBAORD (v mil. €)</w:t>
            </w:r>
          </w:p>
        </w:tc>
        <w:tc>
          <w:tcPr>
            <w:tcW w:w="442" w:type="pct"/>
            <w:shd w:val="clear" w:color="auto" w:fill="F2DBDB"/>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2012</w:t>
            </w:r>
          </w:p>
        </w:tc>
        <w:tc>
          <w:tcPr>
            <w:tcW w:w="441"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1 058</w:t>
            </w:r>
          </w:p>
        </w:tc>
        <w:tc>
          <w:tcPr>
            <w:tcW w:w="441"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24 120</w:t>
            </w:r>
          </w:p>
        </w:tc>
        <w:tc>
          <w:tcPr>
            <w:tcW w:w="440"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2 472</w:t>
            </w:r>
          </w:p>
        </w:tc>
        <w:tc>
          <w:tcPr>
            <w:tcW w:w="440"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178</w:t>
            </w:r>
          </w:p>
        </w:tc>
        <w:tc>
          <w:tcPr>
            <w:tcW w:w="437"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 xml:space="preserve">1 475 </w:t>
            </w:r>
            <w:r w:rsidRPr="00DB1559">
              <w:rPr>
                <w:rFonts w:cs="Tahoma"/>
                <w:color w:val="000000"/>
                <w:sz w:val="14"/>
                <w:szCs w:val="14"/>
                <w:vertAlign w:val="superscript"/>
              </w:rPr>
              <w:t>(2010)</w:t>
            </w:r>
          </w:p>
        </w:tc>
      </w:tr>
      <w:tr w:rsidR="009D46E6" w:rsidRPr="00DB1559" w:rsidTr="00DB1559">
        <w:trPr>
          <w:trHeight w:val="255"/>
          <w:jc w:val="center"/>
        </w:trPr>
        <w:tc>
          <w:tcPr>
            <w:tcW w:w="2359" w:type="pct"/>
            <w:tcBorders>
              <w:bottom w:val="single" w:sz="4" w:space="0" w:color="943634"/>
            </w:tcBorders>
            <w:noWrap/>
            <w:vAlign w:val="center"/>
          </w:tcPr>
          <w:p w:rsidR="009D46E6" w:rsidRPr="00DB1559" w:rsidRDefault="009D46E6" w:rsidP="00DB1559">
            <w:pPr>
              <w:spacing w:after="0" w:line="240" w:lineRule="auto"/>
              <w:jc w:val="left"/>
              <w:rPr>
                <w:rFonts w:cs="Tahoma"/>
                <w:b/>
                <w:bCs/>
                <w:color w:val="000000"/>
                <w:sz w:val="14"/>
                <w:szCs w:val="14"/>
              </w:rPr>
            </w:pPr>
            <w:r w:rsidRPr="00DB1559">
              <w:rPr>
                <w:rFonts w:cs="Tahoma"/>
                <w:bCs/>
                <w:color w:val="000000"/>
                <w:sz w:val="14"/>
                <w:szCs w:val="14"/>
              </w:rPr>
              <w:t>Podíl GBAORD ve státním rozpočtu (v %)</w:t>
            </w:r>
          </w:p>
        </w:tc>
        <w:tc>
          <w:tcPr>
            <w:tcW w:w="442" w:type="pct"/>
            <w:tcBorders>
              <w:bottom w:val="single" w:sz="4" w:space="0" w:color="943634"/>
            </w:tcBorders>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2011</w:t>
            </w:r>
          </w:p>
        </w:tc>
        <w:tc>
          <w:tcPr>
            <w:tcW w:w="441" w:type="pct"/>
            <w:tcBorders>
              <w:bottom w:val="single" w:sz="4" w:space="0" w:color="943634"/>
            </w:tcBorders>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2,2</w:t>
            </w:r>
          </w:p>
        </w:tc>
        <w:tc>
          <w:tcPr>
            <w:tcW w:w="441" w:type="pct"/>
            <w:tcBorders>
              <w:bottom w:val="single" w:sz="4" w:space="0" w:color="943634"/>
            </w:tcBorders>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2,0</w:t>
            </w:r>
          </w:p>
        </w:tc>
        <w:tc>
          <w:tcPr>
            <w:tcW w:w="440" w:type="pct"/>
            <w:tcBorders>
              <w:bottom w:val="single" w:sz="4" w:space="0" w:color="943634"/>
            </w:tcBorders>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1,5</w:t>
            </w:r>
          </w:p>
        </w:tc>
        <w:tc>
          <w:tcPr>
            <w:tcW w:w="440" w:type="pct"/>
            <w:tcBorders>
              <w:bottom w:val="single" w:sz="4" w:space="0" w:color="943634"/>
            </w:tcBorders>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1,2</w:t>
            </w:r>
          </w:p>
        </w:tc>
        <w:tc>
          <w:tcPr>
            <w:tcW w:w="437" w:type="pct"/>
            <w:tcBorders>
              <w:bottom w:val="single" w:sz="4" w:space="0" w:color="943634"/>
            </w:tcBorders>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 xml:space="preserve">0,9 </w:t>
            </w:r>
            <w:r w:rsidRPr="00DB1559">
              <w:rPr>
                <w:rFonts w:cs="Tahoma"/>
                <w:color w:val="000000"/>
                <w:sz w:val="14"/>
                <w:szCs w:val="14"/>
                <w:vertAlign w:val="superscript"/>
              </w:rPr>
              <w:t>(2010)</w:t>
            </w:r>
          </w:p>
        </w:tc>
      </w:tr>
      <w:tr w:rsidR="009D46E6" w:rsidRPr="00DB1559" w:rsidTr="00DB1559">
        <w:trPr>
          <w:trHeight w:val="255"/>
          <w:jc w:val="center"/>
        </w:trPr>
        <w:tc>
          <w:tcPr>
            <w:tcW w:w="2359" w:type="pct"/>
            <w:tcBorders>
              <w:top w:val="single" w:sz="4" w:space="0" w:color="943634"/>
              <w:bottom w:val="single" w:sz="4" w:space="0" w:color="943634"/>
            </w:tcBorders>
            <w:noWrap/>
            <w:vAlign w:val="center"/>
          </w:tcPr>
          <w:p w:rsidR="009D46E6" w:rsidRPr="00DB1559" w:rsidRDefault="009D46E6" w:rsidP="00DB1559">
            <w:pPr>
              <w:spacing w:after="0" w:line="240" w:lineRule="auto"/>
              <w:jc w:val="left"/>
              <w:rPr>
                <w:rFonts w:cs="Tahoma"/>
                <w:b/>
                <w:bCs/>
                <w:sz w:val="14"/>
                <w:szCs w:val="14"/>
                <w:lang w:eastAsia="cs-CZ"/>
              </w:rPr>
            </w:pPr>
            <w:r w:rsidRPr="00DB1559">
              <w:rPr>
                <w:rFonts w:cs="Tahoma"/>
                <w:b/>
                <w:sz w:val="14"/>
                <w:szCs w:val="14"/>
                <w:lang w:eastAsia="cs-CZ"/>
              </w:rPr>
              <w:t>Lidské zdroje</w:t>
            </w:r>
          </w:p>
        </w:tc>
        <w:tc>
          <w:tcPr>
            <w:tcW w:w="442"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b/>
                <w:color w:val="000000"/>
                <w:sz w:val="14"/>
                <w:szCs w:val="14"/>
                <w:lang w:eastAsia="cs-CZ"/>
              </w:rPr>
            </w:pPr>
          </w:p>
        </w:tc>
        <w:tc>
          <w:tcPr>
            <w:tcW w:w="441"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b/>
                <w:color w:val="000000"/>
                <w:sz w:val="14"/>
                <w:szCs w:val="14"/>
                <w:lang w:eastAsia="cs-CZ"/>
              </w:rPr>
            </w:pPr>
          </w:p>
        </w:tc>
        <w:tc>
          <w:tcPr>
            <w:tcW w:w="441"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b/>
                <w:color w:val="000000"/>
                <w:sz w:val="14"/>
                <w:szCs w:val="14"/>
                <w:lang w:eastAsia="cs-CZ"/>
              </w:rPr>
            </w:pPr>
          </w:p>
        </w:tc>
        <w:tc>
          <w:tcPr>
            <w:tcW w:w="440"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b/>
                <w:color w:val="000000"/>
                <w:sz w:val="14"/>
                <w:szCs w:val="14"/>
                <w:lang w:eastAsia="cs-CZ"/>
              </w:rPr>
            </w:pPr>
          </w:p>
        </w:tc>
        <w:tc>
          <w:tcPr>
            <w:tcW w:w="440"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b/>
                <w:color w:val="000000"/>
                <w:sz w:val="14"/>
                <w:szCs w:val="14"/>
                <w:lang w:eastAsia="cs-CZ"/>
              </w:rPr>
            </w:pPr>
          </w:p>
        </w:tc>
        <w:tc>
          <w:tcPr>
            <w:tcW w:w="437"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b/>
                <w:color w:val="000000"/>
                <w:sz w:val="14"/>
                <w:szCs w:val="14"/>
                <w:lang w:eastAsia="cs-CZ"/>
              </w:rPr>
            </w:pPr>
          </w:p>
        </w:tc>
      </w:tr>
      <w:tr w:rsidR="009D46E6" w:rsidRPr="00DB1559" w:rsidTr="00DB1559">
        <w:trPr>
          <w:trHeight w:val="255"/>
          <w:jc w:val="center"/>
        </w:trPr>
        <w:tc>
          <w:tcPr>
            <w:tcW w:w="2359" w:type="pct"/>
            <w:tcBorders>
              <w:top w:val="single" w:sz="4" w:space="0" w:color="943634"/>
            </w:tcBorders>
            <w:shd w:val="clear" w:color="auto" w:fill="F2DBDB"/>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Zaměstnaní ve VaV (počet ve FTE)</w:t>
            </w:r>
          </w:p>
        </w:tc>
        <w:tc>
          <w:tcPr>
            <w:tcW w:w="442" w:type="pct"/>
            <w:tcBorders>
              <w:top w:val="single" w:sz="4" w:space="0" w:color="943634"/>
            </w:tcBorders>
            <w:shd w:val="clear" w:color="auto" w:fill="F2DBDB"/>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2011</w:t>
            </w:r>
          </w:p>
        </w:tc>
        <w:tc>
          <w:tcPr>
            <w:tcW w:w="441"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55 697</w:t>
            </w:r>
          </w:p>
        </w:tc>
        <w:tc>
          <w:tcPr>
            <w:tcW w:w="441"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562 763</w:t>
            </w:r>
          </w:p>
        </w:tc>
        <w:tc>
          <w:tcPr>
            <w:tcW w:w="440"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60 378</w:t>
            </w:r>
          </w:p>
        </w:tc>
        <w:tc>
          <w:tcPr>
            <w:tcW w:w="440"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18 112</w:t>
            </w:r>
          </w:p>
        </w:tc>
        <w:tc>
          <w:tcPr>
            <w:tcW w:w="437"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85 219</w:t>
            </w:r>
          </w:p>
        </w:tc>
      </w:tr>
      <w:tr w:rsidR="009D46E6" w:rsidRPr="00DB1559" w:rsidTr="00DB1559">
        <w:trPr>
          <w:trHeight w:val="255"/>
          <w:jc w:val="center"/>
        </w:trPr>
        <w:tc>
          <w:tcPr>
            <w:tcW w:w="2359" w:type="pct"/>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Zaměstnaní ve VaV (počet ve FTE na 1000 zaměstnaných osob)</w:t>
            </w:r>
          </w:p>
        </w:tc>
        <w:tc>
          <w:tcPr>
            <w:tcW w:w="442" w:type="pct"/>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2011</w:t>
            </w:r>
          </w:p>
        </w:tc>
        <w:tc>
          <w:tcPr>
            <w:tcW w:w="441"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11,0</w:t>
            </w:r>
          </w:p>
        </w:tc>
        <w:tc>
          <w:tcPr>
            <w:tcW w:w="441"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13,7</w:t>
            </w:r>
          </w:p>
        </w:tc>
        <w:tc>
          <w:tcPr>
            <w:tcW w:w="440"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14,6</w:t>
            </w:r>
          </w:p>
        </w:tc>
        <w:tc>
          <w:tcPr>
            <w:tcW w:w="440"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8,2</w:t>
            </w:r>
          </w:p>
        </w:tc>
        <w:tc>
          <w:tcPr>
            <w:tcW w:w="437"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5,3</w:t>
            </w:r>
          </w:p>
        </w:tc>
      </w:tr>
      <w:tr w:rsidR="009D46E6" w:rsidRPr="00DB1559" w:rsidTr="00DB1559">
        <w:trPr>
          <w:trHeight w:val="255"/>
          <w:jc w:val="center"/>
        </w:trPr>
        <w:tc>
          <w:tcPr>
            <w:tcW w:w="2359" w:type="pct"/>
            <w:shd w:val="clear" w:color="auto" w:fill="F2DBDB"/>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Výzkumní pracovníci (počet ve FTE)</w:t>
            </w:r>
          </w:p>
        </w:tc>
        <w:tc>
          <w:tcPr>
            <w:tcW w:w="442" w:type="pct"/>
            <w:shd w:val="clear" w:color="auto" w:fill="F2DBDB"/>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2011</w:t>
            </w:r>
          </w:p>
        </w:tc>
        <w:tc>
          <w:tcPr>
            <w:tcW w:w="441"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30 682</w:t>
            </w:r>
          </w:p>
        </w:tc>
        <w:tc>
          <w:tcPr>
            <w:tcW w:w="441"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327 953</w:t>
            </w:r>
          </w:p>
        </w:tc>
        <w:tc>
          <w:tcPr>
            <w:tcW w:w="440"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37 084</w:t>
            </w:r>
          </w:p>
        </w:tc>
        <w:tc>
          <w:tcPr>
            <w:tcW w:w="440"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15 326</w:t>
            </w:r>
          </w:p>
        </w:tc>
        <w:tc>
          <w:tcPr>
            <w:tcW w:w="437"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64 133</w:t>
            </w:r>
          </w:p>
        </w:tc>
      </w:tr>
      <w:tr w:rsidR="009D46E6" w:rsidRPr="00DB1559" w:rsidTr="00DB1559">
        <w:trPr>
          <w:trHeight w:val="255"/>
          <w:jc w:val="center"/>
        </w:trPr>
        <w:tc>
          <w:tcPr>
            <w:tcW w:w="2359" w:type="pct"/>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Výzkumní pracovníci (počet ve FTE na 1000 zaměstnaných osob)</w:t>
            </w:r>
          </w:p>
        </w:tc>
        <w:tc>
          <w:tcPr>
            <w:tcW w:w="442" w:type="pct"/>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2011</w:t>
            </w:r>
          </w:p>
        </w:tc>
        <w:tc>
          <w:tcPr>
            <w:tcW w:w="441"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6,1</w:t>
            </w:r>
          </w:p>
        </w:tc>
        <w:tc>
          <w:tcPr>
            <w:tcW w:w="441"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8,1</w:t>
            </w:r>
          </w:p>
        </w:tc>
        <w:tc>
          <w:tcPr>
            <w:tcW w:w="440"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9,0</w:t>
            </w:r>
          </w:p>
        </w:tc>
        <w:tc>
          <w:tcPr>
            <w:tcW w:w="440"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6,9</w:t>
            </w:r>
          </w:p>
        </w:tc>
        <w:tc>
          <w:tcPr>
            <w:tcW w:w="437"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4,0</w:t>
            </w:r>
          </w:p>
        </w:tc>
      </w:tr>
      <w:tr w:rsidR="009D46E6" w:rsidRPr="00DB1559" w:rsidTr="00DB1559">
        <w:trPr>
          <w:trHeight w:val="255"/>
          <w:jc w:val="center"/>
        </w:trPr>
        <w:tc>
          <w:tcPr>
            <w:tcW w:w="2359" w:type="pct"/>
            <w:shd w:val="clear" w:color="auto" w:fill="F2DBDB"/>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Podíl žen na celkovém počtu výzkumných pracovníků (HC, v %)</w:t>
            </w:r>
          </w:p>
        </w:tc>
        <w:tc>
          <w:tcPr>
            <w:tcW w:w="442" w:type="pct"/>
            <w:shd w:val="clear" w:color="auto" w:fill="F2DBDB"/>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2011</w:t>
            </w:r>
          </w:p>
        </w:tc>
        <w:tc>
          <w:tcPr>
            <w:tcW w:w="441"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28,2</w:t>
            </w:r>
          </w:p>
        </w:tc>
        <w:tc>
          <w:tcPr>
            <w:tcW w:w="441"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 xml:space="preserve">24,9 </w:t>
            </w:r>
            <w:r w:rsidRPr="00DB1559">
              <w:rPr>
                <w:rFonts w:cs="Tahoma"/>
                <w:color w:val="000000"/>
                <w:sz w:val="14"/>
                <w:szCs w:val="14"/>
                <w:vertAlign w:val="superscript"/>
              </w:rPr>
              <w:t>(2009)</w:t>
            </w:r>
          </w:p>
        </w:tc>
        <w:tc>
          <w:tcPr>
            <w:tcW w:w="440"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 xml:space="preserve">28,4 </w:t>
            </w:r>
            <w:r w:rsidRPr="00DB1559">
              <w:rPr>
                <w:rFonts w:cs="Tahoma"/>
                <w:color w:val="000000"/>
                <w:sz w:val="14"/>
                <w:szCs w:val="14"/>
                <w:vertAlign w:val="superscript"/>
              </w:rPr>
              <w:t>(2009)</w:t>
            </w:r>
          </w:p>
        </w:tc>
        <w:tc>
          <w:tcPr>
            <w:tcW w:w="440"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42,6</w:t>
            </w:r>
          </w:p>
        </w:tc>
        <w:tc>
          <w:tcPr>
            <w:tcW w:w="437"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38,6</w:t>
            </w:r>
          </w:p>
        </w:tc>
      </w:tr>
      <w:tr w:rsidR="009D46E6" w:rsidRPr="00DB1559" w:rsidTr="00DB1559">
        <w:trPr>
          <w:trHeight w:val="255"/>
          <w:jc w:val="center"/>
        </w:trPr>
        <w:tc>
          <w:tcPr>
            <w:tcW w:w="2359" w:type="pct"/>
            <w:tcBorders>
              <w:bottom w:val="single" w:sz="4" w:space="0" w:color="943634"/>
            </w:tcBorders>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Podíl osob s terciárním vzděláním (% populace 25 -64 let)</w:t>
            </w:r>
          </w:p>
        </w:tc>
        <w:tc>
          <w:tcPr>
            <w:tcW w:w="442" w:type="pct"/>
            <w:tcBorders>
              <w:bottom w:val="single" w:sz="4" w:space="0" w:color="943634"/>
            </w:tcBorders>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2012</w:t>
            </w:r>
          </w:p>
        </w:tc>
        <w:tc>
          <w:tcPr>
            <w:tcW w:w="441" w:type="pct"/>
            <w:tcBorders>
              <w:bottom w:val="single" w:sz="4" w:space="0" w:color="943634"/>
            </w:tcBorders>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19,2</w:t>
            </w:r>
          </w:p>
        </w:tc>
        <w:tc>
          <w:tcPr>
            <w:tcW w:w="441" w:type="pct"/>
            <w:tcBorders>
              <w:bottom w:val="single" w:sz="4" w:space="0" w:color="943634"/>
            </w:tcBorders>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28,1</w:t>
            </w:r>
          </w:p>
        </w:tc>
        <w:tc>
          <w:tcPr>
            <w:tcW w:w="440" w:type="pct"/>
            <w:tcBorders>
              <w:bottom w:val="single" w:sz="4" w:space="0" w:color="943634"/>
            </w:tcBorders>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20,0</w:t>
            </w:r>
          </w:p>
        </w:tc>
        <w:tc>
          <w:tcPr>
            <w:tcW w:w="440" w:type="pct"/>
            <w:tcBorders>
              <w:bottom w:val="single" w:sz="4" w:space="0" w:color="943634"/>
            </w:tcBorders>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19,0</w:t>
            </w:r>
          </w:p>
        </w:tc>
        <w:tc>
          <w:tcPr>
            <w:tcW w:w="437" w:type="pct"/>
            <w:tcBorders>
              <w:bottom w:val="single" w:sz="4" w:space="0" w:color="943634"/>
            </w:tcBorders>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24,5</w:t>
            </w:r>
          </w:p>
        </w:tc>
      </w:tr>
      <w:tr w:rsidR="009D46E6" w:rsidRPr="00DB1559" w:rsidTr="00DB1559">
        <w:trPr>
          <w:trHeight w:val="255"/>
          <w:jc w:val="center"/>
        </w:trPr>
        <w:tc>
          <w:tcPr>
            <w:tcW w:w="2359" w:type="pct"/>
            <w:tcBorders>
              <w:top w:val="single" w:sz="4" w:space="0" w:color="943634"/>
              <w:bottom w:val="single" w:sz="4" w:space="0" w:color="943634"/>
            </w:tcBorders>
            <w:noWrap/>
            <w:vAlign w:val="center"/>
          </w:tcPr>
          <w:p w:rsidR="009D46E6" w:rsidRPr="00DB1559" w:rsidRDefault="009D46E6" w:rsidP="00DB1559">
            <w:pPr>
              <w:spacing w:after="0" w:line="240" w:lineRule="auto"/>
              <w:jc w:val="left"/>
              <w:rPr>
                <w:rFonts w:cs="Tahoma"/>
                <w:b/>
                <w:bCs/>
                <w:sz w:val="14"/>
                <w:szCs w:val="14"/>
                <w:lang w:eastAsia="cs-CZ"/>
              </w:rPr>
            </w:pPr>
            <w:r w:rsidRPr="00DB1559">
              <w:rPr>
                <w:rFonts w:cs="Tahoma"/>
                <w:b/>
                <w:sz w:val="14"/>
                <w:szCs w:val="14"/>
                <w:lang w:eastAsia="cs-CZ"/>
              </w:rPr>
              <w:t>Výsledky</w:t>
            </w:r>
          </w:p>
        </w:tc>
        <w:tc>
          <w:tcPr>
            <w:tcW w:w="442"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b/>
                <w:color w:val="000000"/>
                <w:sz w:val="14"/>
                <w:szCs w:val="14"/>
                <w:lang w:eastAsia="cs-CZ"/>
              </w:rPr>
            </w:pPr>
          </w:p>
        </w:tc>
        <w:tc>
          <w:tcPr>
            <w:tcW w:w="441"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b/>
                <w:color w:val="000000"/>
                <w:sz w:val="14"/>
                <w:szCs w:val="14"/>
                <w:lang w:eastAsia="cs-CZ"/>
              </w:rPr>
            </w:pPr>
          </w:p>
        </w:tc>
        <w:tc>
          <w:tcPr>
            <w:tcW w:w="441"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b/>
                <w:color w:val="000000"/>
                <w:sz w:val="14"/>
                <w:szCs w:val="14"/>
                <w:lang w:eastAsia="cs-CZ"/>
              </w:rPr>
            </w:pPr>
          </w:p>
        </w:tc>
        <w:tc>
          <w:tcPr>
            <w:tcW w:w="440"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b/>
                <w:color w:val="000000"/>
                <w:sz w:val="14"/>
                <w:szCs w:val="14"/>
                <w:lang w:eastAsia="cs-CZ"/>
              </w:rPr>
            </w:pPr>
          </w:p>
        </w:tc>
        <w:tc>
          <w:tcPr>
            <w:tcW w:w="440"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b/>
                <w:color w:val="000000"/>
                <w:sz w:val="14"/>
                <w:szCs w:val="14"/>
                <w:lang w:eastAsia="cs-CZ"/>
              </w:rPr>
            </w:pPr>
          </w:p>
        </w:tc>
        <w:tc>
          <w:tcPr>
            <w:tcW w:w="437"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b/>
                <w:color w:val="000000"/>
                <w:sz w:val="14"/>
                <w:szCs w:val="14"/>
                <w:lang w:eastAsia="cs-CZ"/>
              </w:rPr>
            </w:pPr>
          </w:p>
        </w:tc>
      </w:tr>
      <w:tr w:rsidR="009D46E6" w:rsidRPr="00DB1559" w:rsidTr="00DB1559">
        <w:trPr>
          <w:trHeight w:val="255"/>
          <w:jc w:val="center"/>
        </w:trPr>
        <w:tc>
          <w:tcPr>
            <w:tcW w:w="2359" w:type="pct"/>
            <w:tcBorders>
              <w:top w:val="single" w:sz="4" w:space="0" w:color="943634"/>
            </w:tcBorders>
            <w:shd w:val="clear" w:color="auto" w:fill="F2DBDB"/>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Počet publikací na 1000 obyvatel</w:t>
            </w:r>
          </w:p>
        </w:tc>
        <w:tc>
          <w:tcPr>
            <w:tcW w:w="442" w:type="pct"/>
            <w:tcBorders>
              <w:top w:val="single" w:sz="4" w:space="0" w:color="943634"/>
            </w:tcBorders>
            <w:shd w:val="clear" w:color="auto" w:fill="F2DBDB"/>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2012</w:t>
            </w:r>
          </w:p>
        </w:tc>
        <w:tc>
          <w:tcPr>
            <w:tcW w:w="441"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0,92</w:t>
            </w:r>
          </w:p>
        </w:tc>
        <w:tc>
          <w:tcPr>
            <w:tcW w:w="441"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1,16</w:t>
            </w:r>
          </w:p>
        </w:tc>
        <w:tc>
          <w:tcPr>
            <w:tcW w:w="440"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1,50</w:t>
            </w:r>
          </w:p>
        </w:tc>
        <w:tc>
          <w:tcPr>
            <w:tcW w:w="440"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0,55</w:t>
            </w:r>
          </w:p>
        </w:tc>
        <w:tc>
          <w:tcPr>
            <w:tcW w:w="437"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0,54</w:t>
            </w:r>
          </w:p>
        </w:tc>
      </w:tr>
      <w:tr w:rsidR="009D46E6" w:rsidRPr="00DB1559" w:rsidTr="00DB1559">
        <w:trPr>
          <w:trHeight w:val="255"/>
          <w:jc w:val="center"/>
        </w:trPr>
        <w:tc>
          <w:tcPr>
            <w:tcW w:w="2359" w:type="pct"/>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Počet citací publikací z roku 2008 na 1000 obyvatel</w:t>
            </w:r>
          </w:p>
        </w:tc>
        <w:tc>
          <w:tcPr>
            <w:tcW w:w="442" w:type="pct"/>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2012</w:t>
            </w:r>
          </w:p>
        </w:tc>
        <w:tc>
          <w:tcPr>
            <w:tcW w:w="441"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4,86</w:t>
            </w:r>
          </w:p>
        </w:tc>
        <w:tc>
          <w:tcPr>
            <w:tcW w:w="441"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8,33</w:t>
            </w:r>
          </w:p>
        </w:tc>
        <w:tc>
          <w:tcPr>
            <w:tcW w:w="440"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11,29</w:t>
            </w:r>
          </w:p>
        </w:tc>
        <w:tc>
          <w:tcPr>
            <w:tcW w:w="440"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2,41</w:t>
            </w:r>
          </w:p>
        </w:tc>
        <w:tc>
          <w:tcPr>
            <w:tcW w:w="437"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1,98</w:t>
            </w:r>
          </w:p>
        </w:tc>
      </w:tr>
      <w:tr w:rsidR="009D46E6" w:rsidRPr="00DB1559" w:rsidTr="00DB1559">
        <w:trPr>
          <w:trHeight w:val="255"/>
          <w:jc w:val="center"/>
        </w:trPr>
        <w:tc>
          <w:tcPr>
            <w:tcW w:w="2359" w:type="pct"/>
            <w:shd w:val="clear" w:color="auto" w:fill="F2DBDB"/>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Počet přihlášek patentů u EPO (na 1 mil. obyvatel)</w:t>
            </w:r>
          </w:p>
        </w:tc>
        <w:tc>
          <w:tcPr>
            <w:tcW w:w="442" w:type="pct"/>
            <w:shd w:val="clear" w:color="auto" w:fill="F2DBDB"/>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2011</w:t>
            </w:r>
          </w:p>
        </w:tc>
        <w:tc>
          <w:tcPr>
            <w:tcW w:w="441"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15,4</w:t>
            </w:r>
          </w:p>
        </w:tc>
        <w:tc>
          <w:tcPr>
            <w:tcW w:w="441"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272,3</w:t>
            </w:r>
          </w:p>
        </w:tc>
        <w:tc>
          <w:tcPr>
            <w:tcW w:w="440"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194,0</w:t>
            </w:r>
          </w:p>
        </w:tc>
        <w:tc>
          <w:tcPr>
            <w:tcW w:w="440"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4,3</w:t>
            </w:r>
          </w:p>
        </w:tc>
        <w:tc>
          <w:tcPr>
            <w:tcW w:w="437"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9,9</w:t>
            </w:r>
          </w:p>
        </w:tc>
      </w:tr>
      <w:tr w:rsidR="009D46E6" w:rsidRPr="00DB1559" w:rsidTr="00DB1559">
        <w:trPr>
          <w:trHeight w:val="454"/>
          <w:jc w:val="center"/>
        </w:trPr>
        <w:tc>
          <w:tcPr>
            <w:tcW w:w="2359" w:type="pct"/>
            <w:tcBorders>
              <w:bottom w:val="single" w:sz="4" w:space="0" w:color="943634"/>
            </w:tcBorders>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Příjmy za licenční poplatky inkasované ze zahraničí jako</w:t>
            </w:r>
          </w:p>
          <w:p w:rsidR="009D46E6" w:rsidRPr="00DB1559" w:rsidRDefault="009D46E6" w:rsidP="00DB1559">
            <w:pPr>
              <w:spacing w:after="0" w:line="240" w:lineRule="auto"/>
              <w:jc w:val="left"/>
              <w:rPr>
                <w:rFonts w:cs="Tahoma"/>
                <w:b/>
                <w:bCs/>
                <w:sz w:val="14"/>
                <w:szCs w:val="14"/>
              </w:rPr>
            </w:pPr>
            <w:r w:rsidRPr="00DB1559">
              <w:rPr>
                <w:rFonts w:cs="Tahoma"/>
                <w:bCs/>
                <w:sz w:val="14"/>
                <w:szCs w:val="14"/>
              </w:rPr>
              <w:t>% celkových příjmů za vývoz služeb</w:t>
            </w:r>
          </w:p>
        </w:tc>
        <w:tc>
          <w:tcPr>
            <w:tcW w:w="442" w:type="pct"/>
            <w:tcBorders>
              <w:bottom w:val="single" w:sz="4" w:space="0" w:color="943634"/>
            </w:tcBorders>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2010</w:t>
            </w:r>
          </w:p>
        </w:tc>
        <w:tc>
          <w:tcPr>
            <w:tcW w:w="441" w:type="pct"/>
            <w:tcBorders>
              <w:bottom w:val="single" w:sz="4" w:space="0" w:color="943634"/>
            </w:tcBorders>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0,6</w:t>
            </w:r>
          </w:p>
        </w:tc>
        <w:tc>
          <w:tcPr>
            <w:tcW w:w="441" w:type="pct"/>
            <w:tcBorders>
              <w:bottom w:val="single" w:sz="4" w:space="0" w:color="943634"/>
            </w:tcBorders>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6,0</w:t>
            </w:r>
          </w:p>
        </w:tc>
        <w:tc>
          <w:tcPr>
            <w:tcW w:w="440" w:type="pct"/>
            <w:tcBorders>
              <w:bottom w:val="single" w:sz="4" w:space="0" w:color="943634"/>
            </w:tcBorders>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1,2</w:t>
            </w:r>
          </w:p>
        </w:tc>
        <w:tc>
          <w:tcPr>
            <w:tcW w:w="440" w:type="pct"/>
            <w:tcBorders>
              <w:bottom w:val="single" w:sz="4" w:space="0" w:color="943634"/>
            </w:tcBorders>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0,9</w:t>
            </w:r>
          </w:p>
        </w:tc>
        <w:tc>
          <w:tcPr>
            <w:tcW w:w="437" w:type="pct"/>
            <w:tcBorders>
              <w:bottom w:val="single" w:sz="4" w:space="0" w:color="943634"/>
            </w:tcBorders>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0,8</w:t>
            </w:r>
          </w:p>
        </w:tc>
      </w:tr>
      <w:tr w:rsidR="009D46E6" w:rsidRPr="00DB1559" w:rsidTr="00DB1559">
        <w:trPr>
          <w:trHeight w:val="255"/>
          <w:jc w:val="center"/>
        </w:trPr>
        <w:tc>
          <w:tcPr>
            <w:tcW w:w="2359" w:type="pct"/>
            <w:tcBorders>
              <w:top w:val="single" w:sz="4" w:space="0" w:color="943634"/>
              <w:bottom w:val="single" w:sz="4" w:space="0" w:color="943634"/>
            </w:tcBorders>
            <w:noWrap/>
            <w:vAlign w:val="center"/>
          </w:tcPr>
          <w:p w:rsidR="009D46E6" w:rsidRPr="00DB1559" w:rsidRDefault="009D46E6" w:rsidP="00DB1559">
            <w:pPr>
              <w:spacing w:after="0" w:line="240" w:lineRule="auto"/>
              <w:jc w:val="left"/>
              <w:rPr>
                <w:rFonts w:cs="Tahoma"/>
                <w:b/>
                <w:bCs/>
                <w:sz w:val="14"/>
                <w:szCs w:val="14"/>
                <w:lang w:eastAsia="cs-CZ"/>
              </w:rPr>
            </w:pPr>
            <w:r w:rsidRPr="00DB1559">
              <w:rPr>
                <w:rFonts w:cs="Tahoma"/>
                <w:b/>
                <w:sz w:val="14"/>
                <w:szCs w:val="14"/>
                <w:lang w:eastAsia="cs-CZ"/>
              </w:rPr>
              <w:t>Inovace</w:t>
            </w:r>
          </w:p>
        </w:tc>
        <w:tc>
          <w:tcPr>
            <w:tcW w:w="442"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b/>
                <w:color w:val="000000"/>
                <w:sz w:val="14"/>
                <w:szCs w:val="14"/>
                <w:lang w:eastAsia="cs-CZ"/>
              </w:rPr>
            </w:pPr>
          </w:p>
        </w:tc>
        <w:tc>
          <w:tcPr>
            <w:tcW w:w="441"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b/>
                <w:color w:val="000000"/>
                <w:sz w:val="14"/>
                <w:szCs w:val="14"/>
                <w:lang w:eastAsia="cs-CZ"/>
              </w:rPr>
            </w:pPr>
          </w:p>
        </w:tc>
        <w:tc>
          <w:tcPr>
            <w:tcW w:w="441"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b/>
                <w:color w:val="000000"/>
                <w:sz w:val="14"/>
                <w:szCs w:val="14"/>
                <w:lang w:eastAsia="cs-CZ"/>
              </w:rPr>
            </w:pPr>
          </w:p>
        </w:tc>
        <w:tc>
          <w:tcPr>
            <w:tcW w:w="440"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b/>
                <w:color w:val="000000"/>
                <w:sz w:val="14"/>
                <w:szCs w:val="14"/>
                <w:lang w:eastAsia="cs-CZ"/>
              </w:rPr>
            </w:pPr>
          </w:p>
        </w:tc>
        <w:tc>
          <w:tcPr>
            <w:tcW w:w="440"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b/>
                <w:color w:val="000000"/>
                <w:sz w:val="14"/>
                <w:szCs w:val="14"/>
                <w:lang w:eastAsia="cs-CZ"/>
              </w:rPr>
            </w:pPr>
          </w:p>
        </w:tc>
        <w:tc>
          <w:tcPr>
            <w:tcW w:w="437"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b/>
                <w:color w:val="000000"/>
                <w:sz w:val="14"/>
                <w:szCs w:val="14"/>
                <w:lang w:eastAsia="cs-CZ"/>
              </w:rPr>
            </w:pPr>
          </w:p>
        </w:tc>
      </w:tr>
      <w:tr w:rsidR="009D46E6" w:rsidRPr="00DB1559" w:rsidTr="00DB1559">
        <w:trPr>
          <w:trHeight w:val="454"/>
          <w:jc w:val="center"/>
        </w:trPr>
        <w:tc>
          <w:tcPr>
            <w:tcW w:w="2359" w:type="pct"/>
            <w:tcBorders>
              <w:top w:val="single" w:sz="4" w:space="0" w:color="943634"/>
            </w:tcBorders>
            <w:shd w:val="clear" w:color="auto" w:fill="F2DBDB"/>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Podíl podniků s technickými inovačními aktivitami</w:t>
            </w:r>
          </w:p>
          <w:p w:rsidR="009D46E6" w:rsidRPr="00DB1559" w:rsidRDefault="009D46E6" w:rsidP="00DB1559">
            <w:pPr>
              <w:spacing w:after="0" w:line="240" w:lineRule="auto"/>
              <w:jc w:val="left"/>
              <w:rPr>
                <w:rFonts w:cs="Tahoma"/>
                <w:b/>
                <w:bCs/>
                <w:sz w:val="14"/>
                <w:szCs w:val="14"/>
              </w:rPr>
            </w:pPr>
            <w:r w:rsidRPr="00DB1559">
              <w:rPr>
                <w:rFonts w:cs="Tahoma"/>
                <w:bCs/>
                <w:sz w:val="14"/>
                <w:szCs w:val="14"/>
              </w:rPr>
              <w:t>(v % z celkového počtu podniků)</w:t>
            </w:r>
          </w:p>
        </w:tc>
        <w:tc>
          <w:tcPr>
            <w:tcW w:w="442" w:type="pct"/>
            <w:tcBorders>
              <w:top w:val="single" w:sz="4" w:space="0" w:color="943634"/>
            </w:tcBorders>
            <w:shd w:val="clear" w:color="auto" w:fill="F2DBDB"/>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2010</w:t>
            </w:r>
          </w:p>
        </w:tc>
        <w:tc>
          <w:tcPr>
            <w:tcW w:w="441"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34,8</w:t>
            </w:r>
          </w:p>
        </w:tc>
        <w:tc>
          <w:tcPr>
            <w:tcW w:w="441"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64,2</w:t>
            </w:r>
          </w:p>
        </w:tc>
        <w:tc>
          <w:tcPr>
            <w:tcW w:w="440"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43,9</w:t>
            </w:r>
          </w:p>
        </w:tc>
        <w:tc>
          <w:tcPr>
            <w:tcW w:w="440"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28,1</w:t>
            </w:r>
          </w:p>
        </w:tc>
        <w:tc>
          <w:tcPr>
            <w:tcW w:w="437"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16,2</w:t>
            </w:r>
          </w:p>
        </w:tc>
      </w:tr>
      <w:tr w:rsidR="009D46E6" w:rsidRPr="00DB1559" w:rsidTr="00DB1559">
        <w:trPr>
          <w:trHeight w:val="454"/>
          <w:jc w:val="center"/>
        </w:trPr>
        <w:tc>
          <w:tcPr>
            <w:tcW w:w="2359" w:type="pct"/>
            <w:noWrap/>
            <w:vAlign w:val="center"/>
          </w:tcPr>
          <w:p w:rsidR="009D46E6" w:rsidRPr="00DB1559" w:rsidRDefault="009D46E6" w:rsidP="00DB1559">
            <w:pPr>
              <w:spacing w:after="0" w:line="240" w:lineRule="auto"/>
              <w:jc w:val="left"/>
              <w:rPr>
                <w:rFonts w:cs="Tahoma"/>
                <w:b/>
                <w:bCs/>
                <w:sz w:val="14"/>
                <w:szCs w:val="14"/>
                <w:lang w:eastAsia="cs-CZ"/>
              </w:rPr>
            </w:pPr>
            <w:r w:rsidRPr="00DB1559">
              <w:rPr>
                <w:rFonts w:cs="Tahoma"/>
                <w:bCs/>
                <w:sz w:val="14"/>
                <w:szCs w:val="14"/>
                <w:lang w:eastAsia="cs-CZ"/>
              </w:rPr>
              <w:t>Podíl tržeb z prodeje výrobků nových na trhu</w:t>
            </w:r>
          </w:p>
          <w:p w:rsidR="009D46E6" w:rsidRPr="00DB1559" w:rsidRDefault="009D46E6" w:rsidP="00DB1559">
            <w:pPr>
              <w:spacing w:after="0" w:line="240" w:lineRule="auto"/>
              <w:jc w:val="left"/>
              <w:rPr>
                <w:rFonts w:cs="Tahoma"/>
                <w:b/>
                <w:bCs/>
                <w:sz w:val="14"/>
                <w:szCs w:val="14"/>
              </w:rPr>
            </w:pPr>
            <w:r w:rsidRPr="00DB1559">
              <w:rPr>
                <w:rFonts w:cs="Tahoma"/>
                <w:bCs/>
                <w:sz w:val="14"/>
                <w:szCs w:val="14"/>
                <w:lang w:eastAsia="cs-CZ"/>
              </w:rPr>
              <w:t>(v % celkových tržeb technicky inovujících podniků)</w:t>
            </w:r>
          </w:p>
        </w:tc>
        <w:tc>
          <w:tcPr>
            <w:tcW w:w="442" w:type="pct"/>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2010</w:t>
            </w:r>
          </w:p>
        </w:tc>
        <w:tc>
          <w:tcPr>
            <w:tcW w:w="441"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15,1</w:t>
            </w:r>
          </w:p>
        </w:tc>
        <w:tc>
          <w:tcPr>
            <w:tcW w:w="441"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5,3</w:t>
            </w:r>
          </w:p>
        </w:tc>
        <w:tc>
          <w:tcPr>
            <w:tcW w:w="440"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8,5</w:t>
            </w:r>
          </w:p>
        </w:tc>
        <w:tc>
          <w:tcPr>
            <w:tcW w:w="440"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27,9</w:t>
            </w:r>
          </w:p>
        </w:tc>
        <w:tc>
          <w:tcPr>
            <w:tcW w:w="437"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11,5</w:t>
            </w:r>
          </w:p>
        </w:tc>
      </w:tr>
      <w:tr w:rsidR="009D46E6" w:rsidRPr="00DB1559" w:rsidTr="00DB1559">
        <w:trPr>
          <w:trHeight w:val="255"/>
          <w:jc w:val="center"/>
        </w:trPr>
        <w:tc>
          <w:tcPr>
            <w:tcW w:w="2359" w:type="pct"/>
            <w:shd w:val="clear" w:color="auto" w:fill="F2DBDB"/>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Podíl high-tech vývozu (v % celkového vývozu)</w:t>
            </w:r>
          </w:p>
        </w:tc>
        <w:tc>
          <w:tcPr>
            <w:tcW w:w="442" w:type="pct"/>
            <w:shd w:val="clear" w:color="auto" w:fill="F2DBDB"/>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2012</w:t>
            </w:r>
          </w:p>
        </w:tc>
        <w:tc>
          <w:tcPr>
            <w:tcW w:w="441"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16,2</w:t>
            </w:r>
          </w:p>
        </w:tc>
        <w:tc>
          <w:tcPr>
            <w:tcW w:w="441"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13,9</w:t>
            </w:r>
          </w:p>
        </w:tc>
        <w:tc>
          <w:tcPr>
            <w:tcW w:w="440"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12,7</w:t>
            </w:r>
          </w:p>
        </w:tc>
        <w:tc>
          <w:tcPr>
            <w:tcW w:w="440"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8,2</w:t>
            </w:r>
          </w:p>
        </w:tc>
        <w:tc>
          <w:tcPr>
            <w:tcW w:w="437"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5,9</w:t>
            </w:r>
          </w:p>
        </w:tc>
      </w:tr>
      <w:tr w:rsidR="009D46E6" w:rsidRPr="00DB1559" w:rsidTr="00DB1559">
        <w:trPr>
          <w:trHeight w:val="454"/>
          <w:jc w:val="center"/>
        </w:trPr>
        <w:tc>
          <w:tcPr>
            <w:tcW w:w="2359" w:type="pct"/>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Zaměstnanost v high-tech</w:t>
            </w:r>
          </w:p>
          <w:p w:rsidR="009D46E6" w:rsidRPr="00DB1559" w:rsidRDefault="009D46E6" w:rsidP="00DB1559">
            <w:pPr>
              <w:spacing w:after="0" w:line="240" w:lineRule="auto"/>
              <w:jc w:val="left"/>
              <w:rPr>
                <w:rFonts w:cs="Tahoma"/>
                <w:b/>
                <w:bCs/>
                <w:sz w:val="14"/>
                <w:szCs w:val="14"/>
              </w:rPr>
            </w:pPr>
            <w:r w:rsidRPr="00DB1559">
              <w:rPr>
                <w:rFonts w:cs="Tahoma"/>
                <w:bCs/>
                <w:sz w:val="14"/>
                <w:szCs w:val="14"/>
              </w:rPr>
              <w:t>(v % zaměstnanosti ve zpracovatelském průmyslu)</w:t>
            </w:r>
          </w:p>
        </w:tc>
        <w:tc>
          <w:tcPr>
            <w:tcW w:w="442" w:type="pct"/>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2011</w:t>
            </w:r>
          </w:p>
        </w:tc>
        <w:tc>
          <w:tcPr>
            <w:tcW w:w="441"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4,5</w:t>
            </w:r>
          </w:p>
        </w:tc>
        <w:tc>
          <w:tcPr>
            <w:tcW w:w="441"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4,2</w:t>
            </w:r>
          </w:p>
        </w:tc>
        <w:tc>
          <w:tcPr>
            <w:tcW w:w="440"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3,5</w:t>
            </w:r>
          </w:p>
        </w:tc>
        <w:tc>
          <w:tcPr>
            <w:tcW w:w="440"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4,1</w:t>
            </w:r>
          </w:p>
        </w:tc>
        <w:tc>
          <w:tcPr>
            <w:tcW w:w="437"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2,7</w:t>
            </w:r>
          </w:p>
        </w:tc>
      </w:tr>
      <w:tr w:rsidR="009D46E6" w:rsidRPr="00DB1559" w:rsidTr="00DB1559">
        <w:trPr>
          <w:trHeight w:val="255"/>
          <w:jc w:val="center"/>
        </w:trPr>
        <w:tc>
          <w:tcPr>
            <w:tcW w:w="2359" w:type="pct"/>
            <w:shd w:val="clear" w:color="auto" w:fill="F2DBDB"/>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BERD v high-tech průmyslu (v % BERD zpracovatelského průmyslu)</w:t>
            </w:r>
          </w:p>
        </w:tc>
        <w:tc>
          <w:tcPr>
            <w:tcW w:w="442" w:type="pct"/>
            <w:shd w:val="clear" w:color="auto" w:fill="F2DBDB"/>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2011</w:t>
            </w:r>
          </w:p>
        </w:tc>
        <w:tc>
          <w:tcPr>
            <w:tcW w:w="441"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8,1</w:t>
            </w:r>
          </w:p>
        </w:tc>
        <w:tc>
          <w:tcPr>
            <w:tcW w:w="441"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24,1</w:t>
            </w:r>
          </w:p>
        </w:tc>
        <w:tc>
          <w:tcPr>
            <w:tcW w:w="440"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 xml:space="preserve">21,0 </w:t>
            </w:r>
            <w:r w:rsidRPr="00DB1559">
              <w:rPr>
                <w:rFonts w:cs="Tahoma"/>
                <w:color w:val="000000"/>
                <w:sz w:val="14"/>
                <w:szCs w:val="14"/>
                <w:vertAlign w:val="superscript"/>
              </w:rPr>
              <w:t>(2009)</w:t>
            </w:r>
          </w:p>
        </w:tc>
        <w:tc>
          <w:tcPr>
            <w:tcW w:w="440"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15,1</w:t>
            </w:r>
          </w:p>
        </w:tc>
        <w:tc>
          <w:tcPr>
            <w:tcW w:w="437"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 xml:space="preserve">21,8 </w:t>
            </w:r>
            <w:r w:rsidRPr="00DB1559">
              <w:rPr>
                <w:rFonts w:cs="Tahoma"/>
                <w:color w:val="000000"/>
                <w:sz w:val="14"/>
                <w:szCs w:val="14"/>
                <w:vertAlign w:val="superscript"/>
              </w:rPr>
              <w:t>(2010)</w:t>
            </w:r>
          </w:p>
        </w:tc>
      </w:tr>
      <w:tr w:rsidR="009D46E6" w:rsidRPr="00DB1559" w:rsidTr="00DB1559">
        <w:trPr>
          <w:trHeight w:val="255"/>
          <w:jc w:val="center"/>
        </w:trPr>
        <w:tc>
          <w:tcPr>
            <w:tcW w:w="2359" w:type="pct"/>
            <w:tcBorders>
              <w:bottom w:val="single" w:sz="4" w:space="0" w:color="943634"/>
            </w:tcBorders>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Investice rizikového kapitálu (v % HDP)</w:t>
            </w:r>
          </w:p>
        </w:tc>
        <w:tc>
          <w:tcPr>
            <w:tcW w:w="442" w:type="pct"/>
            <w:tcBorders>
              <w:bottom w:val="single" w:sz="4" w:space="0" w:color="943634"/>
            </w:tcBorders>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2012</w:t>
            </w:r>
          </w:p>
        </w:tc>
        <w:tc>
          <w:tcPr>
            <w:tcW w:w="441" w:type="pct"/>
            <w:tcBorders>
              <w:bottom w:val="single" w:sz="4" w:space="0" w:color="943634"/>
            </w:tcBorders>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0,003</w:t>
            </w:r>
          </w:p>
        </w:tc>
        <w:tc>
          <w:tcPr>
            <w:tcW w:w="441" w:type="pct"/>
            <w:tcBorders>
              <w:bottom w:val="single" w:sz="4" w:space="0" w:color="943634"/>
            </w:tcBorders>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0,021</w:t>
            </w:r>
          </w:p>
        </w:tc>
        <w:tc>
          <w:tcPr>
            <w:tcW w:w="440" w:type="pct"/>
            <w:tcBorders>
              <w:bottom w:val="single" w:sz="4" w:space="0" w:color="943634"/>
            </w:tcBorders>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0,011</w:t>
            </w:r>
          </w:p>
        </w:tc>
        <w:tc>
          <w:tcPr>
            <w:tcW w:w="440" w:type="pct"/>
            <w:tcBorders>
              <w:bottom w:val="single" w:sz="4" w:space="0" w:color="943634"/>
            </w:tcBorders>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0,000</w:t>
            </w:r>
          </w:p>
        </w:tc>
        <w:tc>
          <w:tcPr>
            <w:tcW w:w="437" w:type="pct"/>
            <w:tcBorders>
              <w:bottom w:val="single" w:sz="4" w:space="0" w:color="943634"/>
            </w:tcBorders>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0,002</w:t>
            </w:r>
          </w:p>
        </w:tc>
      </w:tr>
      <w:tr w:rsidR="009D46E6" w:rsidRPr="00DB1559" w:rsidTr="00DB1559">
        <w:trPr>
          <w:trHeight w:val="255"/>
          <w:jc w:val="center"/>
        </w:trPr>
        <w:tc>
          <w:tcPr>
            <w:tcW w:w="2359" w:type="pct"/>
            <w:tcBorders>
              <w:top w:val="single" w:sz="4" w:space="0" w:color="943634"/>
              <w:bottom w:val="single" w:sz="4" w:space="0" w:color="943634"/>
            </w:tcBorders>
            <w:noWrap/>
            <w:vAlign w:val="center"/>
          </w:tcPr>
          <w:p w:rsidR="009D46E6" w:rsidRPr="00DB1559" w:rsidRDefault="009D46E6" w:rsidP="00DB1559">
            <w:pPr>
              <w:spacing w:after="0" w:line="240" w:lineRule="auto"/>
              <w:jc w:val="left"/>
              <w:rPr>
                <w:rFonts w:cs="Tahoma"/>
                <w:b/>
                <w:bCs/>
                <w:sz w:val="14"/>
                <w:szCs w:val="14"/>
                <w:lang w:eastAsia="cs-CZ"/>
              </w:rPr>
            </w:pPr>
            <w:r w:rsidRPr="00DB1559">
              <w:rPr>
                <w:rFonts w:cs="Tahoma"/>
                <w:b/>
                <w:sz w:val="14"/>
                <w:szCs w:val="14"/>
                <w:lang w:eastAsia="cs-CZ"/>
              </w:rPr>
              <w:t>Mezinárodní spolupráce</w:t>
            </w:r>
          </w:p>
        </w:tc>
        <w:tc>
          <w:tcPr>
            <w:tcW w:w="442"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b/>
                <w:color w:val="000000"/>
                <w:sz w:val="14"/>
                <w:szCs w:val="14"/>
                <w:lang w:eastAsia="cs-CZ"/>
              </w:rPr>
            </w:pPr>
          </w:p>
        </w:tc>
        <w:tc>
          <w:tcPr>
            <w:tcW w:w="441"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b/>
                <w:color w:val="000000"/>
                <w:sz w:val="14"/>
                <w:szCs w:val="14"/>
                <w:lang w:eastAsia="cs-CZ"/>
              </w:rPr>
            </w:pPr>
          </w:p>
        </w:tc>
        <w:tc>
          <w:tcPr>
            <w:tcW w:w="441"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b/>
                <w:color w:val="000000"/>
                <w:sz w:val="14"/>
                <w:szCs w:val="14"/>
                <w:lang w:eastAsia="cs-CZ"/>
              </w:rPr>
            </w:pPr>
          </w:p>
        </w:tc>
        <w:tc>
          <w:tcPr>
            <w:tcW w:w="440"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b/>
                <w:color w:val="0070C0"/>
                <w:sz w:val="14"/>
                <w:szCs w:val="14"/>
                <w:lang w:eastAsia="cs-CZ"/>
              </w:rPr>
            </w:pPr>
          </w:p>
        </w:tc>
        <w:tc>
          <w:tcPr>
            <w:tcW w:w="440"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b/>
                <w:color w:val="0070C0"/>
                <w:sz w:val="14"/>
                <w:szCs w:val="14"/>
                <w:lang w:eastAsia="cs-CZ"/>
              </w:rPr>
            </w:pPr>
          </w:p>
        </w:tc>
        <w:tc>
          <w:tcPr>
            <w:tcW w:w="437" w:type="pct"/>
            <w:tcBorders>
              <w:top w:val="single" w:sz="4" w:space="0" w:color="943634"/>
              <w:bottom w:val="single" w:sz="4" w:space="0" w:color="943634"/>
            </w:tcBorders>
            <w:noWrap/>
            <w:vAlign w:val="center"/>
          </w:tcPr>
          <w:p w:rsidR="009D46E6" w:rsidRPr="00DB1559" w:rsidRDefault="009D46E6" w:rsidP="00DB1559">
            <w:pPr>
              <w:spacing w:after="0" w:line="240" w:lineRule="auto"/>
              <w:jc w:val="right"/>
              <w:rPr>
                <w:rFonts w:cs="Tahoma"/>
                <w:b/>
                <w:color w:val="0070C0"/>
                <w:sz w:val="14"/>
                <w:szCs w:val="14"/>
                <w:lang w:eastAsia="cs-CZ"/>
              </w:rPr>
            </w:pPr>
          </w:p>
        </w:tc>
      </w:tr>
      <w:tr w:rsidR="009D46E6" w:rsidRPr="00DB1559" w:rsidTr="00DB1559">
        <w:trPr>
          <w:trHeight w:val="255"/>
          <w:jc w:val="center"/>
        </w:trPr>
        <w:tc>
          <w:tcPr>
            <w:tcW w:w="2359" w:type="pct"/>
            <w:tcBorders>
              <w:top w:val="single" w:sz="4" w:space="0" w:color="943634"/>
            </w:tcBorders>
            <w:shd w:val="clear" w:color="auto" w:fill="F2DBDB"/>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GERD financovaný ze zahraničních zdrojů (v %)</w:t>
            </w:r>
          </w:p>
        </w:tc>
        <w:tc>
          <w:tcPr>
            <w:tcW w:w="442" w:type="pct"/>
            <w:tcBorders>
              <w:top w:val="single" w:sz="4" w:space="0" w:color="943634"/>
            </w:tcBorders>
            <w:shd w:val="clear" w:color="auto" w:fill="F2DBDB"/>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2011</w:t>
            </w:r>
          </w:p>
        </w:tc>
        <w:tc>
          <w:tcPr>
            <w:tcW w:w="441"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19,7</w:t>
            </w:r>
          </w:p>
        </w:tc>
        <w:tc>
          <w:tcPr>
            <w:tcW w:w="441"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3,9</w:t>
            </w:r>
          </w:p>
        </w:tc>
        <w:tc>
          <w:tcPr>
            <w:tcW w:w="440"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15,9</w:t>
            </w:r>
          </w:p>
        </w:tc>
        <w:tc>
          <w:tcPr>
            <w:tcW w:w="440"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14,2</w:t>
            </w:r>
          </w:p>
        </w:tc>
        <w:tc>
          <w:tcPr>
            <w:tcW w:w="437" w:type="pct"/>
            <w:tcBorders>
              <w:top w:val="single" w:sz="4" w:space="0" w:color="943634"/>
            </w:tcBorders>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13,4</w:t>
            </w:r>
          </w:p>
        </w:tc>
      </w:tr>
      <w:tr w:rsidR="009D46E6" w:rsidRPr="00DB1559" w:rsidTr="00DB1559">
        <w:trPr>
          <w:trHeight w:val="454"/>
          <w:jc w:val="center"/>
        </w:trPr>
        <w:tc>
          <w:tcPr>
            <w:tcW w:w="2359" w:type="pct"/>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Podíl vědeckých publikací ve spoluautorství domácích a zahraničních výzkumníků (v % celkového počtu publikací země)</w:t>
            </w:r>
          </w:p>
        </w:tc>
        <w:tc>
          <w:tcPr>
            <w:tcW w:w="442" w:type="pct"/>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2011</w:t>
            </w:r>
          </w:p>
        </w:tc>
        <w:tc>
          <w:tcPr>
            <w:tcW w:w="441"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47,5</w:t>
            </w:r>
          </w:p>
        </w:tc>
        <w:tc>
          <w:tcPr>
            <w:tcW w:w="441"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50,4</w:t>
            </w:r>
          </w:p>
        </w:tc>
        <w:tc>
          <w:tcPr>
            <w:tcW w:w="440"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62,8</w:t>
            </w:r>
          </w:p>
        </w:tc>
        <w:tc>
          <w:tcPr>
            <w:tcW w:w="440"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 xml:space="preserve">45,3 </w:t>
            </w:r>
            <w:r w:rsidRPr="00DB1559">
              <w:rPr>
                <w:rFonts w:cs="Tahoma"/>
                <w:color w:val="000000"/>
                <w:sz w:val="14"/>
                <w:szCs w:val="14"/>
                <w:vertAlign w:val="superscript"/>
              </w:rPr>
              <w:t>(2010)</w:t>
            </w:r>
          </w:p>
        </w:tc>
        <w:tc>
          <w:tcPr>
            <w:tcW w:w="437" w:type="pct"/>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 xml:space="preserve">32,7 </w:t>
            </w:r>
            <w:r w:rsidRPr="00DB1559">
              <w:rPr>
                <w:rFonts w:cs="Tahoma"/>
                <w:color w:val="000000"/>
                <w:sz w:val="14"/>
                <w:szCs w:val="14"/>
                <w:vertAlign w:val="superscript"/>
              </w:rPr>
              <w:t>(2010)</w:t>
            </w:r>
          </w:p>
        </w:tc>
      </w:tr>
      <w:tr w:rsidR="009D46E6" w:rsidRPr="00DB1559" w:rsidTr="00DB1559">
        <w:trPr>
          <w:trHeight w:val="454"/>
          <w:jc w:val="center"/>
        </w:trPr>
        <w:tc>
          <w:tcPr>
            <w:tcW w:w="2359" w:type="pct"/>
            <w:shd w:val="clear" w:color="auto" w:fill="F2DBDB"/>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Podíl technicky inovujících podniků spolupracujících na inovacích s partnerem z EU nebo EFTA</w:t>
            </w:r>
          </w:p>
        </w:tc>
        <w:tc>
          <w:tcPr>
            <w:tcW w:w="442" w:type="pct"/>
            <w:shd w:val="clear" w:color="auto" w:fill="F2DBDB"/>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2010</w:t>
            </w:r>
          </w:p>
        </w:tc>
        <w:tc>
          <w:tcPr>
            <w:tcW w:w="441"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20,9</w:t>
            </w:r>
          </w:p>
        </w:tc>
        <w:tc>
          <w:tcPr>
            <w:tcW w:w="441"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8,2</w:t>
            </w:r>
          </w:p>
        </w:tc>
        <w:tc>
          <w:tcPr>
            <w:tcW w:w="440"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30,1</w:t>
            </w:r>
          </w:p>
        </w:tc>
        <w:tc>
          <w:tcPr>
            <w:tcW w:w="440"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30,0</w:t>
            </w:r>
          </w:p>
        </w:tc>
        <w:tc>
          <w:tcPr>
            <w:tcW w:w="437" w:type="pct"/>
            <w:shd w:val="clear" w:color="auto" w:fill="F2DBDB"/>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15,6</w:t>
            </w:r>
          </w:p>
        </w:tc>
      </w:tr>
      <w:tr w:rsidR="009D46E6" w:rsidRPr="00DB1559" w:rsidTr="00DB1559">
        <w:trPr>
          <w:trHeight w:val="454"/>
          <w:jc w:val="center"/>
        </w:trPr>
        <w:tc>
          <w:tcPr>
            <w:tcW w:w="2359" w:type="pct"/>
            <w:tcBorders>
              <w:bottom w:val="single" w:sz="4" w:space="0" w:color="943634"/>
            </w:tcBorders>
            <w:noWrap/>
            <w:vAlign w:val="center"/>
          </w:tcPr>
          <w:p w:rsidR="009D46E6" w:rsidRPr="00DB1559" w:rsidRDefault="009D46E6" w:rsidP="00DB1559">
            <w:pPr>
              <w:spacing w:after="0" w:line="240" w:lineRule="auto"/>
              <w:jc w:val="left"/>
              <w:rPr>
                <w:rFonts w:cs="Tahoma"/>
                <w:b/>
                <w:bCs/>
                <w:sz w:val="14"/>
                <w:szCs w:val="14"/>
              </w:rPr>
            </w:pPr>
            <w:r w:rsidRPr="00DB1559">
              <w:rPr>
                <w:rFonts w:cs="Tahoma"/>
                <w:bCs/>
                <w:sz w:val="14"/>
                <w:szCs w:val="14"/>
              </w:rPr>
              <w:t>Podíl studentů studujících v jiné zemi EU27, EEA nebo kandidátské zemi jako % všech studentů</w:t>
            </w:r>
          </w:p>
        </w:tc>
        <w:tc>
          <w:tcPr>
            <w:tcW w:w="442" w:type="pct"/>
            <w:tcBorders>
              <w:bottom w:val="single" w:sz="4" w:space="0" w:color="943634"/>
            </w:tcBorders>
            <w:noWrap/>
            <w:vAlign w:val="center"/>
          </w:tcPr>
          <w:p w:rsidR="009D46E6" w:rsidRPr="00DB1559" w:rsidRDefault="009D46E6" w:rsidP="00DB1559">
            <w:pPr>
              <w:jc w:val="center"/>
              <w:rPr>
                <w:rFonts w:cs="Tahoma"/>
                <w:color w:val="000000"/>
                <w:sz w:val="14"/>
                <w:szCs w:val="14"/>
              </w:rPr>
            </w:pPr>
            <w:r w:rsidRPr="00DB1559">
              <w:rPr>
                <w:rFonts w:cs="Tahoma"/>
                <w:color w:val="000000"/>
                <w:sz w:val="14"/>
                <w:szCs w:val="14"/>
              </w:rPr>
              <w:t>2011</w:t>
            </w:r>
          </w:p>
        </w:tc>
        <w:tc>
          <w:tcPr>
            <w:tcW w:w="441" w:type="pct"/>
            <w:tcBorders>
              <w:bottom w:val="single" w:sz="4" w:space="0" w:color="943634"/>
            </w:tcBorders>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2,9</w:t>
            </w:r>
          </w:p>
        </w:tc>
        <w:tc>
          <w:tcPr>
            <w:tcW w:w="441" w:type="pct"/>
            <w:tcBorders>
              <w:bottom w:val="single" w:sz="4" w:space="0" w:color="943634"/>
            </w:tcBorders>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3,9</w:t>
            </w:r>
          </w:p>
        </w:tc>
        <w:tc>
          <w:tcPr>
            <w:tcW w:w="440" w:type="pct"/>
            <w:tcBorders>
              <w:bottom w:val="single" w:sz="4" w:space="0" w:color="943634"/>
            </w:tcBorders>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4,5</w:t>
            </w:r>
          </w:p>
        </w:tc>
        <w:tc>
          <w:tcPr>
            <w:tcW w:w="440" w:type="pct"/>
            <w:tcBorders>
              <w:bottom w:val="single" w:sz="4" w:space="0" w:color="943634"/>
            </w:tcBorders>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13,8</w:t>
            </w:r>
          </w:p>
        </w:tc>
        <w:tc>
          <w:tcPr>
            <w:tcW w:w="437" w:type="pct"/>
            <w:tcBorders>
              <w:bottom w:val="single" w:sz="4" w:space="0" w:color="943634"/>
            </w:tcBorders>
            <w:noWrap/>
            <w:vAlign w:val="center"/>
          </w:tcPr>
          <w:p w:rsidR="009D46E6" w:rsidRPr="00DB1559" w:rsidRDefault="009D46E6" w:rsidP="00DB1559">
            <w:pPr>
              <w:jc w:val="right"/>
              <w:rPr>
                <w:rFonts w:cs="Tahoma"/>
                <w:color w:val="000000"/>
                <w:sz w:val="14"/>
                <w:szCs w:val="14"/>
              </w:rPr>
            </w:pPr>
            <w:r w:rsidRPr="00DB1559">
              <w:rPr>
                <w:rFonts w:cs="Tahoma"/>
                <w:color w:val="000000"/>
                <w:sz w:val="14"/>
                <w:szCs w:val="14"/>
              </w:rPr>
              <w:t>2,0</w:t>
            </w:r>
          </w:p>
        </w:tc>
      </w:tr>
    </w:tbl>
    <w:p w:rsidR="009D46E6" w:rsidRDefault="009D46E6" w:rsidP="002711A9">
      <w:pPr>
        <w:pStyle w:val="Zdroj"/>
      </w:pPr>
      <w:r>
        <w:t>Pozn.: D</w:t>
      </w:r>
      <w:r w:rsidRPr="007A220D">
        <w:t xml:space="preserve">efinice vybraných ukazatelů jsou uvedeny v příloze </w:t>
      </w:r>
      <w:r>
        <w:t>G</w:t>
      </w:r>
      <w:r w:rsidRPr="007A220D">
        <w:t>.1</w:t>
      </w:r>
    </w:p>
    <w:p w:rsidR="009D46E6" w:rsidRPr="009F081E" w:rsidRDefault="009D46E6" w:rsidP="002711A9">
      <w:pPr>
        <w:pStyle w:val="Zdroj"/>
      </w:pPr>
      <w:r>
        <w:t>Zdroj: Data uvedená v jednotlivých kapitolách analýzy</w:t>
      </w:r>
    </w:p>
    <w:p w:rsidR="009D46E6" w:rsidRPr="00662381" w:rsidRDefault="009D46E6" w:rsidP="002711A9"/>
    <w:p w:rsidR="009D46E6" w:rsidRPr="00662381" w:rsidRDefault="009D46E6" w:rsidP="002711A9">
      <w:pPr>
        <w:sectPr w:rsidR="009D46E6" w:rsidRPr="00662381" w:rsidSect="00FD3E45">
          <w:headerReference w:type="even" r:id="rId10"/>
          <w:headerReference w:type="default" r:id="rId11"/>
          <w:pgSz w:w="11906" w:h="16838" w:code="9"/>
          <w:pgMar w:top="1134" w:right="1134" w:bottom="1134" w:left="1134" w:header="737" w:footer="567" w:gutter="0"/>
          <w:cols w:space="567"/>
          <w:docGrid w:linePitch="360"/>
        </w:sectPr>
      </w:pPr>
    </w:p>
    <w:p w:rsidR="009D46E6" w:rsidRDefault="009D46E6" w:rsidP="00597E82">
      <w:pPr>
        <w:pStyle w:val="Nadpis1nonumber"/>
      </w:pPr>
      <w:bookmarkStart w:id="9" w:name="_Toc369091860"/>
      <w:r>
        <w:t>Obsah</w:t>
      </w:r>
      <w:bookmarkEnd w:id="4"/>
      <w:bookmarkEnd w:id="9"/>
    </w:p>
    <w:bookmarkEnd w:id="5"/>
    <w:bookmarkEnd w:id="6"/>
    <w:p w:rsidR="009D46E6" w:rsidRDefault="009D46E6">
      <w:pPr>
        <w:pStyle w:val="TOC1"/>
        <w:rPr>
          <w:rFonts w:ascii="Calibri" w:hAnsi="Calibri" w:cs="Times New Roman"/>
          <w:noProof/>
          <w:sz w:val="22"/>
          <w:szCs w:val="22"/>
          <w:lang w:eastAsia="cs-CZ"/>
        </w:rPr>
      </w:pPr>
      <w:r w:rsidRPr="00F00387">
        <w:rPr>
          <w:lang w:val="pl-PL"/>
        </w:rPr>
        <w:fldChar w:fldCharType="begin"/>
      </w:r>
      <w:r w:rsidRPr="00F00387">
        <w:rPr>
          <w:lang w:val="pl-PL"/>
        </w:rPr>
        <w:instrText xml:space="preserve"> TOC \o "1-3" \u </w:instrText>
      </w:r>
      <w:r w:rsidRPr="00F00387">
        <w:rPr>
          <w:lang w:val="pl-PL"/>
        </w:rPr>
        <w:fldChar w:fldCharType="separate"/>
      </w:r>
      <w:r>
        <w:rPr>
          <w:noProof/>
        </w:rPr>
        <w:t>Shrnutí</w:t>
      </w:r>
      <w:r>
        <w:rPr>
          <w:noProof/>
        </w:rPr>
        <w:tab/>
      </w:r>
      <w:r>
        <w:rPr>
          <w:noProof/>
        </w:rPr>
        <w:fldChar w:fldCharType="begin"/>
      </w:r>
      <w:r>
        <w:rPr>
          <w:noProof/>
        </w:rPr>
        <w:instrText xml:space="preserve"> PAGEREF _Toc369091859 \h </w:instrText>
      </w:r>
      <w:r>
        <w:rPr>
          <w:noProof/>
        </w:rPr>
      </w:r>
      <w:r>
        <w:rPr>
          <w:noProof/>
        </w:rPr>
        <w:fldChar w:fldCharType="separate"/>
      </w:r>
      <w:r>
        <w:rPr>
          <w:noProof/>
        </w:rPr>
        <w:t>3</w:t>
      </w:r>
      <w:r>
        <w:rPr>
          <w:noProof/>
        </w:rPr>
        <w:fldChar w:fldCharType="end"/>
      </w:r>
    </w:p>
    <w:p w:rsidR="009D46E6" w:rsidRDefault="009D46E6">
      <w:pPr>
        <w:pStyle w:val="TOC1"/>
        <w:rPr>
          <w:rFonts w:ascii="Calibri" w:hAnsi="Calibri" w:cs="Times New Roman"/>
          <w:noProof/>
          <w:sz w:val="22"/>
          <w:szCs w:val="22"/>
          <w:lang w:eastAsia="cs-CZ"/>
        </w:rPr>
      </w:pPr>
      <w:r>
        <w:rPr>
          <w:noProof/>
        </w:rPr>
        <w:t>Obsah</w:t>
      </w:r>
      <w:r>
        <w:rPr>
          <w:noProof/>
        </w:rPr>
        <w:tab/>
      </w:r>
      <w:r>
        <w:rPr>
          <w:noProof/>
        </w:rPr>
        <w:fldChar w:fldCharType="begin"/>
      </w:r>
      <w:r>
        <w:rPr>
          <w:noProof/>
        </w:rPr>
        <w:instrText xml:space="preserve"> PAGEREF _Toc369091860 \h </w:instrText>
      </w:r>
      <w:r>
        <w:rPr>
          <w:noProof/>
        </w:rPr>
      </w:r>
      <w:r>
        <w:rPr>
          <w:noProof/>
        </w:rPr>
        <w:fldChar w:fldCharType="separate"/>
      </w:r>
      <w:r>
        <w:rPr>
          <w:noProof/>
        </w:rPr>
        <w:t>10</w:t>
      </w:r>
      <w:r>
        <w:rPr>
          <w:noProof/>
        </w:rPr>
        <w:fldChar w:fldCharType="end"/>
      </w:r>
    </w:p>
    <w:p w:rsidR="009D46E6" w:rsidRDefault="009D46E6">
      <w:pPr>
        <w:pStyle w:val="TOC2"/>
        <w:rPr>
          <w:rFonts w:ascii="Calibri" w:hAnsi="Calibri" w:cs="Times New Roman"/>
          <w:noProof/>
          <w:sz w:val="22"/>
          <w:szCs w:val="22"/>
          <w:lang w:eastAsia="cs-CZ"/>
        </w:rPr>
      </w:pPr>
      <w:r>
        <w:rPr>
          <w:noProof/>
        </w:rPr>
        <w:t>Seznam tabulek</w:t>
      </w:r>
      <w:r>
        <w:rPr>
          <w:noProof/>
        </w:rPr>
        <w:tab/>
      </w:r>
      <w:r>
        <w:rPr>
          <w:noProof/>
        </w:rPr>
        <w:fldChar w:fldCharType="begin"/>
      </w:r>
      <w:r>
        <w:rPr>
          <w:noProof/>
        </w:rPr>
        <w:instrText xml:space="preserve"> PAGEREF _Toc369091861 \h </w:instrText>
      </w:r>
      <w:r>
        <w:rPr>
          <w:noProof/>
        </w:rPr>
      </w:r>
      <w:r>
        <w:rPr>
          <w:noProof/>
        </w:rPr>
        <w:fldChar w:fldCharType="separate"/>
      </w:r>
      <w:r>
        <w:rPr>
          <w:noProof/>
        </w:rPr>
        <w:t>12</w:t>
      </w:r>
      <w:r>
        <w:rPr>
          <w:noProof/>
        </w:rPr>
        <w:fldChar w:fldCharType="end"/>
      </w:r>
    </w:p>
    <w:p w:rsidR="009D46E6" w:rsidRDefault="009D46E6">
      <w:pPr>
        <w:pStyle w:val="TOC2"/>
        <w:rPr>
          <w:rFonts w:ascii="Calibri" w:hAnsi="Calibri" w:cs="Times New Roman"/>
          <w:noProof/>
          <w:sz w:val="22"/>
          <w:szCs w:val="22"/>
          <w:lang w:eastAsia="cs-CZ"/>
        </w:rPr>
      </w:pPr>
      <w:r>
        <w:rPr>
          <w:noProof/>
        </w:rPr>
        <w:t>Seznam grafů</w:t>
      </w:r>
      <w:r>
        <w:rPr>
          <w:noProof/>
        </w:rPr>
        <w:tab/>
      </w:r>
      <w:r>
        <w:rPr>
          <w:noProof/>
        </w:rPr>
        <w:fldChar w:fldCharType="begin"/>
      </w:r>
      <w:r>
        <w:rPr>
          <w:noProof/>
        </w:rPr>
        <w:instrText xml:space="preserve"> PAGEREF _Toc369091862 \h </w:instrText>
      </w:r>
      <w:r>
        <w:rPr>
          <w:noProof/>
        </w:rPr>
      </w:r>
      <w:r>
        <w:rPr>
          <w:noProof/>
        </w:rPr>
        <w:fldChar w:fldCharType="separate"/>
      </w:r>
      <w:r>
        <w:rPr>
          <w:noProof/>
        </w:rPr>
        <w:t>13</w:t>
      </w:r>
      <w:r>
        <w:rPr>
          <w:noProof/>
        </w:rPr>
        <w:fldChar w:fldCharType="end"/>
      </w:r>
    </w:p>
    <w:p w:rsidR="009D46E6" w:rsidRDefault="009D46E6">
      <w:pPr>
        <w:pStyle w:val="TOC2"/>
        <w:rPr>
          <w:rFonts w:ascii="Calibri" w:hAnsi="Calibri" w:cs="Times New Roman"/>
          <w:noProof/>
          <w:sz w:val="22"/>
          <w:szCs w:val="22"/>
          <w:lang w:eastAsia="cs-CZ"/>
        </w:rPr>
      </w:pPr>
      <w:r>
        <w:rPr>
          <w:noProof/>
        </w:rPr>
        <w:t>Seznam zkratek</w:t>
      </w:r>
      <w:r>
        <w:rPr>
          <w:noProof/>
        </w:rPr>
        <w:tab/>
      </w:r>
      <w:r>
        <w:rPr>
          <w:noProof/>
        </w:rPr>
        <w:fldChar w:fldCharType="begin"/>
      </w:r>
      <w:r>
        <w:rPr>
          <w:noProof/>
        </w:rPr>
        <w:instrText xml:space="preserve"> PAGEREF _Toc369091863 \h </w:instrText>
      </w:r>
      <w:r>
        <w:rPr>
          <w:noProof/>
        </w:rPr>
      </w:r>
      <w:r>
        <w:rPr>
          <w:noProof/>
        </w:rPr>
        <w:fldChar w:fldCharType="separate"/>
      </w:r>
      <w:r>
        <w:rPr>
          <w:noProof/>
        </w:rPr>
        <w:t>16</w:t>
      </w:r>
      <w:r>
        <w:rPr>
          <w:noProof/>
        </w:rPr>
        <w:fldChar w:fldCharType="end"/>
      </w:r>
    </w:p>
    <w:p w:rsidR="009D46E6" w:rsidRDefault="009D46E6">
      <w:pPr>
        <w:pStyle w:val="TOC1"/>
        <w:rPr>
          <w:rFonts w:ascii="Calibri" w:hAnsi="Calibri" w:cs="Times New Roman"/>
          <w:noProof/>
          <w:sz w:val="22"/>
          <w:szCs w:val="22"/>
          <w:lang w:eastAsia="cs-CZ"/>
        </w:rPr>
      </w:pPr>
      <w:r w:rsidRPr="00BC3964">
        <w:rPr>
          <w:rFonts w:cs="Tahoma"/>
          <w:noProof/>
        </w:rPr>
        <w:t>Makroekonomický rámec analýzy výzkumu, vývoje a inovací</w:t>
      </w:r>
      <w:r>
        <w:rPr>
          <w:noProof/>
        </w:rPr>
        <w:tab/>
      </w:r>
      <w:r>
        <w:rPr>
          <w:noProof/>
        </w:rPr>
        <w:fldChar w:fldCharType="begin"/>
      </w:r>
      <w:r>
        <w:rPr>
          <w:noProof/>
        </w:rPr>
        <w:instrText xml:space="preserve"> PAGEREF _Toc369091864 \h </w:instrText>
      </w:r>
      <w:r>
        <w:rPr>
          <w:noProof/>
        </w:rPr>
      </w:r>
      <w:r>
        <w:rPr>
          <w:noProof/>
        </w:rPr>
        <w:fldChar w:fldCharType="separate"/>
      </w:r>
      <w:r>
        <w:rPr>
          <w:noProof/>
        </w:rPr>
        <w:t>18</w:t>
      </w:r>
      <w:r>
        <w:rPr>
          <w:noProof/>
        </w:rPr>
        <w:fldChar w:fldCharType="end"/>
      </w:r>
    </w:p>
    <w:p w:rsidR="009D46E6" w:rsidRDefault="009D46E6">
      <w:pPr>
        <w:pStyle w:val="TOC1"/>
        <w:rPr>
          <w:rFonts w:ascii="Calibri" w:hAnsi="Calibri" w:cs="Times New Roman"/>
          <w:noProof/>
          <w:sz w:val="22"/>
          <w:szCs w:val="22"/>
          <w:lang w:eastAsia="cs-CZ"/>
        </w:rPr>
      </w:pPr>
      <w:r>
        <w:rPr>
          <w:noProof/>
        </w:rPr>
        <w:t>A</w:t>
      </w:r>
      <w:r>
        <w:rPr>
          <w:rFonts w:ascii="Calibri" w:hAnsi="Calibri" w:cs="Times New Roman"/>
          <w:noProof/>
          <w:sz w:val="22"/>
          <w:szCs w:val="22"/>
          <w:lang w:eastAsia="cs-CZ"/>
        </w:rPr>
        <w:tab/>
      </w:r>
      <w:r>
        <w:rPr>
          <w:noProof/>
        </w:rPr>
        <w:t>Investice do výzkumu a vývoje</w:t>
      </w:r>
      <w:r>
        <w:rPr>
          <w:noProof/>
        </w:rPr>
        <w:tab/>
      </w:r>
      <w:r>
        <w:rPr>
          <w:noProof/>
        </w:rPr>
        <w:fldChar w:fldCharType="begin"/>
      </w:r>
      <w:r>
        <w:rPr>
          <w:noProof/>
        </w:rPr>
        <w:instrText xml:space="preserve"> PAGEREF _Toc369091865 \h </w:instrText>
      </w:r>
      <w:r>
        <w:rPr>
          <w:noProof/>
        </w:rPr>
      </w:r>
      <w:r>
        <w:rPr>
          <w:noProof/>
        </w:rPr>
        <w:fldChar w:fldCharType="separate"/>
      </w:r>
      <w:r>
        <w:rPr>
          <w:noProof/>
        </w:rPr>
        <w:t>23</w:t>
      </w:r>
      <w:r>
        <w:rPr>
          <w:noProof/>
        </w:rPr>
        <w:fldChar w:fldCharType="end"/>
      </w:r>
    </w:p>
    <w:p w:rsidR="009D46E6" w:rsidRDefault="009D46E6">
      <w:pPr>
        <w:pStyle w:val="TOC2"/>
        <w:rPr>
          <w:rFonts w:ascii="Calibri" w:hAnsi="Calibri" w:cs="Times New Roman"/>
          <w:noProof/>
          <w:sz w:val="22"/>
          <w:szCs w:val="22"/>
          <w:lang w:eastAsia="cs-CZ"/>
        </w:rPr>
      </w:pPr>
      <w:r>
        <w:rPr>
          <w:noProof/>
        </w:rPr>
        <w:t>A.1</w:t>
      </w:r>
      <w:r>
        <w:rPr>
          <w:rFonts w:ascii="Calibri" w:hAnsi="Calibri" w:cs="Times New Roman"/>
          <w:noProof/>
          <w:sz w:val="22"/>
          <w:szCs w:val="22"/>
          <w:lang w:eastAsia="cs-CZ"/>
        </w:rPr>
        <w:tab/>
      </w:r>
      <w:r>
        <w:rPr>
          <w:noProof/>
        </w:rPr>
        <w:t>Celkové výdaje na výzkum a vývoj</w:t>
      </w:r>
      <w:r>
        <w:rPr>
          <w:noProof/>
        </w:rPr>
        <w:tab/>
      </w:r>
      <w:r>
        <w:rPr>
          <w:noProof/>
        </w:rPr>
        <w:fldChar w:fldCharType="begin"/>
      </w:r>
      <w:r>
        <w:rPr>
          <w:noProof/>
        </w:rPr>
        <w:instrText xml:space="preserve"> PAGEREF _Toc369091866 \h </w:instrText>
      </w:r>
      <w:r>
        <w:rPr>
          <w:noProof/>
        </w:rPr>
      </w:r>
      <w:r>
        <w:rPr>
          <w:noProof/>
        </w:rPr>
        <w:fldChar w:fldCharType="separate"/>
      </w:r>
      <w:r>
        <w:rPr>
          <w:noProof/>
        </w:rPr>
        <w:t>24</w:t>
      </w:r>
      <w:r>
        <w:rPr>
          <w:noProof/>
        </w:rPr>
        <w:fldChar w:fldCharType="end"/>
      </w:r>
    </w:p>
    <w:p w:rsidR="009D46E6" w:rsidRDefault="009D46E6">
      <w:pPr>
        <w:pStyle w:val="TOC3"/>
        <w:rPr>
          <w:rFonts w:ascii="Calibri" w:hAnsi="Calibri" w:cs="Times New Roman"/>
          <w:noProof/>
          <w:sz w:val="22"/>
          <w:szCs w:val="22"/>
          <w:lang w:eastAsia="cs-CZ"/>
        </w:rPr>
      </w:pPr>
      <w:r>
        <w:rPr>
          <w:noProof/>
        </w:rPr>
        <w:t>Výdaje za VaV provedený ve vládním a vysokoškolském sektoru – Veřejný VaV</w:t>
      </w:r>
      <w:r>
        <w:rPr>
          <w:noProof/>
        </w:rPr>
        <w:tab/>
      </w:r>
      <w:r>
        <w:rPr>
          <w:noProof/>
        </w:rPr>
        <w:fldChar w:fldCharType="begin"/>
      </w:r>
      <w:r>
        <w:rPr>
          <w:noProof/>
        </w:rPr>
        <w:instrText xml:space="preserve"> PAGEREF _Toc369091867 \h </w:instrText>
      </w:r>
      <w:r>
        <w:rPr>
          <w:noProof/>
        </w:rPr>
      </w:r>
      <w:r>
        <w:rPr>
          <w:noProof/>
        </w:rPr>
        <w:fldChar w:fldCharType="separate"/>
      </w:r>
      <w:r>
        <w:rPr>
          <w:noProof/>
        </w:rPr>
        <w:t>36</w:t>
      </w:r>
      <w:r>
        <w:rPr>
          <w:noProof/>
        </w:rPr>
        <w:fldChar w:fldCharType="end"/>
      </w:r>
    </w:p>
    <w:p w:rsidR="009D46E6" w:rsidRDefault="009D46E6">
      <w:pPr>
        <w:pStyle w:val="TOC3"/>
        <w:rPr>
          <w:rFonts w:ascii="Calibri" w:hAnsi="Calibri" w:cs="Times New Roman"/>
          <w:noProof/>
          <w:sz w:val="22"/>
          <w:szCs w:val="22"/>
          <w:lang w:eastAsia="cs-CZ"/>
        </w:rPr>
      </w:pPr>
      <w:r>
        <w:rPr>
          <w:noProof/>
        </w:rPr>
        <w:t>Výdaje za VaV provedený v podnikatelském sektoru – Soukromý VaV</w:t>
      </w:r>
      <w:r>
        <w:rPr>
          <w:noProof/>
        </w:rPr>
        <w:tab/>
      </w:r>
      <w:r>
        <w:rPr>
          <w:noProof/>
        </w:rPr>
        <w:fldChar w:fldCharType="begin"/>
      </w:r>
      <w:r>
        <w:rPr>
          <w:noProof/>
        </w:rPr>
        <w:instrText xml:space="preserve"> PAGEREF _Toc369091868 \h </w:instrText>
      </w:r>
      <w:r>
        <w:rPr>
          <w:noProof/>
        </w:rPr>
      </w:r>
      <w:r>
        <w:rPr>
          <w:noProof/>
        </w:rPr>
        <w:fldChar w:fldCharType="separate"/>
      </w:r>
      <w:r>
        <w:rPr>
          <w:noProof/>
        </w:rPr>
        <w:t>45</w:t>
      </w:r>
      <w:r>
        <w:rPr>
          <w:noProof/>
        </w:rPr>
        <w:fldChar w:fldCharType="end"/>
      </w:r>
    </w:p>
    <w:p w:rsidR="009D46E6" w:rsidRDefault="009D46E6">
      <w:pPr>
        <w:pStyle w:val="TOC2"/>
        <w:rPr>
          <w:rFonts w:ascii="Calibri" w:hAnsi="Calibri" w:cs="Times New Roman"/>
          <w:noProof/>
          <w:sz w:val="22"/>
          <w:szCs w:val="22"/>
          <w:lang w:eastAsia="cs-CZ"/>
        </w:rPr>
      </w:pPr>
      <w:r>
        <w:rPr>
          <w:noProof/>
        </w:rPr>
        <w:t>A.2</w:t>
      </w:r>
      <w:r>
        <w:rPr>
          <w:rFonts w:ascii="Calibri" w:hAnsi="Calibri" w:cs="Times New Roman"/>
          <w:noProof/>
          <w:sz w:val="22"/>
          <w:szCs w:val="22"/>
          <w:lang w:eastAsia="cs-CZ"/>
        </w:rPr>
        <w:tab/>
      </w:r>
      <w:r>
        <w:rPr>
          <w:noProof/>
        </w:rPr>
        <w:t>Přímá podpora výzkumu a vývoje ze státního rozpočtu</w:t>
      </w:r>
      <w:r>
        <w:rPr>
          <w:noProof/>
        </w:rPr>
        <w:tab/>
      </w:r>
      <w:r>
        <w:rPr>
          <w:noProof/>
        </w:rPr>
        <w:fldChar w:fldCharType="begin"/>
      </w:r>
      <w:r>
        <w:rPr>
          <w:noProof/>
        </w:rPr>
        <w:instrText xml:space="preserve"> PAGEREF _Toc369091869 \h </w:instrText>
      </w:r>
      <w:r>
        <w:rPr>
          <w:noProof/>
        </w:rPr>
      </w:r>
      <w:r>
        <w:rPr>
          <w:noProof/>
        </w:rPr>
        <w:fldChar w:fldCharType="separate"/>
      </w:r>
      <w:r>
        <w:rPr>
          <w:noProof/>
        </w:rPr>
        <w:t>52</w:t>
      </w:r>
      <w:r>
        <w:rPr>
          <w:noProof/>
        </w:rPr>
        <w:fldChar w:fldCharType="end"/>
      </w:r>
    </w:p>
    <w:p w:rsidR="009D46E6" w:rsidRDefault="009D46E6">
      <w:pPr>
        <w:pStyle w:val="TOC3"/>
        <w:rPr>
          <w:rFonts w:ascii="Calibri" w:hAnsi="Calibri" w:cs="Times New Roman"/>
          <w:noProof/>
          <w:sz w:val="22"/>
          <w:szCs w:val="22"/>
          <w:lang w:eastAsia="cs-CZ"/>
        </w:rPr>
      </w:pPr>
      <w:r>
        <w:rPr>
          <w:noProof/>
        </w:rPr>
        <w:t>Celková přímá podpora VaV ze státního rozpočtu – základní ukazatele</w:t>
      </w:r>
      <w:r>
        <w:rPr>
          <w:noProof/>
        </w:rPr>
        <w:tab/>
      </w:r>
      <w:r>
        <w:rPr>
          <w:noProof/>
        </w:rPr>
        <w:fldChar w:fldCharType="begin"/>
      </w:r>
      <w:r>
        <w:rPr>
          <w:noProof/>
        </w:rPr>
        <w:instrText xml:space="preserve"> PAGEREF _Toc369091870 \h </w:instrText>
      </w:r>
      <w:r>
        <w:rPr>
          <w:noProof/>
        </w:rPr>
      </w:r>
      <w:r>
        <w:rPr>
          <w:noProof/>
        </w:rPr>
        <w:fldChar w:fldCharType="separate"/>
      </w:r>
      <w:r>
        <w:rPr>
          <w:noProof/>
        </w:rPr>
        <w:t>52</w:t>
      </w:r>
      <w:r>
        <w:rPr>
          <w:noProof/>
        </w:rPr>
        <w:fldChar w:fldCharType="end"/>
      </w:r>
    </w:p>
    <w:p w:rsidR="009D46E6" w:rsidRDefault="009D46E6">
      <w:pPr>
        <w:pStyle w:val="TOC3"/>
        <w:rPr>
          <w:rFonts w:ascii="Calibri" w:hAnsi="Calibri" w:cs="Times New Roman"/>
          <w:noProof/>
          <w:sz w:val="22"/>
          <w:szCs w:val="22"/>
          <w:lang w:eastAsia="cs-CZ"/>
        </w:rPr>
      </w:pPr>
      <w:r>
        <w:rPr>
          <w:noProof/>
        </w:rPr>
        <w:t>Podpora VaV ze státního rozpočtu podle typu financování, poskytovatelů a příjemců</w:t>
      </w:r>
      <w:r>
        <w:rPr>
          <w:noProof/>
        </w:rPr>
        <w:tab/>
      </w:r>
      <w:r>
        <w:rPr>
          <w:noProof/>
        </w:rPr>
        <w:fldChar w:fldCharType="begin"/>
      </w:r>
      <w:r>
        <w:rPr>
          <w:noProof/>
        </w:rPr>
        <w:instrText xml:space="preserve"> PAGEREF _Toc369091871 \h </w:instrText>
      </w:r>
      <w:r>
        <w:rPr>
          <w:noProof/>
        </w:rPr>
      </w:r>
      <w:r>
        <w:rPr>
          <w:noProof/>
        </w:rPr>
        <w:fldChar w:fldCharType="separate"/>
      </w:r>
      <w:r>
        <w:rPr>
          <w:noProof/>
        </w:rPr>
        <w:t>55</w:t>
      </w:r>
      <w:r>
        <w:rPr>
          <w:noProof/>
        </w:rPr>
        <w:fldChar w:fldCharType="end"/>
      </w:r>
    </w:p>
    <w:p w:rsidR="009D46E6" w:rsidRDefault="009D46E6">
      <w:pPr>
        <w:pStyle w:val="TOC2"/>
        <w:rPr>
          <w:rFonts w:ascii="Calibri" w:hAnsi="Calibri" w:cs="Times New Roman"/>
          <w:noProof/>
          <w:sz w:val="22"/>
          <w:szCs w:val="22"/>
          <w:lang w:eastAsia="cs-CZ"/>
        </w:rPr>
      </w:pPr>
      <w:r>
        <w:rPr>
          <w:noProof/>
        </w:rPr>
        <w:t>A.3</w:t>
      </w:r>
      <w:r>
        <w:rPr>
          <w:rFonts w:ascii="Calibri" w:hAnsi="Calibri" w:cs="Times New Roman"/>
          <w:noProof/>
          <w:sz w:val="22"/>
          <w:szCs w:val="22"/>
          <w:lang w:eastAsia="cs-CZ"/>
        </w:rPr>
        <w:tab/>
      </w:r>
      <w:r>
        <w:rPr>
          <w:noProof/>
        </w:rPr>
        <w:t>Nepřímá podpora VaV ze státního rozpočtu ČR</w:t>
      </w:r>
      <w:r>
        <w:rPr>
          <w:noProof/>
        </w:rPr>
        <w:tab/>
      </w:r>
      <w:r>
        <w:rPr>
          <w:noProof/>
        </w:rPr>
        <w:fldChar w:fldCharType="begin"/>
      </w:r>
      <w:r>
        <w:rPr>
          <w:noProof/>
        </w:rPr>
        <w:instrText xml:space="preserve"> PAGEREF _Toc369091872 \h </w:instrText>
      </w:r>
      <w:r>
        <w:rPr>
          <w:noProof/>
        </w:rPr>
      </w:r>
      <w:r>
        <w:rPr>
          <w:noProof/>
        </w:rPr>
        <w:fldChar w:fldCharType="separate"/>
      </w:r>
      <w:r>
        <w:rPr>
          <w:noProof/>
        </w:rPr>
        <w:t>58</w:t>
      </w:r>
      <w:r>
        <w:rPr>
          <w:noProof/>
        </w:rPr>
        <w:fldChar w:fldCharType="end"/>
      </w:r>
    </w:p>
    <w:p w:rsidR="009D46E6" w:rsidRDefault="009D46E6">
      <w:pPr>
        <w:pStyle w:val="TOC1"/>
        <w:rPr>
          <w:rFonts w:ascii="Calibri" w:hAnsi="Calibri" w:cs="Times New Roman"/>
          <w:noProof/>
          <w:sz w:val="22"/>
          <w:szCs w:val="22"/>
          <w:lang w:eastAsia="cs-CZ"/>
        </w:rPr>
      </w:pPr>
      <w:r>
        <w:rPr>
          <w:noProof/>
        </w:rPr>
        <w:t>B</w:t>
      </w:r>
      <w:r>
        <w:rPr>
          <w:rFonts w:ascii="Calibri" w:hAnsi="Calibri" w:cs="Times New Roman"/>
          <w:noProof/>
          <w:sz w:val="22"/>
          <w:szCs w:val="22"/>
          <w:lang w:eastAsia="cs-CZ"/>
        </w:rPr>
        <w:tab/>
      </w:r>
      <w:r>
        <w:rPr>
          <w:noProof/>
        </w:rPr>
        <w:t>Lidské zdroje pro výzkum a vývoj</w:t>
      </w:r>
      <w:r>
        <w:rPr>
          <w:noProof/>
        </w:rPr>
        <w:tab/>
      </w:r>
      <w:r>
        <w:rPr>
          <w:noProof/>
        </w:rPr>
        <w:fldChar w:fldCharType="begin"/>
      </w:r>
      <w:r>
        <w:rPr>
          <w:noProof/>
        </w:rPr>
        <w:instrText xml:space="preserve"> PAGEREF _Toc369091873 \h </w:instrText>
      </w:r>
      <w:r>
        <w:rPr>
          <w:noProof/>
        </w:rPr>
      </w:r>
      <w:r>
        <w:rPr>
          <w:noProof/>
        </w:rPr>
        <w:fldChar w:fldCharType="separate"/>
      </w:r>
      <w:r>
        <w:rPr>
          <w:noProof/>
        </w:rPr>
        <w:t>62</w:t>
      </w:r>
      <w:r>
        <w:rPr>
          <w:noProof/>
        </w:rPr>
        <w:fldChar w:fldCharType="end"/>
      </w:r>
    </w:p>
    <w:p w:rsidR="009D46E6" w:rsidRDefault="009D46E6">
      <w:pPr>
        <w:pStyle w:val="TOC2"/>
        <w:rPr>
          <w:rFonts w:ascii="Calibri" w:hAnsi="Calibri" w:cs="Times New Roman"/>
          <w:noProof/>
          <w:sz w:val="22"/>
          <w:szCs w:val="22"/>
          <w:lang w:eastAsia="cs-CZ"/>
        </w:rPr>
      </w:pPr>
      <w:r>
        <w:rPr>
          <w:noProof/>
        </w:rPr>
        <w:t>B.1</w:t>
      </w:r>
      <w:r>
        <w:rPr>
          <w:rFonts w:ascii="Calibri" w:hAnsi="Calibri" w:cs="Times New Roman"/>
          <w:noProof/>
          <w:sz w:val="22"/>
          <w:szCs w:val="22"/>
          <w:lang w:eastAsia="cs-CZ"/>
        </w:rPr>
        <w:tab/>
      </w:r>
      <w:r>
        <w:rPr>
          <w:noProof/>
        </w:rPr>
        <w:t>Zaměstnanci ve výzkumu a vývoji</w:t>
      </w:r>
      <w:r>
        <w:rPr>
          <w:noProof/>
        </w:rPr>
        <w:tab/>
      </w:r>
      <w:r>
        <w:rPr>
          <w:noProof/>
        </w:rPr>
        <w:fldChar w:fldCharType="begin"/>
      </w:r>
      <w:r>
        <w:rPr>
          <w:noProof/>
        </w:rPr>
        <w:instrText xml:space="preserve"> PAGEREF _Toc369091874 \h </w:instrText>
      </w:r>
      <w:r>
        <w:rPr>
          <w:noProof/>
        </w:rPr>
      </w:r>
      <w:r>
        <w:rPr>
          <w:noProof/>
        </w:rPr>
        <w:fldChar w:fldCharType="separate"/>
      </w:r>
      <w:r>
        <w:rPr>
          <w:noProof/>
        </w:rPr>
        <w:t>63</w:t>
      </w:r>
      <w:r>
        <w:rPr>
          <w:noProof/>
        </w:rPr>
        <w:fldChar w:fldCharType="end"/>
      </w:r>
    </w:p>
    <w:p w:rsidR="009D46E6" w:rsidRDefault="009D46E6">
      <w:pPr>
        <w:pStyle w:val="TOC3"/>
        <w:rPr>
          <w:rFonts w:ascii="Calibri" w:hAnsi="Calibri" w:cs="Times New Roman"/>
          <w:noProof/>
          <w:sz w:val="22"/>
          <w:szCs w:val="22"/>
          <w:lang w:eastAsia="cs-CZ"/>
        </w:rPr>
      </w:pPr>
      <w:r>
        <w:rPr>
          <w:noProof/>
        </w:rPr>
        <w:t>Celkový počet zaměstnanců ve výzkumu a vývoji</w:t>
      </w:r>
      <w:r>
        <w:rPr>
          <w:noProof/>
        </w:rPr>
        <w:tab/>
      </w:r>
      <w:r>
        <w:rPr>
          <w:noProof/>
        </w:rPr>
        <w:fldChar w:fldCharType="begin"/>
      </w:r>
      <w:r>
        <w:rPr>
          <w:noProof/>
        </w:rPr>
        <w:instrText xml:space="preserve"> PAGEREF _Toc369091875 \h </w:instrText>
      </w:r>
      <w:r>
        <w:rPr>
          <w:noProof/>
        </w:rPr>
      </w:r>
      <w:r>
        <w:rPr>
          <w:noProof/>
        </w:rPr>
        <w:fldChar w:fldCharType="separate"/>
      </w:r>
      <w:r>
        <w:rPr>
          <w:noProof/>
        </w:rPr>
        <w:t>63</w:t>
      </w:r>
      <w:r>
        <w:rPr>
          <w:noProof/>
        </w:rPr>
        <w:fldChar w:fldCharType="end"/>
      </w:r>
    </w:p>
    <w:p w:rsidR="009D46E6" w:rsidRDefault="009D46E6">
      <w:pPr>
        <w:pStyle w:val="TOC3"/>
        <w:rPr>
          <w:rFonts w:ascii="Calibri" w:hAnsi="Calibri" w:cs="Times New Roman"/>
          <w:noProof/>
          <w:sz w:val="22"/>
          <w:szCs w:val="22"/>
          <w:lang w:eastAsia="cs-CZ"/>
        </w:rPr>
      </w:pPr>
      <w:r>
        <w:rPr>
          <w:noProof/>
        </w:rPr>
        <w:t>Zaměstnaní ve VaV vládního sektoru</w:t>
      </w:r>
      <w:r>
        <w:rPr>
          <w:noProof/>
        </w:rPr>
        <w:tab/>
      </w:r>
      <w:r>
        <w:rPr>
          <w:noProof/>
        </w:rPr>
        <w:fldChar w:fldCharType="begin"/>
      </w:r>
      <w:r>
        <w:rPr>
          <w:noProof/>
        </w:rPr>
        <w:instrText xml:space="preserve"> PAGEREF _Toc369091876 \h </w:instrText>
      </w:r>
      <w:r>
        <w:rPr>
          <w:noProof/>
        </w:rPr>
      </w:r>
      <w:r>
        <w:rPr>
          <w:noProof/>
        </w:rPr>
        <w:fldChar w:fldCharType="separate"/>
      </w:r>
      <w:r>
        <w:rPr>
          <w:noProof/>
        </w:rPr>
        <w:t>67</w:t>
      </w:r>
      <w:r>
        <w:rPr>
          <w:noProof/>
        </w:rPr>
        <w:fldChar w:fldCharType="end"/>
      </w:r>
    </w:p>
    <w:p w:rsidR="009D46E6" w:rsidRDefault="009D46E6">
      <w:pPr>
        <w:pStyle w:val="TOC3"/>
        <w:rPr>
          <w:rFonts w:ascii="Calibri" w:hAnsi="Calibri" w:cs="Times New Roman"/>
          <w:noProof/>
          <w:sz w:val="22"/>
          <w:szCs w:val="22"/>
          <w:lang w:eastAsia="cs-CZ"/>
        </w:rPr>
      </w:pPr>
      <w:r>
        <w:rPr>
          <w:noProof/>
        </w:rPr>
        <w:t>Zaměstnaní ve VaV vysokoškolského sektoru</w:t>
      </w:r>
      <w:r>
        <w:rPr>
          <w:noProof/>
        </w:rPr>
        <w:tab/>
      </w:r>
      <w:r>
        <w:rPr>
          <w:noProof/>
        </w:rPr>
        <w:fldChar w:fldCharType="begin"/>
      </w:r>
      <w:r>
        <w:rPr>
          <w:noProof/>
        </w:rPr>
        <w:instrText xml:space="preserve"> PAGEREF _Toc369091877 \h </w:instrText>
      </w:r>
      <w:r>
        <w:rPr>
          <w:noProof/>
        </w:rPr>
      </w:r>
      <w:r>
        <w:rPr>
          <w:noProof/>
        </w:rPr>
        <w:fldChar w:fldCharType="separate"/>
      </w:r>
      <w:r>
        <w:rPr>
          <w:noProof/>
        </w:rPr>
        <w:t>69</w:t>
      </w:r>
      <w:r>
        <w:rPr>
          <w:noProof/>
        </w:rPr>
        <w:fldChar w:fldCharType="end"/>
      </w:r>
    </w:p>
    <w:p w:rsidR="009D46E6" w:rsidRDefault="009D46E6">
      <w:pPr>
        <w:pStyle w:val="TOC3"/>
        <w:rPr>
          <w:rFonts w:ascii="Calibri" w:hAnsi="Calibri" w:cs="Times New Roman"/>
          <w:noProof/>
          <w:sz w:val="22"/>
          <w:szCs w:val="22"/>
          <w:lang w:eastAsia="cs-CZ"/>
        </w:rPr>
      </w:pPr>
      <w:r>
        <w:rPr>
          <w:noProof/>
        </w:rPr>
        <w:t>Zaměstnaní ve VaV podnikatelského sektoru</w:t>
      </w:r>
      <w:r>
        <w:rPr>
          <w:noProof/>
        </w:rPr>
        <w:tab/>
      </w:r>
      <w:r>
        <w:rPr>
          <w:noProof/>
        </w:rPr>
        <w:fldChar w:fldCharType="begin"/>
      </w:r>
      <w:r>
        <w:rPr>
          <w:noProof/>
        </w:rPr>
        <w:instrText xml:space="preserve"> PAGEREF _Toc369091878 \h </w:instrText>
      </w:r>
      <w:r>
        <w:rPr>
          <w:noProof/>
        </w:rPr>
      </w:r>
      <w:r>
        <w:rPr>
          <w:noProof/>
        </w:rPr>
        <w:fldChar w:fldCharType="separate"/>
      </w:r>
      <w:r>
        <w:rPr>
          <w:noProof/>
        </w:rPr>
        <w:t>71</w:t>
      </w:r>
      <w:r>
        <w:rPr>
          <w:noProof/>
        </w:rPr>
        <w:fldChar w:fldCharType="end"/>
      </w:r>
    </w:p>
    <w:p w:rsidR="009D46E6" w:rsidRDefault="009D46E6">
      <w:pPr>
        <w:pStyle w:val="TOC2"/>
        <w:rPr>
          <w:rFonts w:ascii="Calibri" w:hAnsi="Calibri" w:cs="Times New Roman"/>
          <w:noProof/>
          <w:sz w:val="22"/>
          <w:szCs w:val="22"/>
          <w:lang w:eastAsia="cs-CZ"/>
        </w:rPr>
      </w:pPr>
      <w:r>
        <w:rPr>
          <w:noProof/>
        </w:rPr>
        <w:t>B.2</w:t>
      </w:r>
      <w:r>
        <w:rPr>
          <w:rFonts w:ascii="Calibri" w:hAnsi="Calibri" w:cs="Times New Roman"/>
          <w:noProof/>
          <w:sz w:val="22"/>
          <w:szCs w:val="22"/>
          <w:lang w:eastAsia="cs-CZ"/>
        </w:rPr>
        <w:tab/>
      </w:r>
      <w:r>
        <w:rPr>
          <w:noProof/>
        </w:rPr>
        <w:t>Mzdy specialistů v oblasti vědy a techniky</w:t>
      </w:r>
      <w:r>
        <w:rPr>
          <w:noProof/>
        </w:rPr>
        <w:tab/>
      </w:r>
      <w:r>
        <w:rPr>
          <w:noProof/>
        </w:rPr>
        <w:fldChar w:fldCharType="begin"/>
      </w:r>
      <w:r>
        <w:rPr>
          <w:noProof/>
        </w:rPr>
        <w:instrText xml:space="preserve"> PAGEREF _Toc369091879 \h </w:instrText>
      </w:r>
      <w:r>
        <w:rPr>
          <w:noProof/>
        </w:rPr>
      </w:r>
      <w:r>
        <w:rPr>
          <w:noProof/>
        </w:rPr>
        <w:fldChar w:fldCharType="separate"/>
      </w:r>
      <w:r>
        <w:rPr>
          <w:noProof/>
        </w:rPr>
        <w:t>74</w:t>
      </w:r>
      <w:r>
        <w:rPr>
          <w:noProof/>
        </w:rPr>
        <w:fldChar w:fldCharType="end"/>
      </w:r>
    </w:p>
    <w:p w:rsidR="009D46E6" w:rsidRDefault="009D46E6">
      <w:pPr>
        <w:pStyle w:val="TOC2"/>
        <w:rPr>
          <w:rFonts w:ascii="Calibri" w:hAnsi="Calibri" w:cs="Times New Roman"/>
          <w:noProof/>
          <w:sz w:val="22"/>
          <w:szCs w:val="22"/>
          <w:lang w:eastAsia="cs-CZ"/>
        </w:rPr>
      </w:pPr>
      <w:r>
        <w:rPr>
          <w:noProof/>
        </w:rPr>
        <w:t>B.3</w:t>
      </w:r>
      <w:r>
        <w:rPr>
          <w:rFonts w:ascii="Calibri" w:hAnsi="Calibri" w:cs="Times New Roman"/>
          <w:noProof/>
          <w:sz w:val="22"/>
          <w:szCs w:val="22"/>
          <w:lang w:eastAsia="cs-CZ"/>
        </w:rPr>
        <w:tab/>
      </w:r>
      <w:r>
        <w:rPr>
          <w:noProof/>
        </w:rPr>
        <w:t>Vysokoškolské vzdělání</w:t>
      </w:r>
      <w:r>
        <w:rPr>
          <w:noProof/>
        </w:rPr>
        <w:tab/>
      </w:r>
      <w:r>
        <w:rPr>
          <w:noProof/>
        </w:rPr>
        <w:fldChar w:fldCharType="begin"/>
      </w:r>
      <w:r>
        <w:rPr>
          <w:noProof/>
        </w:rPr>
        <w:instrText xml:space="preserve"> PAGEREF _Toc369091880 \h </w:instrText>
      </w:r>
      <w:r>
        <w:rPr>
          <w:noProof/>
        </w:rPr>
      </w:r>
      <w:r>
        <w:rPr>
          <w:noProof/>
        </w:rPr>
        <w:fldChar w:fldCharType="separate"/>
      </w:r>
      <w:r>
        <w:rPr>
          <w:noProof/>
        </w:rPr>
        <w:t>75</w:t>
      </w:r>
      <w:r>
        <w:rPr>
          <w:noProof/>
        </w:rPr>
        <w:fldChar w:fldCharType="end"/>
      </w:r>
    </w:p>
    <w:p w:rsidR="009D46E6" w:rsidRDefault="009D46E6">
      <w:pPr>
        <w:pStyle w:val="TOC3"/>
        <w:rPr>
          <w:rFonts w:ascii="Calibri" w:hAnsi="Calibri" w:cs="Times New Roman"/>
          <w:noProof/>
          <w:sz w:val="22"/>
          <w:szCs w:val="22"/>
          <w:lang w:eastAsia="cs-CZ"/>
        </w:rPr>
      </w:pPr>
      <w:r>
        <w:rPr>
          <w:noProof/>
        </w:rPr>
        <w:t>Osoby s ukončeným vysokoškolským vzděláním</w:t>
      </w:r>
      <w:r>
        <w:rPr>
          <w:noProof/>
        </w:rPr>
        <w:tab/>
      </w:r>
      <w:r>
        <w:rPr>
          <w:noProof/>
        </w:rPr>
        <w:fldChar w:fldCharType="begin"/>
      </w:r>
      <w:r>
        <w:rPr>
          <w:noProof/>
        </w:rPr>
        <w:instrText xml:space="preserve"> PAGEREF _Toc369091881 \h </w:instrText>
      </w:r>
      <w:r>
        <w:rPr>
          <w:noProof/>
        </w:rPr>
      </w:r>
      <w:r>
        <w:rPr>
          <w:noProof/>
        </w:rPr>
        <w:fldChar w:fldCharType="separate"/>
      </w:r>
      <w:r>
        <w:rPr>
          <w:noProof/>
        </w:rPr>
        <w:t>76</w:t>
      </w:r>
      <w:r>
        <w:rPr>
          <w:noProof/>
        </w:rPr>
        <w:fldChar w:fldCharType="end"/>
      </w:r>
    </w:p>
    <w:p w:rsidR="009D46E6" w:rsidRDefault="009D46E6">
      <w:pPr>
        <w:pStyle w:val="TOC3"/>
        <w:rPr>
          <w:rFonts w:ascii="Calibri" w:hAnsi="Calibri" w:cs="Times New Roman"/>
          <w:noProof/>
          <w:sz w:val="22"/>
          <w:szCs w:val="22"/>
          <w:lang w:eastAsia="cs-CZ"/>
        </w:rPr>
      </w:pPr>
      <w:r>
        <w:rPr>
          <w:noProof/>
        </w:rPr>
        <w:t>Studenti a absolventi vysokoškolského studia</w:t>
      </w:r>
      <w:r>
        <w:rPr>
          <w:noProof/>
        </w:rPr>
        <w:tab/>
      </w:r>
      <w:r>
        <w:rPr>
          <w:noProof/>
        </w:rPr>
        <w:fldChar w:fldCharType="begin"/>
      </w:r>
      <w:r>
        <w:rPr>
          <w:noProof/>
        </w:rPr>
        <w:instrText xml:space="preserve"> PAGEREF _Toc369091882 \h </w:instrText>
      </w:r>
      <w:r>
        <w:rPr>
          <w:noProof/>
        </w:rPr>
      </w:r>
      <w:r>
        <w:rPr>
          <w:noProof/>
        </w:rPr>
        <w:fldChar w:fldCharType="separate"/>
      </w:r>
      <w:r>
        <w:rPr>
          <w:noProof/>
        </w:rPr>
        <w:t>78</w:t>
      </w:r>
      <w:r>
        <w:rPr>
          <w:noProof/>
        </w:rPr>
        <w:fldChar w:fldCharType="end"/>
      </w:r>
    </w:p>
    <w:p w:rsidR="009D46E6" w:rsidRDefault="009D46E6">
      <w:pPr>
        <w:pStyle w:val="TOC3"/>
        <w:rPr>
          <w:rFonts w:ascii="Calibri" w:hAnsi="Calibri" w:cs="Times New Roman"/>
          <w:noProof/>
          <w:sz w:val="22"/>
          <w:szCs w:val="22"/>
          <w:lang w:eastAsia="cs-CZ"/>
        </w:rPr>
      </w:pPr>
      <w:r>
        <w:rPr>
          <w:noProof/>
        </w:rPr>
        <w:t>Studenti a absolventi vysokoškolského studia v oborech přírodních a technických věd</w:t>
      </w:r>
      <w:r>
        <w:rPr>
          <w:noProof/>
        </w:rPr>
        <w:tab/>
      </w:r>
      <w:r>
        <w:rPr>
          <w:noProof/>
        </w:rPr>
        <w:fldChar w:fldCharType="begin"/>
      </w:r>
      <w:r>
        <w:rPr>
          <w:noProof/>
        </w:rPr>
        <w:instrText xml:space="preserve"> PAGEREF _Toc369091883 \h </w:instrText>
      </w:r>
      <w:r>
        <w:rPr>
          <w:noProof/>
        </w:rPr>
      </w:r>
      <w:r>
        <w:rPr>
          <w:noProof/>
        </w:rPr>
        <w:fldChar w:fldCharType="separate"/>
      </w:r>
      <w:r>
        <w:rPr>
          <w:noProof/>
        </w:rPr>
        <w:t>81</w:t>
      </w:r>
      <w:r>
        <w:rPr>
          <w:noProof/>
        </w:rPr>
        <w:fldChar w:fldCharType="end"/>
      </w:r>
    </w:p>
    <w:p w:rsidR="009D46E6" w:rsidRDefault="009D46E6">
      <w:pPr>
        <w:pStyle w:val="TOC1"/>
        <w:rPr>
          <w:rFonts w:ascii="Calibri" w:hAnsi="Calibri" w:cs="Times New Roman"/>
          <w:noProof/>
          <w:sz w:val="22"/>
          <w:szCs w:val="22"/>
          <w:lang w:eastAsia="cs-CZ"/>
        </w:rPr>
      </w:pPr>
      <w:r>
        <w:rPr>
          <w:noProof/>
        </w:rPr>
        <w:t>C</w:t>
      </w:r>
      <w:r>
        <w:rPr>
          <w:rFonts w:ascii="Calibri" w:hAnsi="Calibri" w:cs="Times New Roman"/>
          <w:noProof/>
          <w:sz w:val="22"/>
          <w:szCs w:val="22"/>
          <w:lang w:eastAsia="cs-CZ"/>
        </w:rPr>
        <w:tab/>
      </w:r>
      <w:r>
        <w:rPr>
          <w:noProof/>
        </w:rPr>
        <w:t>Výsledky výzkumu a vývoje</w:t>
      </w:r>
      <w:r>
        <w:rPr>
          <w:noProof/>
        </w:rPr>
        <w:tab/>
      </w:r>
      <w:r>
        <w:rPr>
          <w:noProof/>
        </w:rPr>
        <w:fldChar w:fldCharType="begin"/>
      </w:r>
      <w:r>
        <w:rPr>
          <w:noProof/>
        </w:rPr>
        <w:instrText xml:space="preserve"> PAGEREF _Toc369091884 \h </w:instrText>
      </w:r>
      <w:r>
        <w:rPr>
          <w:noProof/>
        </w:rPr>
      </w:r>
      <w:r>
        <w:rPr>
          <w:noProof/>
        </w:rPr>
        <w:fldChar w:fldCharType="separate"/>
      </w:r>
      <w:r>
        <w:rPr>
          <w:noProof/>
        </w:rPr>
        <w:t>84</w:t>
      </w:r>
      <w:r>
        <w:rPr>
          <w:noProof/>
        </w:rPr>
        <w:fldChar w:fldCharType="end"/>
      </w:r>
    </w:p>
    <w:p w:rsidR="009D46E6" w:rsidRDefault="009D46E6">
      <w:pPr>
        <w:pStyle w:val="TOC2"/>
        <w:rPr>
          <w:rFonts w:ascii="Calibri" w:hAnsi="Calibri" w:cs="Times New Roman"/>
          <w:noProof/>
          <w:sz w:val="22"/>
          <w:szCs w:val="22"/>
          <w:lang w:eastAsia="cs-CZ"/>
        </w:rPr>
      </w:pPr>
      <w:r>
        <w:rPr>
          <w:noProof/>
        </w:rPr>
        <w:t>C.1</w:t>
      </w:r>
      <w:r>
        <w:rPr>
          <w:rFonts w:ascii="Calibri" w:hAnsi="Calibri" w:cs="Times New Roman"/>
          <w:noProof/>
          <w:sz w:val="22"/>
          <w:szCs w:val="22"/>
          <w:lang w:eastAsia="cs-CZ"/>
        </w:rPr>
        <w:tab/>
      </w:r>
      <w:r>
        <w:rPr>
          <w:noProof/>
        </w:rPr>
        <w:t>Výsledky evidované v Rejstříku informací o výsledcích IS VaVaI</w:t>
      </w:r>
      <w:r>
        <w:rPr>
          <w:noProof/>
        </w:rPr>
        <w:tab/>
      </w:r>
      <w:r>
        <w:rPr>
          <w:noProof/>
        </w:rPr>
        <w:fldChar w:fldCharType="begin"/>
      </w:r>
      <w:r>
        <w:rPr>
          <w:noProof/>
        </w:rPr>
        <w:instrText xml:space="preserve"> PAGEREF _Toc369091885 \h </w:instrText>
      </w:r>
      <w:r>
        <w:rPr>
          <w:noProof/>
        </w:rPr>
      </w:r>
      <w:r>
        <w:rPr>
          <w:noProof/>
        </w:rPr>
        <w:fldChar w:fldCharType="separate"/>
      </w:r>
      <w:r>
        <w:rPr>
          <w:noProof/>
        </w:rPr>
        <w:t>86</w:t>
      </w:r>
      <w:r>
        <w:rPr>
          <w:noProof/>
        </w:rPr>
        <w:fldChar w:fldCharType="end"/>
      </w:r>
    </w:p>
    <w:p w:rsidR="009D46E6" w:rsidRDefault="009D46E6">
      <w:pPr>
        <w:pStyle w:val="TOC3"/>
        <w:rPr>
          <w:rFonts w:ascii="Calibri" w:hAnsi="Calibri" w:cs="Times New Roman"/>
          <w:noProof/>
          <w:sz w:val="22"/>
          <w:szCs w:val="22"/>
          <w:lang w:eastAsia="cs-CZ"/>
        </w:rPr>
      </w:pPr>
      <w:r>
        <w:rPr>
          <w:noProof/>
        </w:rPr>
        <w:t>Oborová struktura výsledků evidovaných v Rejstříku informací o výsledcích IS VaVaI</w:t>
      </w:r>
      <w:r>
        <w:rPr>
          <w:noProof/>
        </w:rPr>
        <w:tab/>
      </w:r>
      <w:r>
        <w:rPr>
          <w:noProof/>
        </w:rPr>
        <w:fldChar w:fldCharType="begin"/>
      </w:r>
      <w:r>
        <w:rPr>
          <w:noProof/>
        </w:rPr>
        <w:instrText xml:space="preserve"> PAGEREF _Toc369091886 \h </w:instrText>
      </w:r>
      <w:r>
        <w:rPr>
          <w:noProof/>
        </w:rPr>
      </w:r>
      <w:r>
        <w:rPr>
          <w:noProof/>
        </w:rPr>
        <w:fldChar w:fldCharType="separate"/>
      </w:r>
      <w:r>
        <w:rPr>
          <w:noProof/>
        </w:rPr>
        <w:t>87</w:t>
      </w:r>
      <w:r>
        <w:rPr>
          <w:noProof/>
        </w:rPr>
        <w:fldChar w:fldCharType="end"/>
      </w:r>
    </w:p>
    <w:p w:rsidR="009D46E6" w:rsidRDefault="009D46E6">
      <w:pPr>
        <w:pStyle w:val="TOC3"/>
        <w:rPr>
          <w:rFonts w:ascii="Calibri" w:hAnsi="Calibri" w:cs="Times New Roman"/>
          <w:noProof/>
          <w:sz w:val="22"/>
          <w:szCs w:val="22"/>
          <w:lang w:eastAsia="cs-CZ"/>
        </w:rPr>
      </w:pPr>
      <w:r>
        <w:rPr>
          <w:noProof/>
        </w:rPr>
        <w:t>Institucionální struktura výsledků evidovaných v Rejstříku informací o výsledcích IS VaVaI</w:t>
      </w:r>
      <w:r>
        <w:rPr>
          <w:noProof/>
        </w:rPr>
        <w:tab/>
      </w:r>
      <w:r>
        <w:rPr>
          <w:noProof/>
        </w:rPr>
        <w:fldChar w:fldCharType="begin"/>
      </w:r>
      <w:r>
        <w:rPr>
          <w:noProof/>
        </w:rPr>
        <w:instrText xml:space="preserve"> PAGEREF _Toc369091887 \h </w:instrText>
      </w:r>
      <w:r>
        <w:rPr>
          <w:noProof/>
        </w:rPr>
      </w:r>
      <w:r>
        <w:rPr>
          <w:noProof/>
        </w:rPr>
        <w:fldChar w:fldCharType="separate"/>
      </w:r>
      <w:r>
        <w:rPr>
          <w:noProof/>
        </w:rPr>
        <w:t>89</w:t>
      </w:r>
      <w:r>
        <w:rPr>
          <w:noProof/>
        </w:rPr>
        <w:fldChar w:fldCharType="end"/>
      </w:r>
    </w:p>
    <w:p w:rsidR="009D46E6" w:rsidRDefault="009D46E6">
      <w:pPr>
        <w:pStyle w:val="TOC3"/>
        <w:rPr>
          <w:rFonts w:ascii="Calibri" w:hAnsi="Calibri" w:cs="Times New Roman"/>
          <w:noProof/>
          <w:sz w:val="22"/>
          <w:szCs w:val="22"/>
          <w:lang w:eastAsia="cs-CZ"/>
        </w:rPr>
      </w:pPr>
      <w:r>
        <w:rPr>
          <w:noProof/>
        </w:rPr>
        <w:t>Rozdělení výsledků evidovaných v Rejstříku informací o výsledcích IS VaVaI podle poskytovatelů</w:t>
      </w:r>
      <w:r>
        <w:rPr>
          <w:noProof/>
        </w:rPr>
        <w:tab/>
      </w:r>
      <w:r>
        <w:rPr>
          <w:noProof/>
        </w:rPr>
        <w:fldChar w:fldCharType="begin"/>
      </w:r>
      <w:r>
        <w:rPr>
          <w:noProof/>
        </w:rPr>
        <w:instrText xml:space="preserve"> PAGEREF _Toc369091888 \h </w:instrText>
      </w:r>
      <w:r>
        <w:rPr>
          <w:noProof/>
        </w:rPr>
      </w:r>
      <w:r>
        <w:rPr>
          <w:noProof/>
        </w:rPr>
        <w:fldChar w:fldCharType="separate"/>
      </w:r>
      <w:r>
        <w:rPr>
          <w:noProof/>
        </w:rPr>
        <w:t>93</w:t>
      </w:r>
      <w:r>
        <w:rPr>
          <w:noProof/>
        </w:rPr>
        <w:fldChar w:fldCharType="end"/>
      </w:r>
    </w:p>
    <w:p w:rsidR="009D46E6" w:rsidRDefault="009D46E6">
      <w:pPr>
        <w:pStyle w:val="TOC2"/>
        <w:rPr>
          <w:rFonts w:ascii="Calibri" w:hAnsi="Calibri" w:cs="Times New Roman"/>
          <w:noProof/>
          <w:sz w:val="22"/>
          <w:szCs w:val="22"/>
          <w:lang w:eastAsia="cs-CZ"/>
        </w:rPr>
      </w:pPr>
      <w:r>
        <w:rPr>
          <w:noProof/>
        </w:rPr>
        <w:t>C.2</w:t>
      </w:r>
      <w:r>
        <w:rPr>
          <w:rFonts w:ascii="Calibri" w:hAnsi="Calibri" w:cs="Times New Roman"/>
          <w:noProof/>
          <w:sz w:val="22"/>
          <w:szCs w:val="22"/>
          <w:lang w:eastAsia="cs-CZ"/>
        </w:rPr>
        <w:tab/>
      </w:r>
      <w:r>
        <w:rPr>
          <w:noProof/>
        </w:rPr>
        <w:t>Bibliometrické výsledky</w:t>
      </w:r>
      <w:r>
        <w:rPr>
          <w:noProof/>
        </w:rPr>
        <w:tab/>
      </w:r>
      <w:r>
        <w:rPr>
          <w:noProof/>
        </w:rPr>
        <w:fldChar w:fldCharType="begin"/>
      </w:r>
      <w:r>
        <w:rPr>
          <w:noProof/>
        </w:rPr>
        <w:instrText xml:space="preserve"> PAGEREF _Toc369091889 \h </w:instrText>
      </w:r>
      <w:r>
        <w:rPr>
          <w:noProof/>
        </w:rPr>
      </w:r>
      <w:r>
        <w:rPr>
          <w:noProof/>
        </w:rPr>
        <w:fldChar w:fldCharType="separate"/>
      </w:r>
      <w:r>
        <w:rPr>
          <w:noProof/>
        </w:rPr>
        <w:t>95</w:t>
      </w:r>
      <w:r>
        <w:rPr>
          <w:noProof/>
        </w:rPr>
        <w:fldChar w:fldCharType="end"/>
      </w:r>
    </w:p>
    <w:p w:rsidR="009D46E6" w:rsidRDefault="009D46E6">
      <w:pPr>
        <w:pStyle w:val="TOC3"/>
        <w:rPr>
          <w:rFonts w:ascii="Calibri" w:hAnsi="Calibri" w:cs="Times New Roman"/>
          <w:noProof/>
          <w:sz w:val="22"/>
          <w:szCs w:val="22"/>
          <w:lang w:eastAsia="cs-CZ"/>
        </w:rPr>
      </w:pPr>
      <w:r>
        <w:rPr>
          <w:noProof/>
        </w:rPr>
        <w:t>Mezinárodní srovnání České republiky</w:t>
      </w:r>
      <w:r>
        <w:rPr>
          <w:noProof/>
        </w:rPr>
        <w:tab/>
      </w:r>
      <w:r>
        <w:rPr>
          <w:noProof/>
        </w:rPr>
        <w:fldChar w:fldCharType="begin"/>
      </w:r>
      <w:r>
        <w:rPr>
          <w:noProof/>
        </w:rPr>
        <w:instrText xml:space="preserve"> PAGEREF _Toc369091890 \h </w:instrText>
      </w:r>
      <w:r>
        <w:rPr>
          <w:noProof/>
        </w:rPr>
      </w:r>
      <w:r>
        <w:rPr>
          <w:noProof/>
        </w:rPr>
        <w:fldChar w:fldCharType="separate"/>
      </w:r>
      <w:r>
        <w:rPr>
          <w:noProof/>
        </w:rPr>
        <w:t>95</w:t>
      </w:r>
      <w:r>
        <w:rPr>
          <w:noProof/>
        </w:rPr>
        <w:fldChar w:fldCharType="end"/>
      </w:r>
    </w:p>
    <w:p w:rsidR="009D46E6" w:rsidRDefault="009D46E6">
      <w:pPr>
        <w:pStyle w:val="TOC3"/>
        <w:rPr>
          <w:rFonts w:ascii="Calibri" w:hAnsi="Calibri" w:cs="Times New Roman"/>
          <w:noProof/>
          <w:sz w:val="22"/>
          <w:szCs w:val="22"/>
          <w:lang w:eastAsia="cs-CZ"/>
        </w:rPr>
      </w:pPr>
      <w:r>
        <w:rPr>
          <w:noProof/>
        </w:rPr>
        <w:t>Podíl ČR na světové produkci publikačních výstupů</w:t>
      </w:r>
      <w:r>
        <w:rPr>
          <w:noProof/>
        </w:rPr>
        <w:tab/>
      </w:r>
      <w:r>
        <w:rPr>
          <w:noProof/>
        </w:rPr>
        <w:fldChar w:fldCharType="begin"/>
      </w:r>
      <w:r>
        <w:rPr>
          <w:noProof/>
        </w:rPr>
        <w:instrText xml:space="preserve"> PAGEREF _Toc369091891 \h </w:instrText>
      </w:r>
      <w:r>
        <w:rPr>
          <w:noProof/>
        </w:rPr>
      </w:r>
      <w:r>
        <w:rPr>
          <w:noProof/>
        </w:rPr>
        <w:fldChar w:fldCharType="separate"/>
      </w:r>
      <w:r>
        <w:rPr>
          <w:noProof/>
        </w:rPr>
        <w:t>98</w:t>
      </w:r>
      <w:r>
        <w:rPr>
          <w:noProof/>
        </w:rPr>
        <w:fldChar w:fldCharType="end"/>
      </w:r>
    </w:p>
    <w:p w:rsidR="009D46E6" w:rsidRDefault="009D46E6">
      <w:pPr>
        <w:pStyle w:val="TOC3"/>
        <w:rPr>
          <w:rFonts w:ascii="Calibri" w:hAnsi="Calibri" w:cs="Times New Roman"/>
          <w:noProof/>
          <w:sz w:val="22"/>
          <w:szCs w:val="22"/>
          <w:lang w:eastAsia="cs-CZ"/>
        </w:rPr>
      </w:pPr>
      <w:r>
        <w:rPr>
          <w:noProof/>
        </w:rPr>
        <w:t>Oborové relativní citační indexy (RCIO) pro Českou republiku</w:t>
      </w:r>
      <w:r>
        <w:rPr>
          <w:noProof/>
        </w:rPr>
        <w:tab/>
      </w:r>
      <w:r>
        <w:rPr>
          <w:noProof/>
        </w:rPr>
        <w:fldChar w:fldCharType="begin"/>
      </w:r>
      <w:r>
        <w:rPr>
          <w:noProof/>
        </w:rPr>
        <w:instrText xml:space="preserve"> PAGEREF _Toc369091892 \h </w:instrText>
      </w:r>
      <w:r>
        <w:rPr>
          <w:noProof/>
        </w:rPr>
      </w:r>
      <w:r>
        <w:rPr>
          <w:noProof/>
        </w:rPr>
        <w:fldChar w:fldCharType="separate"/>
      </w:r>
      <w:r>
        <w:rPr>
          <w:noProof/>
        </w:rPr>
        <w:t>100</w:t>
      </w:r>
      <w:r>
        <w:rPr>
          <w:noProof/>
        </w:rPr>
        <w:fldChar w:fldCharType="end"/>
      </w:r>
    </w:p>
    <w:p w:rsidR="009D46E6" w:rsidRDefault="009D46E6">
      <w:pPr>
        <w:pStyle w:val="TOC3"/>
        <w:rPr>
          <w:rFonts w:ascii="Calibri" w:hAnsi="Calibri" w:cs="Times New Roman"/>
          <w:noProof/>
          <w:sz w:val="22"/>
          <w:szCs w:val="22"/>
          <w:lang w:eastAsia="cs-CZ"/>
        </w:rPr>
      </w:pPr>
      <w:r>
        <w:rPr>
          <w:noProof/>
        </w:rPr>
        <w:t>Relativní citační indexy a publikační aktivita podle skupin tvůrců</w:t>
      </w:r>
      <w:r>
        <w:rPr>
          <w:noProof/>
        </w:rPr>
        <w:tab/>
      </w:r>
      <w:r>
        <w:rPr>
          <w:noProof/>
        </w:rPr>
        <w:fldChar w:fldCharType="begin"/>
      </w:r>
      <w:r>
        <w:rPr>
          <w:noProof/>
        </w:rPr>
        <w:instrText xml:space="preserve"> PAGEREF _Toc369091893 \h </w:instrText>
      </w:r>
      <w:r>
        <w:rPr>
          <w:noProof/>
        </w:rPr>
      </w:r>
      <w:r>
        <w:rPr>
          <w:noProof/>
        </w:rPr>
        <w:fldChar w:fldCharType="separate"/>
      </w:r>
      <w:r>
        <w:rPr>
          <w:noProof/>
        </w:rPr>
        <w:t>104</w:t>
      </w:r>
      <w:r>
        <w:rPr>
          <w:noProof/>
        </w:rPr>
        <w:fldChar w:fldCharType="end"/>
      </w:r>
    </w:p>
    <w:p w:rsidR="009D46E6" w:rsidRDefault="009D46E6">
      <w:pPr>
        <w:pStyle w:val="TOC2"/>
        <w:rPr>
          <w:rFonts w:ascii="Calibri" w:hAnsi="Calibri" w:cs="Times New Roman"/>
          <w:noProof/>
          <w:sz w:val="22"/>
          <w:szCs w:val="22"/>
          <w:lang w:eastAsia="cs-CZ"/>
        </w:rPr>
      </w:pPr>
      <w:r>
        <w:rPr>
          <w:noProof/>
        </w:rPr>
        <w:t>C.3</w:t>
      </w:r>
      <w:r>
        <w:rPr>
          <w:rFonts w:ascii="Calibri" w:hAnsi="Calibri" w:cs="Times New Roman"/>
          <w:noProof/>
          <w:sz w:val="22"/>
          <w:szCs w:val="22"/>
          <w:lang w:eastAsia="cs-CZ"/>
        </w:rPr>
        <w:tab/>
      </w:r>
      <w:r>
        <w:rPr>
          <w:noProof/>
        </w:rPr>
        <w:t>Patenty, užitné vzory a jejich licencování</w:t>
      </w:r>
      <w:r>
        <w:rPr>
          <w:noProof/>
        </w:rPr>
        <w:tab/>
      </w:r>
      <w:r>
        <w:rPr>
          <w:noProof/>
        </w:rPr>
        <w:fldChar w:fldCharType="begin"/>
      </w:r>
      <w:r>
        <w:rPr>
          <w:noProof/>
        </w:rPr>
        <w:instrText xml:space="preserve"> PAGEREF _Toc369091894 \h </w:instrText>
      </w:r>
      <w:r>
        <w:rPr>
          <w:noProof/>
        </w:rPr>
      </w:r>
      <w:r>
        <w:rPr>
          <w:noProof/>
        </w:rPr>
        <w:fldChar w:fldCharType="separate"/>
      </w:r>
      <w:r>
        <w:rPr>
          <w:noProof/>
        </w:rPr>
        <w:t>105</w:t>
      </w:r>
      <w:r>
        <w:rPr>
          <w:noProof/>
        </w:rPr>
        <w:fldChar w:fldCharType="end"/>
      </w:r>
    </w:p>
    <w:p w:rsidR="009D46E6" w:rsidRDefault="009D46E6">
      <w:pPr>
        <w:pStyle w:val="TOC3"/>
        <w:rPr>
          <w:rFonts w:ascii="Calibri" w:hAnsi="Calibri" w:cs="Times New Roman"/>
          <w:noProof/>
          <w:sz w:val="22"/>
          <w:szCs w:val="22"/>
          <w:lang w:eastAsia="cs-CZ"/>
        </w:rPr>
      </w:pPr>
      <w:r>
        <w:rPr>
          <w:noProof/>
        </w:rPr>
        <w:t>Patentová aktivita tuzemských subjektů v ČR</w:t>
      </w:r>
      <w:r>
        <w:rPr>
          <w:noProof/>
        </w:rPr>
        <w:tab/>
      </w:r>
      <w:r>
        <w:rPr>
          <w:noProof/>
        </w:rPr>
        <w:fldChar w:fldCharType="begin"/>
      </w:r>
      <w:r>
        <w:rPr>
          <w:noProof/>
        </w:rPr>
        <w:instrText xml:space="preserve"> PAGEREF _Toc369091895 \h </w:instrText>
      </w:r>
      <w:r>
        <w:rPr>
          <w:noProof/>
        </w:rPr>
      </w:r>
      <w:r>
        <w:rPr>
          <w:noProof/>
        </w:rPr>
        <w:fldChar w:fldCharType="separate"/>
      </w:r>
      <w:r>
        <w:rPr>
          <w:noProof/>
        </w:rPr>
        <w:t>105</w:t>
      </w:r>
      <w:r>
        <w:rPr>
          <w:noProof/>
        </w:rPr>
        <w:fldChar w:fldCharType="end"/>
      </w:r>
    </w:p>
    <w:p w:rsidR="009D46E6" w:rsidRDefault="009D46E6">
      <w:pPr>
        <w:pStyle w:val="TOC3"/>
        <w:rPr>
          <w:rFonts w:ascii="Calibri" w:hAnsi="Calibri" w:cs="Times New Roman"/>
          <w:noProof/>
          <w:sz w:val="22"/>
          <w:szCs w:val="22"/>
          <w:lang w:eastAsia="cs-CZ"/>
        </w:rPr>
      </w:pPr>
      <w:r>
        <w:rPr>
          <w:noProof/>
        </w:rPr>
        <w:t>Patentová aktivita zahraničních subjektů v ČR</w:t>
      </w:r>
      <w:r>
        <w:rPr>
          <w:noProof/>
        </w:rPr>
        <w:tab/>
      </w:r>
      <w:r>
        <w:rPr>
          <w:noProof/>
        </w:rPr>
        <w:fldChar w:fldCharType="begin"/>
      </w:r>
      <w:r>
        <w:rPr>
          <w:noProof/>
        </w:rPr>
        <w:instrText xml:space="preserve"> PAGEREF _Toc369091896 \h </w:instrText>
      </w:r>
      <w:r>
        <w:rPr>
          <w:noProof/>
        </w:rPr>
      </w:r>
      <w:r>
        <w:rPr>
          <w:noProof/>
        </w:rPr>
        <w:fldChar w:fldCharType="separate"/>
      </w:r>
      <w:r>
        <w:rPr>
          <w:noProof/>
        </w:rPr>
        <w:t>111</w:t>
      </w:r>
      <w:r>
        <w:rPr>
          <w:noProof/>
        </w:rPr>
        <w:fldChar w:fldCharType="end"/>
      </w:r>
    </w:p>
    <w:p w:rsidR="009D46E6" w:rsidRDefault="009D46E6">
      <w:pPr>
        <w:pStyle w:val="TOC3"/>
        <w:rPr>
          <w:rFonts w:ascii="Calibri" w:hAnsi="Calibri" w:cs="Times New Roman"/>
          <w:noProof/>
          <w:sz w:val="22"/>
          <w:szCs w:val="22"/>
          <w:lang w:eastAsia="cs-CZ"/>
        </w:rPr>
      </w:pPr>
      <w:r>
        <w:rPr>
          <w:noProof/>
        </w:rPr>
        <w:t>Přihlašovatelé z ČR u mezinárodních patentových úřadů</w:t>
      </w:r>
      <w:r>
        <w:rPr>
          <w:noProof/>
        </w:rPr>
        <w:tab/>
      </w:r>
      <w:r>
        <w:rPr>
          <w:noProof/>
        </w:rPr>
        <w:fldChar w:fldCharType="begin"/>
      </w:r>
      <w:r>
        <w:rPr>
          <w:noProof/>
        </w:rPr>
        <w:instrText xml:space="preserve"> PAGEREF _Toc369091897 \h </w:instrText>
      </w:r>
      <w:r>
        <w:rPr>
          <w:noProof/>
        </w:rPr>
      </w:r>
      <w:r>
        <w:rPr>
          <w:noProof/>
        </w:rPr>
        <w:fldChar w:fldCharType="separate"/>
      </w:r>
      <w:r>
        <w:rPr>
          <w:noProof/>
        </w:rPr>
        <w:t>113</w:t>
      </w:r>
      <w:r>
        <w:rPr>
          <w:noProof/>
        </w:rPr>
        <w:fldChar w:fldCharType="end"/>
      </w:r>
    </w:p>
    <w:p w:rsidR="009D46E6" w:rsidRDefault="009D46E6">
      <w:pPr>
        <w:pStyle w:val="TOC3"/>
        <w:rPr>
          <w:rFonts w:ascii="Calibri" w:hAnsi="Calibri" w:cs="Times New Roman"/>
          <w:noProof/>
          <w:sz w:val="22"/>
          <w:szCs w:val="22"/>
          <w:lang w:eastAsia="cs-CZ"/>
        </w:rPr>
      </w:pPr>
      <w:r>
        <w:rPr>
          <w:noProof/>
        </w:rPr>
        <w:t>Příjmy z licenčních poplatků na patenty a užitné vzory</w:t>
      </w:r>
      <w:r>
        <w:rPr>
          <w:noProof/>
        </w:rPr>
        <w:tab/>
      </w:r>
      <w:r>
        <w:rPr>
          <w:noProof/>
        </w:rPr>
        <w:fldChar w:fldCharType="begin"/>
      </w:r>
      <w:r>
        <w:rPr>
          <w:noProof/>
        </w:rPr>
        <w:instrText xml:space="preserve"> PAGEREF _Toc369091898 \h </w:instrText>
      </w:r>
      <w:r>
        <w:rPr>
          <w:noProof/>
        </w:rPr>
      </w:r>
      <w:r>
        <w:rPr>
          <w:noProof/>
        </w:rPr>
        <w:fldChar w:fldCharType="separate"/>
      </w:r>
      <w:r>
        <w:rPr>
          <w:noProof/>
        </w:rPr>
        <w:t>115</w:t>
      </w:r>
      <w:r>
        <w:rPr>
          <w:noProof/>
        </w:rPr>
        <w:fldChar w:fldCharType="end"/>
      </w:r>
    </w:p>
    <w:p w:rsidR="009D46E6" w:rsidRDefault="009D46E6">
      <w:pPr>
        <w:pStyle w:val="TOC1"/>
        <w:rPr>
          <w:rFonts w:ascii="Calibri" w:hAnsi="Calibri" w:cs="Times New Roman"/>
          <w:noProof/>
          <w:sz w:val="22"/>
          <w:szCs w:val="22"/>
          <w:lang w:eastAsia="cs-CZ"/>
        </w:rPr>
      </w:pPr>
      <w:r>
        <w:rPr>
          <w:noProof/>
        </w:rPr>
        <w:t>D</w:t>
      </w:r>
      <w:r>
        <w:rPr>
          <w:rFonts w:ascii="Calibri" w:hAnsi="Calibri" w:cs="Times New Roman"/>
          <w:noProof/>
          <w:sz w:val="22"/>
          <w:szCs w:val="22"/>
          <w:lang w:eastAsia="cs-CZ"/>
        </w:rPr>
        <w:tab/>
      </w:r>
      <w:r>
        <w:rPr>
          <w:noProof/>
        </w:rPr>
        <w:t>Inovace a high-tech odvětví</w:t>
      </w:r>
      <w:r>
        <w:rPr>
          <w:noProof/>
        </w:rPr>
        <w:tab/>
      </w:r>
      <w:r>
        <w:rPr>
          <w:noProof/>
        </w:rPr>
        <w:fldChar w:fldCharType="begin"/>
      </w:r>
      <w:r>
        <w:rPr>
          <w:noProof/>
        </w:rPr>
        <w:instrText xml:space="preserve"> PAGEREF _Toc369091899 \h </w:instrText>
      </w:r>
      <w:r>
        <w:rPr>
          <w:noProof/>
        </w:rPr>
      </w:r>
      <w:r>
        <w:rPr>
          <w:noProof/>
        </w:rPr>
        <w:fldChar w:fldCharType="separate"/>
      </w:r>
      <w:r>
        <w:rPr>
          <w:noProof/>
        </w:rPr>
        <w:t>119</w:t>
      </w:r>
      <w:r>
        <w:rPr>
          <w:noProof/>
        </w:rPr>
        <w:fldChar w:fldCharType="end"/>
      </w:r>
    </w:p>
    <w:p w:rsidR="009D46E6" w:rsidRDefault="009D46E6">
      <w:pPr>
        <w:pStyle w:val="TOC2"/>
        <w:rPr>
          <w:rFonts w:ascii="Calibri" w:hAnsi="Calibri" w:cs="Times New Roman"/>
          <w:noProof/>
          <w:sz w:val="22"/>
          <w:szCs w:val="22"/>
          <w:lang w:eastAsia="cs-CZ"/>
        </w:rPr>
      </w:pPr>
      <w:r>
        <w:rPr>
          <w:noProof/>
        </w:rPr>
        <w:t>D.1</w:t>
      </w:r>
      <w:r>
        <w:rPr>
          <w:rFonts w:ascii="Calibri" w:hAnsi="Calibri" w:cs="Times New Roman"/>
          <w:noProof/>
          <w:sz w:val="22"/>
          <w:szCs w:val="22"/>
          <w:lang w:eastAsia="cs-CZ"/>
        </w:rPr>
        <w:tab/>
      </w:r>
      <w:r>
        <w:rPr>
          <w:noProof/>
        </w:rPr>
        <w:t>Inovační výkonnost</w:t>
      </w:r>
      <w:r>
        <w:rPr>
          <w:noProof/>
        </w:rPr>
        <w:tab/>
      </w:r>
      <w:r>
        <w:rPr>
          <w:noProof/>
        </w:rPr>
        <w:fldChar w:fldCharType="begin"/>
      </w:r>
      <w:r>
        <w:rPr>
          <w:noProof/>
        </w:rPr>
        <w:instrText xml:space="preserve"> PAGEREF _Toc369091900 \h </w:instrText>
      </w:r>
      <w:r>
        <w:rPr>
          <w:noProof/>
        </w:rPr>
      </w:r>
      <w:r>
        <w:rPr>
          <w:noProof/>
        </w:rPr>
        <w:fldChar w:fldCharType="separate"/>
      </w:r>
      <w:r>
        <w:rPr>
          <w:noProof/>
        </w:rPr>
        <w:t>119</w:t>
      </w:r>
      <w:r>
        <w:rPr>
          <w:noProof/>
        </w:rPr>
        <w:fldChar w:fldCharType="end"/>
      </w:r>
    </w:p>
    <w:p w:rsidR="009D46E6" w:rsidRDefault="009D46E6">
      <w:pPr>
        <w:pStyle w:val="TOC2"/>
        <w:rPr>
          <w:rFonts w:ascii="Calibri" w:hAnsi="Calibri" w:cs="Times New Roman"/>
          <w:noProof/>
          <w:sz w:val="22"/>
          <w:szCs w:val="22"/>
          <w:lang w:eastAsia="cs-CZ"/>
        </w:rPr>
      </w:pPr>
      <w:r>
        <w:rPr>
          <w:noProof/>
        </w:rPr>
        <w:t>D.2</w:t>
      </w:r>
      <w:r>
        <w:rPr>
          <w:rFonts w:ascii="Calibri" w:hAnsi="Calibri" w:cs="Times New Roman"/>
          <w:noProof/>
          <w:sz w:val="22"/>
          <w:szCs w:val="22"/>
          <w:lang w:eastAsia="cs-CZ"/>
        </w:rPr>
        <w:tab/>
      </w:r>
      <w:r>
        <w:rPr>
          <w:noProof/>
        </w:rPr>
        <w:t>Inovační aktivity podniků</w:t>
      </w:r>
      <w:r>
        <w:rPr>
          <w:noProof/>
        </w:rPr>
        <w:tab/>
      </w:r>
      <w:r>
        <w:rPr>
          <w:noProof/>
        </w:rPr>
        <w:fldChar w:fldCharType="begin"/>
      </w:r>
      <w:r>
        <w:rPr>
          <w:noProof/>
        </w:rPr>
        <w:instrText xml:space="preserve"> PAGEREF _Toc369091901 \h </w:instrText>
      </w:r>
      <w:r>
        <w:rPr>
          <w:noProof/>
        </w:rPr>
      </w:r>
      <w:r>
        <w:rPr>
          <w:noProof/>
        </w:rPr>
        <w:fldChar w:fldCharType="separate"/>
      </w:r>
      <w:r>
        <w:rPr>
          <w:noProof/>
        </w:rPr>
        <w:t>121</w:t>
      </w:r>
      <w:r>
        <w:rPr>
          <w:noProof/>
        </w:rPr>
        <w:fldChar w:fldCharType="end"/>
      </w:r>
    </w:p>
    <w:p w:rsidR="009D46E6" w:rsidRDefault="009D46E6">
      <w:pPr>
        <w:pStyle w:val="TOC2"/>
        <w:rPr>
          <w:rFonts w:ascii="Calibri" w:hAnsi="Calibri" w:cs="Times New Roman"/>
          <w:noProof/>
          <w:sz w:val="22"/>
          <w:szCs w:val="22"/>
          <w:lang w:eastAsia="cs-CZ"/>
        </w:rPr>
      </w:pPr>
      <w:r>
        <w:rPr>
          <w:noProof/>
        </w:rPr>
        <w:t>D.3</w:t>
      </w:r>
      <w:r>
        <w:rPr>
          <w:rFonts w:ascii="Calibri" w:hAnsi="Calibri" w:cs="Times New Roman"/>
          <w:noProof/>
          <w:sz w:val="22"/>
          <w:szCs w:val="22"/>
          <w:lang w:eastAsia="cs-CZ"/>
        </w:rPr>
        <w:tab/>
      </w:r>
      <w:r>
        <w:rPr>
          <w:noProof/>
        </w:rPr>
        <w:t>High-tech odvětví</w:t>
      </w:r>
      <w:r>
        <w:rPr>
          <w:noProof/>
        </w:rPr>
        <w:tab/>
      </w:r>
      <w:r>
        <w:rPr>
          <w:noProof/>
        </w:rPr>
        <w:fldChar w:fldCharType="begin"/>
      </w:r>
      <w:r>
        <w:rPr>
          <w:noProof/>
        </w:rPr>
        <w:instrText xml:space="preserve"> PAGEREF _Toc369091902 \h </w:instrText>
      </w:r>
      <w:r>
        <w:rPr>
          <w:noProof/>
        </w:rPr>
      </w:r>
      <w:r>
        <w:rPr>
          <w:noProof/>
        </w:rPr>
        <w:fldChar w:fldCharType="separate"/>
      </w:r>
      <w:r>
        <w:rPr>
          <w:noProof/>
        </w:rPr>
        <w:t>124</w:t>
      </w:r>
      <w:r>
        <w:rPr>
          <w:noProof/>
        </w:rPr>
        <w:fldChar w:fldCharType="end"/>
      </w:r>
    </w:p>
    <w:p w:rsidR="009D46E6" w:rsidRDefault="009D46E6">
      <w:pPr>
        <w:pStyle w:val="TOC1"/>
        <w:rPr>
          <w:rFonts w:ascii="Calibri" w:hAnsi="Calibri" w:cs="Times New Roman"/>
          <w:noProof/>
          <w:sz w:val="22"/>
          <w:szCs w:val="22"/>
          <w:lang w:eastAsia="cs-CZ"/>
        </w:rPr>
      </w:pPr>
      <w:r>
        <w:rPr>
          <w:noProof/>
        </w:rPr>
        <w:t>E</w:t>
      </w:r>
      <w:r>
        <w:rPr>
          <w:rFonts w:ascii="Calibri" w:hAnsi="Calibri" w:cs="Times New Roman"/>
          <w:noProof/>
          <w:sz w:val="22"/>
          <w:szCs w:val="22"/>
          <w:lang w:eastAsia="cs-CZ"/>
        </w:rPr>
        <w:tab/>
      </w:r>
      <w:r>
        <w:rPr>
          <w:noProof/>
        </w:rPr>
        <w:t>Mezinárodní spolupráce ve výzkumu a vývoji</w:t>
      </w:r>
      <w:r>
        <w:rPr>
          <w:noProof/>
        </w:rPr>
        <w:tab/>
      </w:r>
      <w:r>
        <w:rPr>
          <w:noProof/>
        </w:rPr>
        <w:fldChar w:fldCharType="begin"/>
      </w:r>
      <w:r>
        <w:rPr>
          <w:noProof/>
        </w:rPr>
        <w:instrText xml:space="preserve"> PAGEREF _Toc369091903 \h </w:instrText>
      </w:r>
      <w:r>
        <w:rPr>
          <w:noProof/>
        </w:rPr>
      </w:r>
      <w:r>
        <w:rPr>
          <w:noProof/>
        </w:rPr>
        <w:fldChar w:fldCharType="separate"/>
      </w:r>
      <w:r>
        <w:rPr>
          <w:noProof/>
        </w:rPr>
        <w:t>130</w:t>
      </w:r>
      <w:r>
        <w:rPr>
          <w:noProof/>
        </w:rPr>
        <w:fldChar w:fldCharType="end"/>
      </w:r>
    </w:p>
    <w:p w:rsidR="009D46E6" w:rsidRDefault="009D46E6">
      <w:pPr>
        <w:pStyle w:val="TOC2"/>
        <w:rPr>
          <w:rFonts w:ascii="Calibri" w:hAnsi="Calibri" w:cs="Times New Roman"/>
          <w:noProof/>
          <w:sz w:val="22"/>
          <w:szCs w:val="22"/>
          <w:lang w:eastAsia="cs-CZ"/>
        </w:rPr>
      </w:pPr>
      <w:r>
        <w:rPr>
          <w:noProof/>
        </w:rPr>
        <w:t>E.1</w:t>
      </w:r>
      <w:r>
        <w:rPr>
          <w:rFonts w:ascii="Calibri" w:hAnsi="Calibri" w:cs="Times New Roman"/>
          <w:noProof/>
          <w:sz w:val="22"/>
          <w:szCs w:val="22"/>
          <w:lang w:eastAsia="cs-CZ"/>
        </w:rPr>
        <w:tab/>
      </w:r>
      <w:r>
        <w:rPr>
          <w:noProof/>
        </w:rPr>
        <w:t>Rámcové programy na podporu výzkumu a vývoje</w:t>
      </w:r>
      <w:r>
        <w:rPr>
          <w:noProof/>
        </w:rPr>
        <w:tab/>
      </w:r>
      <w:r>
        <w:rPr>
          <w:noProof/>
        </w:rPr>
        <w:fldChar w:fldCharType="begin"/>
      </w:r>
      <w:r>
        <w:rPr>
          <w:noProof/>
        </w:rPr>
        <w:instrText xml:space="preserve"> PAGEREF _Toc369091904 \h </w:instrText>
      </w:r>
      <w:r>
        <w:rPr>
          <w:noProof/>
        </w:rPr>
      </w:r>
      <w:r>
        <w:rPr>
          <w:noProof/>
        </w:rPr>
        <w:fldChar w:fldCharType="separate"/>
      </w:r>
      <w:r>
        <w:rPr>
          <w:noProof/>
        </w:rPr>
        <w:t>130</w:t>
      </w:r>
      <w:r>
        <w:rPr>
          <w:noProof/>
        </w:rPr>
        <w:fldChar w:fldCharType="end"/>
      </w:r>
    </w:p>
    <w:p w:rsidR="009D46E6" w:rsidRDefault="009D46E6">
      <w:pPr>
        <w:pStyle w:val="TOC3"/>
        <w:rPr>
          <w:rFonts w:ascii="Calibri" w:hAnsi="Calibri" w:cs="Times New Roman"/>
          <w:noProof/>
          <w:sz w:val="22"/>
          <w:szCs w:val="22"/>
          <w:lang w:eastAsia="cs-CZ"/>
        </w:rPr>
      </w:pPr>
      <w:r>
        <w:rPr>
          <w:noProof/>
        </w:rPr>
        <w:t>Účast v projektech 7. RP a EURATOM</w:t>
      </w:r>
      <w:r>
        <w:rPr>
          <w:noProof/>
        </w:rPr>
        <w:tab/>
      </w:r>
      <w:r>
        <w:rPr>
          <w:noProof/>
        </w:rPr>
        <w:fldChar w:fldCharType="begin"/>
      </w:r>
      <w:r>
        <w:rPr>
          <w:noProof/>
        </w:rPr>
        <w:instrText xml:space="preserve"> PAGEREF _Toc369091905 \h </w:instrText>
      </w:r>
      <w:r>
        <w:rPr>
          <w:noProof/>
        </w:rPr>
      </w:r>
      <w:r>
        <w:rPr>
          <w:noProof/>
        </w:rPr>
        <w:fldChar w:fldCharType="separate"/>
      </w:r>
      <w:r>
        <w:rPr>
          <w:noProof/>
        </w:rPr>
        <w:t>131</w:t>
      </w:r>
      <w:r>
        <w:rPr>
          <w:noProof/>
        </w:rPr>
        <w:fldChar w:fldCharType="end"/>
      </w:r>
    </w:p>
    <w:p w:rsidR="009D46E6" w:rsidRDefault="009D46E6">
      <w:pPr>
        <w:pStyle w:val="TOC3"/>
        <w:rPr>
          <w:rFonts w:ascii="Calibri" w:hAnsi="Calibri" w:cs="Times New Roman"/>
          <w:noProof/>
          <w:sz w:val="22"/>
          <w:szCs w:val="22"/>
          <w:lang w:eastAsia="cs-CZ"/>
        </w:rPr>
      </w:pPr>
      <w:r>
        <w:rPr>
          <w:noProof/>
        </w:rPr>
        <w:t>Struktura účastníků 7. RP</w:t>
      </w:r>
      <w:r>
        <w:rPr>
          <w:noProof/>
        </w:rPr>
        <w:tab/>
      </w:r>
      <w:r>
        <w:rPr>
          <w:noProof/>
        </w:rPr>
        <w:fldChar w:fldCharType="begin"/>
      </w:r>
      <w:r>
        <w:rPr>
          <w:noProof/>
        </w:rPr>
        <w:instrText xml:space="preserve"> PAGEREF _Toc369091906 \h </w:instrText>
      </w:r>
      <w:r>
        <w:rPr>
          <w:noProof/>
        </w:rPr>
      </w:r>
      <w:r>
        <w:rPr>
          <w:noProof/>
        </w:rPr>
        <w:fldChar w:fldCharType="separate"/>
      </w:r>
      <w:r>
        <w:rPr>
          <w:noProof/>
        </w:rPr>
        <w:t>133</w:t>
      </w:r>
      <w:r>
        <w:rPr>
          <w:noProof/>
        </w:rPr>
        <w:fldChar w:fldCharType="end"/>
      </w:r>
    </w:p>
    <w:p w:rsidR="009D46E6" w:rsidRDefault="009D46E6">
      <w:pPr>
        <w:pStyle w:val="TOC3"/>
        <w:rPr>
          <w:rFonts w:ascii="Calibri" w:hAnsi="Calibri" w:cs="Times New Roman"/>
          <w:noProof/>
          <w:sz w:val="22"/>
          <w:szCs w:val="22"/>
          <w:lang w:eastAsia="cs-CZ"/>
        </w:rPr>
      </w:pPr>
      <w:r>
        <w:rPr>
          <w:noProof/>
        </w:rPr>
        <w:t>Priority 7. RP</w:t>
      </w:r>
      <w:r>
        <w:rPr>
          <w:noProof/>
        </w:rPr>
        <w:tab/>
      </w:r>
      <w:r>
        <w:rPr>
          <w:noProof/>
        </w:rPr>
        <w:fldChar w:fldCharType="begin"/>
      </w:r>
      <w:r>
        <w:rPr>
          <w:noProof/>
        </w:rPr>
        <w:instrText xml:space="preserve"> PAGEREF _Toc369091907 \h </w:instrText>
      </w:r>
      <w:r>
        <w:rPr>
          <w:noProof/>
        </w:rPr>
      </w:r>
      <w:r>
        <w:rPr>
          <w:noProof/>
        </w:rPr>
        <w:fldChar w:fldCharType="separate"/>
      </w:r>
      <w:r>
        <w:rPr>
          <w:noProof/>
        </w:rPr>
        <w:t>134</w:t>
      </w:r>
      <w:r>
        <w:rPr>
          <w:noProof/>
        </w:rPr>
        <w:fldChar w:fldCharType="end"/>
      </w:r>
    </w:p>
    <w:p w:rsidR="009D46E6" w:rsidRDefault="009D46E6">
      <w:pPr>
        <w:pStyle w:val="TOC3"/>
        <w:rPr>
          <w:rFonts w:ascii="Calibri" w:hAnsi="Calibri" w:cs="Times New Roman"/>
          <w:noProof/>
          <w:sz w:val="22"/>
          <w:szCs w:val="22"/>
          <w:lang w:eastAsia="cs-CZ"/>
        </w:rPr>
      </w:pPr>
      <w:r>
        <w:rPr>
          <w:noProof/>
        </w:rPr>
        <w:t>Nový rámcový program HORIZONT 2020</w:t>
      </w:r>
      <w:r>
        <w:rPr>
          <w:noProof/>
        </w:rPr>
        <w:tab/>
      </w:r>
      <w:r>
        <w:rPr>
          <w:noProof/>
        </w:rPr>
        <w:fldChar w:fldCharType="begin"/>
      </w:r>
      <w:r>
        <w:rPr>
          <w:noProof/>
        </w:rPr>
        <w:instrText xml:space="preserve"> PAGEREF _Toc369091908 \h </w:instrText>
      </w:r>
      <w:r>
        <w:rPr>
          <w:noProof/>
        </w:rPr>
      </w:r>
      <w:r>
        <w:rPr>
          <w:noProof/>
        </w:rPr>
        <w:fldChar w:fldCharType="separate"/>
      </w:r>
      <w:r>
        <w:rPr>
          <w:noProof/>
        </w:rPr>
        <w:t>136</w:t>
      </w:r>
      <w:r>
        <w:rPr>
          <w:noProof/>
        </w:rPr>
        <w:fldChar w:fldCharType="end"/>
      </w:r>
    </w:p>
    <w:p w:rsidR="009D46E6" w:rsidRDefault="009D46E6">
      <w:pPr>
        <w:pStyle w:val="TOC2"/>
        <w:rPr>
          <w:rFonts w:ascii="Calibri" w:hAnsi="Calibri" w:cs="Times New Roman"/>
          <w:noProof/>
          <w:sz w:val="22"/>
          <w:szCs w:val="22"/>
          <w:lang w:eastAsia="cs-CZ"/>
        </w:rPr>
      </w:pPr>
      <w:r>
        <w:rPr>
          <w:noProof/>
        </w:rPr>
        <w:t>E.2</w:t>
      </w:r>
      <w:r>
        <w:rPr>
          <w:rFonts w:ascii="Calibri" w:hAnsi="Calibri" w:cs="Times New Roman"/>
          <w:noProof/>
          <w:sz w:val="22"/>
          <w:szCs w:val="22"/>
          <w:lang w:eastAsia="cs-CZ"/>
        </w:rPr>
        <w:tab/>
      </w:r>
      <w:r>
        <w:rPr>
          <w:noProof/>
        </w:rPr>
        <w:t>Podpora mezinárodní spolupráce</w:t>
      </w:r>
      <w:r>
        <w:rPr>
          <w:noProof/>
        </w:rPr>
        <w:tab/>
      </w:r>
      <w:r>
        <w:rPr>
          <w:noProof/>
        </w:rPr>
        <w:fldChar w:fldCharType="begin"/>
      </w:r>
      <w:r>
        <w:rPr>
          <w:noProof/>
        </w:rPr>
        <w:instrText xml:space="preserve"> PAGEREF _Toc369091909 \h </w:instrText>
      </w:r>
      <w:r>
        <w:rPr>
          <w:noProof/>
        </w:rPr>
      </w:r>
      <w:r>
        <w:rPr>
          <w:noProof/>
        </w:rPr>
        <w:fldChar w:fldCharType="separate"/>
      </w:r>
      <w:r>
        <w:rPr>
          <w:noProof/>
        </w:rPr>
        <w:t>137</w:t>
      </w:r>
      <w:r>
        <w:rPr>
          <w:noProof/>
        </w:rPr>
        <w:fldChar w:fldCharType="end"/>
      </w:r>
    </w:p>
    <w:p w:rsidR="009D46E6" w:rsidRDefault="009D46E6">
      <w:pPr>
        <w:spacing w:before="200" w:after="200" w:line="276" w:lineRule="auto"/>
        <w:jc w:val="left"/>
        <w:rPr>
          <w:noProof/>
        </w:rPr>
      </w:pPr>
      <w:r>
        <w:rPr>
          <w:noProof/>
        </w:rPr>
        <w:br w:type="page"/>
      </w:r>
    </w:p>
    <w:p w:rsidR="009D46E6" w:rsidRDefault="009D46E6">
      <w:pPr>
        <w:pStyle w:val="TOC1"/>
        <w:rPr>
          <w:rFonts w:ascii="Calibri" w:hAnsi="Calibri" w:cs="Times New Roman"/>
          <w:noProof/>
          <w:sz w:val="22"/>
          <w:szCs w:val="22"/>
          <w:lang w:eastAsia="cs-CZ"/>
        </w:rPr>
      </w:pPr>
      <w:r>
        <w:rPr>
          <w:noProof/>
        </w:rPr>
        <w:t>F</w:t>
      </w:r>
      <w:r>
        <w:rPr>
          <w:rFonts w:ascii="Calibri" w:hAnsi="Calibri" w:cs="Times New Roman"/>
          <w:noProof/>
          <w:sz w:val="22"/>
          <w:szCs w:val="22"/>
          <w:lang w:eastAsia="cs-CZ"/>
        </w:rPr>
        <w:tab/>
      </w:r>
      <w:r>
        <w:rPr>
          <w:noProof/>
        </w:rPr>
        <w:t>Využití prostředků ze strukturálních fondů na VaVaI</w:t>
      </w:r>
      <w:r>
        <w:rPr>
          <w:noProof/>
        </w:rPr>
        <w:tab/>
      </w:r>
      <w:r>
        <w:rPr>
          <w:noProof/>
        </w:rPr>
        <w:fldChar w:fldCharType="begin"/>
      </w:r>
      <w:r>
        <w:rPr>
          <w:noProof/>
        </w:rPr>
        <w:instrText xml:space="preserve"> PAGEREF _Toc369091910 \h </w:instrText>
      </w:r>
      <w:r>
        <w:rPr>
          <w:noProof/>
        </w:rPr>
      </w:r>
      <w:r>
        <w:rPr>
          <w:noProof/>
        </w:rPr>
        <w:fldChar w:fldCharType="separate"/>
      </w:r>
      <w:r>
        <w:rPr>
          <w:noProof/>
        </w:rPr>
        <w:t>141</w:t>
      </w:r>
      <w:r>
        <w:rPr>
          <w:noProof/>
        </w:rPr>
        <w:fldChar w:fldCharType="end"/>
      </w:r>
    </w:p>
    <w:p w:rsidR="009D46E6" w:rsidRDefault="009D46E6">
      <w:pPr>
        <w:pStyle w:val="TOC2"/>
        <w:rPr>
          <w:rFonts w:ascii="Calibri" w:hAnsi="Calibri" w:cs="Times New Roman"/>
          <w:noProof/>
          <w:sz w:val="22"/>
          <w:szCs w:val="22"/>
          <w:lang w:eastAsia="cs-CZ"/>
        </w:rPr>
      </w:pPr>
      <w:r>
        <w:rPr>
          <w:noProof/>
        </w:rPr>
        <w:t>F.1</w:t>
      </w:r>
      <w:r>
        <w:rPr>
          <w:rFonts w:ascii="Calibri" w:hAnsi="Calibri" w:cs="Times New Roman"/>
          <w:noProof/>
          <w:sz w:val="22"/>
          <w:szCs w:val="22"/>
          <w:lang w:eastAsia="cs-CZ"/>
        </w:rPr>
        <w:tab/>
      </w:r>
      <w:r>
        <w:rPr>
          <w:noProof/>
        </w:rPr>
        <w:t>Financování výzkumu a vývoje ze zahraničních zdrojů</w:t>
      </w:r>
      <w:r>
        <w:rPr>
          <w:noProof/>
        </w:rPr>
        <w:tab/>
      </w:r>
      <w:r>
        <w:rPr>
          <w:noProof/>
        </w:rPr>
        <w:fldChar w:fldCharType="begin"/>
      </w:r>
      <w:r>
        <w:rPr>
          <w:noProof/>
        </w:rPr>
        <w:instrText xml:space="preserve"> PAGEREF _Toc369091911 \h </w:instrText>
      </w:r>
      <w:r>
        <w:rPr>
          <w:noProof/>
        </w:rPr>
      </w:r>
      <w:r>
        <w:rPr>
          <w:noProof/>
        </w:rPr>
        <w:fldChar w:fldCharType="separate"/>
      </w:r>
      <w:r>
        <w:rPr>
          <w:noProof/>
        </w:rPr>
        <w:t>141</w:t>
      </w:r>
      <w:r>
        <w:rPr>
          <w:noProof/>
        </w:rPr>
        <w:fldChar w:fldCharType="end"/>
      </w:r>
    </w:p>
    <w:p w:rsidR="009D46E6" w:rsidRDefault="009D46E6">
      <w:pPr>
        <w:pStyle w:val="TOC2"/>
        <w:rPr>
          <w:rFonts w:ascii="Calibri" w:hAnsi="Calibri" w:cs="Times New Roman"/>
          <w:noProof/>
          <w:sz w:val="22"/>
          <w:szCs w:val="22"/>
          <w:lang w:eastAsia="cs-CZ"/>
        </w:rPr>
      </w:pPr>
      <w:r>
        <w:rPr>
          <w:noProof/>
        </w:rPr>
        <w:t>F.2</w:t>
      </w:r>
      <w:r>
        <w:rPr>
          <w:rFonts w:ascii="Calibri" w:hAnsi="Calibri" w:cs="Times New Roman"/>
          <w:noProof/>
          <w:sz w:val="22"/>
          <w:szCs w:val="22"/>
          <w:lang w:eastAsia="cs-CZ"/>
        </w:rPr>
        <w:tab/>
      </w:r>
      <w:r>
        <w:rPr>
          <w:noProof/>
        </w:rPr>
        <w:t>Podpora VaVaI ze strukturálních fondů</w:t>
      </w:r>
      <w:r>
        <w:rPr>
          <w:noProof/>
        </w:rPr>
        <w:tab/>
      </w:r>
      <w:r>
        <w:rPr>
          <w:noProof/>
        </w:rPr>
        <w:fldChar w:fldCharType="begin"/>
      </w:r>
      <w:r>
        <w:rPr>
          <w:noProof/>
        </w:rPr>
        <w:instrText xml:space="preserve"> PAGEREF _Toc369091912 \h </w:instrText>
      </w:r>
      <w:r>
        <w:rPr>
          <w:noProof/>
        </w:rPr>
      </w:r>
      <w:r>
        <w:rPr>
          <w:noProof/>
        </w:rPr>
        <w:fldChar w:fldCharType="separate"/>
      </w:r>
      <w:r>
        <w:rPr>
          <w:noProof/>
        </w:rPr>
        <w:t>144</w:t>
      </w:r>
      <w:r>
        <w:rPr>
          <w:noProof/>
        </w:rPr>
        <w:fldChar w:fldCharType="end"/>
      </w:r>
    </w:p>
    <w:p w:rsidR="009D46E6" w:rsidRDefault="009D46E6">
      <w:pPr>
        <w:pStyle w:val="TOC2"/>
        <w:rPr>
          <w:rFonts w:ascii="Calibri" w:hAnsi="Calibri" w:cs="Times New Roman"/>
          <w:noProof/>
          <w:sz w:val="22"/>
          <w:szCs w:val="22"/>
          <w:lang w:eastAsia="cs-CZ"/>
        </w:rPr>
      </w:pPr>
      <w:r>
        <w:rPr>
          <w:noProof/>
        </w:rPr>
        <w:t>F.3</w:t>
      </w:r>
      <w:r>
        <w:rPr>
          <w:rFonts w:ascii="Calibri" w:hAnsi="Calibri" w:cs="Times New Roman"/>
          <w:noProof/>
          <w:sz w:val="22"/>
          <w:szCs w:val="22"/>
          <w:lang w:eastAsia="cs-CZ"/>
        </w:rPr>
        <w:tab/>
      </w:r>
      <w:r>
        <w:rPr>
          <w:noProof/>
        </w:rPr>
        <w:t>Financování, udržitelnost a zaměření VaV center OP VaVpI</w:t>
      </w:r>
      <w:r>
        <w:rPr>
          <w:noProof/>
        </w:rPr>
        <w:tab/>
      </w:r>
      <w:r>
        <w:rPr>
          <w:noProof/>
        </w:rPr>
        <w:fldChar w:fldCharType="begin"/>
      </w:r>
      <w:r>
        <w:rPr>
          <w:noProof/>
        </w:rPr>
        <w:instrText xml:space="preserve"> PAGEREF _Toc369091913 \h </w:instrText>
      </w:r>
      <w:r>
        <w:rPr>
          <w:noProof/>
        </w:rPr>
      </w:r>
      <w:r>
        <w:rPr>
          <w:noProof/>
        </w:rPr>
        <w:fldChar w:fldCharType="separate"/>
      </w:r>
      <w:r>
        <w:rPr>
          <w:noProof/>
        </w:rPr>
        <w:t>155</w:t>
      </w:r>
      <w:r>
        <w:rPr>
          <w:noProof/>
        </w:rPr>
        <w:fldChar w:fldCharType="end"/>
      </w:r>
    </w:p>
    <w:p w:rsidR="009D46E6" w:rsidRDefault="009D46E6">
      <w:pPr>
        <w:pStyle w:val="TOC1"/>
        <w:rPr>
          <w:rFonts w:ascii="Calibri" w:hAnsi="Calibri" w:cs="Times New Roman"/>
          <w:noProof/>
          <w:sz w:val="22"/>
          <w:szCs w:val="22"/>
          <w:lang w:eastAsia="cs-CZ"/>
        </w:rPr>
      </w:pPr>
      <w:r>
        <w:rPr>
          <w:noProof/>
        </w:rPr>
        <w:t>G</w:t>
      </w:r>
      <w:r>
        <w:rPr>
          <w:rFonts w:ascii="Calibri" w:hAnsi="Calibri" w:cs="Times New Roman"/>
          <w:noProof/>
          <w:sz w:val="22"/>
          <w:szCs w:val="22"/>
          <w:lang w:eastAsia="cs-CZ"/>
        </w:rPr>
        <w:tab/>
      </w:r>
      <w:r>
        <w:rPr>
          <w:noProof/>
        </w:rPr>
        <w:t>Přílohy</w:t>
      </w:r>
      <w:r>
        <w:rPr>
          <w:noProof/>
        </w:rPr>
        <w:tab/>
      </w:r>
      <w:r>
        <w:rPr>
          <w:noProof/>
        </w:rPr>
        <w:fldChar w:fldCharType="begin"/>
      </w:r>
      <w:r>
        <w:rPr>
          <w:noProof/>
        </w:rPr>
        <w:instrText xml:space="preserve"> PAGEREF _Toc369091914 \h </w:instrText>
      </w:r>
      <w:r>
        <w:rPr>
          <w:noProof/>
        </w:rPr>
      </w:r>
      <w:r>
        <w:rPr>
          <w:noProof/>
        </w:rPr>
        <w:fldChar w:fldCharType="separate"/>
      </w:r>
      <w:r>
        <w:rPr>
          <w:noProof/>
        </w:rPr>
        <w:t>158</w:t>
      </w:r>
      <w:r>
        <w:rPr>
          <w:noProof/>
        </w:rPr>
        <w:fldChar w:fldCharType="end"/>
      </w:r>
    </w:p>
    <w:p w:rsidR="009D46E6" w:rsidRDefault="009D46E6">
      <w:pPr>
        <w:pStyle w:val="TOC2"/>
        <w:rPr>
          <w:rFonts w:ascii="Calibri" w:hAnsi="Calibri" w:cs="Times New Roman"/>
          <w:noProof/>
          <w:sz w:val="22"/>
          <w:szCs w:val="22"/>
          <w:lang w:eastAsia="cs-CZ"/>
        </w:rPr>
      </w:pPr>
      <w:r>
        <w:rPr>
          <w:noProof/>
        </w:rPr>
        <w:t>G.1</w:t>
      </w:r>
      <w:r>
        <w:rPr>
          <w:rFonts w:ascii="Calibri" w:hAnsi="Calibri" w:cs="Times New Roman"/>
          <w:noProof/>
          <w:sz w:val="22"/>
          <w:szCs w:val="22"/>
          <w:lang w:eastAsia="cs-CZ"/>
        </w:rPr>
        <w:tab/>
      </w:r>
      <w:r>
        <w:rPr>
          <w:noProof/>
        </w:rPr>
        <w:t>Metodika šetření a definice ukazatelů</w:t>
      </w:r>
      <w:r>
        <w:rPr>
          <w:noProof/>
        </w:rPr>
        <w:tab/>
      </w:r>
      <w:r>
        <w:rPr>
          <w:noProof/>
        </w:rPr>
        <w:fldChar w:fldCharType="begin"/>
      </w:r>
      <w:r>
        <w:rPr>
          <w:noProof/>
        </w:rPr>
        <w:instrText xml:space="preserve"> PAGEREF _Toc369091915 \h </w:instrText>
      </w:r>
      <w:r>
        <w:rPr>
          <w:noProof/>
        </w:rPr>
      </w:r>
      <w:r>
        <w:rPr>
          <w:noProof/>
        </w:rPr>
        <w:fldChar w:fldCharType="separate"/>
      </w:r>
      <w:r>
        <w:rPr>
          <w:noProof/>
        </w:rPr>
        <w:t>158</w:t>
      </w:r>
      <w:r>
        <w:rPr>
          <w:noProof/>
        </w:rPr>
        <w:fldChar w:fldCharType="end"/>
      </w:r>
    </w:p>
    <w:p w:rsidR="009D46E6" w:rsidRDefault="009D46E6">
      <w:pPr>
        <w:pStyle w:val="TOC2"/>
        <w:rPr>
          <w:rFonts w:ascii="Calibri" w:hAnsi="Calibri" w:cs="Times New Roman"/>
          <w:noProof/>
          <w:sz w:val="22"/>
          <w:szCs w:val="22"/>
          <w:lang w:eastAsia="cs-CZ"/>
        </w:rPr>
      </w:pPr>
      <w:r>
        <w:rPr>
          <w:noProof/>
        </w:rPr>
        <w:t>G.2</w:t>
      </w:r>
      <w:r>
        <w:rPr>
          <w:rFonts w:ascii="Calibri" w:hAnsi="Calibri" w:cs="Times New Roman"/>
          <w:noProof/>
          <w:sz w:val="22"/>
          <w:szCs w:val="22"/>
          <w:lang w:eastAsia="cs-CZ"/>
        </w:rPr>
        <w:tab/>
      </w:r>
      <w:r>
        <w:rPr>
          <w:noProof/>
        </w:rPr>
        <w:t>Manuály, metadata, nařízení a klasifikace ke statistikám vědy, technologií a inovací</w:t>
      </w:r>
      <w:r>
        <w:rPr>
          <w:noProof/>
        </w:rPr>
        <w:tab/>
      </w:r>
      <w:r>
        <w:rPr>
          <w:noProof/>
        </w:rPr>
        <w:fldChar w:fldCharType="begin"/>
      </w:r>
      <w:r>
        <w:rPr>
          <w:noProof/>
        </w:rPr>
        <w:instrText xml:space="preserve"> PAGEREF _Toc369091916 \h </w:instrText>
      </w:r>
      <w:r>
        <w:rPr>
          <w:noProof/>
        </w:rPr>
      </w:r>
      <w:r>
        <w:rPr>
          <w:noProof/>
        </w:rPr>
        <w:fldChar w:fldCharType="separate"/>
      </w:r>
      <w:r>
        <w:rPr>
          <w:noProof/>
        </w:rPr>
        <w:t>174</w:t>
      </w:r>
      <w:r>
        <w:rPr>
          <w:noProof/>
        </w:rPr>
        <w:fldChar w:fldCharType="end"/>
      </w:r>
    </w:p>
    <w:p w:rsidR="009D46E6" w:rsidRDefault="009D46E6">
      <w:pPr>
        <w:pStyle w:val="TOC2"/>
        <w:rPr>
          <w:rFonts w:ascii="Calibri" w:hAnsi="Calibri" w:cs="Times New Roman"/>
          <w:noProof/>
          <w:sz w:val="22"/>
          <w:szCs w:val="22"/>
          <w:lang w:eastAsia="cs-CZ"/>
        </w:rPr>
      </w:pPr>
      <w:r>
        <w:rPr>
          <w:noProof/>
        </w:rPr>
        <w:t>G.3</w:t>
      </w:r>
      <w:r>
        <w:rPr>
          <w:rFonts w:ascii="Calibri" w:hAnsi="Calibri" w:cs="Times New Roman"/>
          <w:noProof/>
          <w:sz w:val="22"/>
          <w:szCs w:val="22"/>
          <w:lang w:eastAsia="cs-CZ"/>
        </w:rPr>
        <w:tab/>
      </w:r>
      <w:r>
        <w:rPr>
          <w:noProof/>
        </w:rPr>
        <w:t>Výstupy ČSÚ za oblast statistik vědy, technologií a inovací</w:t>
      </w:r>
      <w:r>
        <w:rPr>
          <w:noProof/>
        </w:rPr>
        <w:tab/>
      </w:r>
      <w:r>
        <w:rPr>
          <w:noProof/>
        </w:rPr>
        <w:fldChar w:fldCharType="begin"/>
      </w:r>
      <w:r>
        <w:rPr>
          <w:noProof/>
        </w:rPr>
        <w:instrText xml:space="preserve"> PAGEREF _Toc369091917 \h </w:instrText>
      </w:r>
      <w:r>
        <w:rPr>
          <w:noProof/>
        </w:rPr>
      </w:r>
      <w:r>
        <w:rPr>
          <w:noProof/>
        </w:rPr>
        <w:fldChar w:fldCharType="separate"/>
      </w:r>
      <w:r>
        <w:rPr>
          <w:noProof/>
        </w:rPr>
        <w:t>176</w:t>
      </w:r>
      <w:r>
        <w:rPr>
          <w:noProof/>
        </w:rPr>
        <w:fldChar w:fldCharType="end"/>
      </w:r>
    </w:p>
    <w:p w:rsidR="009D46E6" w:rsidRDefault="009D46E6">
      <w:pPr>
        <w:pStyle w:val="TOC2"/>
        <w:rPr>
          <w:rFonts w:ascii="Calibri" w:hAnsi="Calibri" w:cs="Times New Roman"/>
          <w:noProof/>
          <w:sz w:val="22"/>
          <w:szCs w:val="22"/>
          <w:lang w:eastAsia="cs-CZ"/>
        </w:rPr>
      </w:pPr>
      <w:r>
        <w:rPr>
          <w:noProof/>
        </w:rPr>
        <w:t>G.4</w:t>
      </w:r>
      <w:r>
        <w:rPr>
          <w:rFonts w:ascii="Calibri" w:hAnsi="Calibri" w:cs="Times New Roman"/>
          <w:noProof/>
          <w:sz w:val="22"/>
          <w:szCs w:val="22"/>
          <w:lang w:eastAsia="cs-CZ"/>
        </w:rPr>
        <w:tab/>
      </w:r>
      <w:r>
        <w:rPr>
          <w:noProof/>
        </w:rPr>
        <w:t>Tabulkové přílohy</w:t>
      </w:r>
      <w:r>
        <w:rPr>
          <w:noProof/>
        </w:rPr>
        <w:tab/>
      </w:r>
      <w:r>
        <w:rPr>
          <w:noProof/>
        </w:rPr>
        <w:fldChar w:fldCharType="begin"/>
      </w:r>
      <w:r>
        <w:rPr>
          <w:noProof/>
        </w:rPr>
        <w:instrText xml:space="preserve"> PAGEREF _Toc369091918 \h </w:instrText>
      </w:r>
      <w:r>
        <w:rPr>
          <w:noProof/>
        </w:rPr>
      </w:r>
      <w:r>
        <w:rPr>
          <w:noProof/>
        </w:rPr>
        <w:fldChar w:fldCharType="separate"/>
      </w:r>
      <w:r>
        <w:rPr>
          <w:noProof/>
        </w:rPr>
        <w:t>177</w:t>
      </w:r>
      <w:r>
        <w:rPr>
          <w:noProof/>
        </w:rPr>
        <w:fldChar w:fldCharType="end"/>
      </w:r>
    </w:p>
    <w:p w:rsidR="009D46E6" w:rsidRPr="00F92755" w:rsidRDefault="009D46E6" w:rsidP="009F6569">
      <w:r w:rsidRPr="00F00387">
        <w:rPr>
          <w:lang w:val="pl-PL"/>
        </w:rPr>
        <w:fldChar w:fldCharType="end"/>
      </w:r>
    </w:p>
    <w:p w:rsidR="009D46E6" w:rsidRDefault="009D46E6">
      <w:pPr>
        <w:spacing w:before="200" w:after="200" w:line="276" w:lineRule="auto"/>
        <w:jc w:val="left"/>
        <w:rPr>
          <w:b/>
          <w:sz w:val="24"/>
          <w:szCs w:val="22"/>
        </w:rPr>
      </w:pPr>
      <w:r>
        <w:br w:type="page"/>
      </w:r>
    </w:p>
    <w:p w:rsidR="009D46E6" w:rsidRDefault="009D46E6" w:rsidP="00C22BAB">
      <w:pPr>
        <w:pStyle w:val="Nadpis2nonumber"/>
      </w:pPr>
      <w:bookmarkStart w:id="10" w:name="_Toc369091861"/>
      <w:r>
        <w:t>Seznam tabulek</w:t>
      </w:r>
      <w:bookmarkEnd w:id="10"/>
    </w:p>
    <w:p w:rsidR="009D46E6" w:rsidRDefault="009D46E6">
      <w:pPr>
        <w:pStyle w:val="TableofFigures"/>
        <w:rPr>
          <w:rFonts w:ascii="Calibri" w:hAnsi="Calibri" w:cs="Times New Roman"/>
          <w:noProof/>
          <w:sz w:val="22"/>
          <w:szCs w:val="22"/>
          <w:lang w:eastAsia="cs-CZ"/>
        </w:rPr>
      </w:pPr>
      <w:r w:rsidRPr="00F92755">
        <w:fldChar w:fldCharType="begin"/>
      </w:r>
      <w:r w:rsidRPr="00F92755">
        <w:instrText xml:space="preserve"> TOC \c "Tabulka" </w:instrText>
      </w:r>
      <w:r w:rsidRPr="00F92755">
        <w:fldChar w:fldCharType="separate"/>
      </w:r>
      <w:r>
        <w:rPr>
          <w:noProof/>
        </w:rPr>
        <w:t>Tabulka 1: Klíčové ukazatele – Česká republika v čase</w:t>
      </w:r>
      <w:r>
        <w:rPr>
          <w:noProof/>
        </w:rPr>
        <w:tab/>
      </w:r>
      <w:r>
        <w:rPr>
          <w:noProof/>
        </w:rPr>
        <w:fldChar w:fldCharType="begin"/>
      </w:r>
      <w:r>
        <w:rPr>
          <w:noProof/>
        </w:rPr>
        <w:instrText xml:space="preserve"> PAGEREF _Toc369091919 \h </w:instrText>
      </w:r>
      <w:r>
        <w:rPr>
          <w:noProof/>
        </w:rPr>
      </w:r>
      <w:r>
        <w:rPr>
          <w:noProof/>
        </w:rPr>
        <w:fldChar w:fldCharType="separate"/>
      </w:r>
      <w:r>
        <w:rPr>
          <w:noProof/>
        </w:rPr>
        <w:t>8</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2: Klíčové ukazatele – Česká republika v mezinárodním srovnání</w:t>
      </w:r>
      <w:r>
        <w:rPr>
          <w:noProof/>
        </w:rPr>
        <w:tab/>
      </w:r>
      <w:r>
        <w:rPr>
          <w:noProof/>
        </w:rPr>
        <w:fldChar w:fldCharType="begin"/>
      </w:r>
      <w:r>
        <w:rPr>
          <w:noProof/>
        </w:rPr>
        <w:instrText xml:space="preserve"> PAGEREF _Toc369091920 \h </w:instrText>
      </w:r>
      <w:r>
        <w:rPr>
          <w:noProof/>
        </w:rPr>
      </w:r>
      <w:r>
        <w:rPr>
          <w:noProof/>
        </w:rPr>
        <w:fldChar w:fldCharType="separate"/>
      </w:r>
      <w:r>
        <w:rPr>
          <w:noProof/>
        </w:rPr>
        <w:t>9</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3: Základní ukazatele makroekonomického vývoje ČR</w:t>
      </w:r>
      <w:r>
        <w:rPr>
          <w:noProof/>
        </w:rPr>
        <w:tab/>
      </w:r>
      <w:r>
        <w:rPr>
          <w:noProof/>
        </w:rPr>
        <w:fldChar w:fldCharType="begin"/>
      </w:r>
      <w:r>
        <w:rPr>
          <w:noProof/>
        </w:rPr>
        <w:instrText xml:space="preserve"> PAGEREF _Toc369091921 \h </w:instrText>
      </w:r>
      <w:r>
        <w:rPr>
          <w:noProof/>
        </w:rPr>
      </w:r>
      <w:r>
        <w:rPr>
          <w:noProof/>
        </w:rPr>
        <w:fldChar w:fldCharType="separate"/>
      </w:r>
      <w:r>
        <w:rPr>
          <w:noProof/>
        </w:rPr>
        <w:t>18</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A.1: Meziroční změna celkových výdajů za VaV provedený v ČR, 2005-2012</w:t>
      </w:r>
      <w:r>
        <w:rPr>
          <w:noProof/>
        </w:rPr>
        <w:tab/>
      </w:r>
      <w:r>
        <w:rPr>
          <w:noProof/>
        </w:rPr>
        <w:fldChar w:fldCharType="begin"/>
      </w:r>
      <w:r>
        <w:rPr>
          <w:noProof/>
        </w:rPr>
        <w:instrText xml:space="preserve"> PAGEREF _Toc369091922 \h </w:instrText>
      </w:r>
      <w:r>
        <w:rPr>
          <w:noProof/>
        </w:rPr>
      </w:r>
      <w:r>
        <w:rPr>
          <w:noProof/>
        </w:rPr>
        <w:fldChar w:fldCharType="separate"/>
      </w:r>
      <w:r>
        <w:rPr>
          <w:noProof/>
        </w:rPr>
        <w:t>25</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A.2: Celkové výdaje na VaV ve vybraných zemích (mil. US$ v PPP; EU28= 100)</w:t>
      </w:r>
      <w:r>
        <w:rPr>
          <w:noProof/>
        </w:rPr>
        <w:tab/>
      </w:r>
      <w:r>
        <w:rPr>
          <w:noProof/>
        </w:rPr>
        <w:fldChar w:fldCharType="begin"/>
      </w:r>
      <w:r>
        <w:rPr>
          <w:noProof/>
        </w:rPr>
        <w:instrText xml:space="preserve"> PAGEREF _Toc369091923 \h </w:instrText>
      </w:r>
      <w:r>
        <w:rPr>
          <w:noProof/>
        </w:rPr>
      </w:r>
      <w:r>
        <w:rPr>
          <w:noProof/>
        </w:rPr>
        <w:fldChar w:fldCharType="separate"/>
      </w:r>
      <w:r>
        <w:rPr>
          <w:noProof/>
        </w:rPr>
        <w:t>32</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A.3: Výdaje na veřejný VaV ve vybraných zemích (mil. US$ v PPP; EU28= 100)</w:t>
      </w:r>
      <w:r>
        <w:rPr>
          <w:noProof/>
        </w:rPr>
        <w:tab/>
      </w:r>
      <w:r>
        <w:rPr>
          <w:noProof/>
        </w:rPr>
        <w:fldChar w:fldCharType="begin"/>
      </w:r>
      <w:r>
        <w:rPr>
          <w:noProof/>
        </w:rPr>
        <w:instrText xml:space="preserve"> PAGEREF _Toc369091924 \h </w:instrText>
      </w:r>
      <w:r>
        <w:rPr>
          <w:noProof/>
        </w:rPr>
      </w:r>
      <w:r>
        <w:rPr>
          <w:noProof/>
        </w:rPr>
        <w:fldChar w:fldCharType="separate"/>
      </w:r>
      <w:r>
        <w:rPr>
          <w:noProof/>
        </w:rPr>
        <w:t>40</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A.4: Výdaje na VaV ve vládním a vysokoškolském sektoru financované ze soukromých tuzemských zdrojů ve vybraných zemích (mil. US$ v PPS; EU27= 100)</w:t>
      </w:r>
      <w:r>
        <w:rPr>
          <w:noProof/>
        </w:rPr>
        <w:tab/>
      </w:r>
      <w:r>
        <w:rPr>
          <w:noProof/>
        </w:rPr>
        <w:fldChar w:fldCharType="begin"/>
      </w:r>
      <w:r>
        <w:rPr>
          <w:noProof/>
        </w:rPr>
        <w:instrText xml:space="preserve"> PAGEREF _Toc369091925 \h </w:instrText>
      </w:r>
      <w:r>
        <w:rPr>
          <w:noProof/>
        </w:rPr>
      </w:r>
      <w:r>
        <w:rPr>
          <w:noProof/>
        </w:rPr>
        <w:fldChar w:fldCharType="separate"/>
      </w:r>
      <w:r>
        <w:rPr>
          <w:noProof/>
        </w:rPr>
        <w:t>44</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A.5: Meziroční změna výdajů za VaV provedený v podnicích ČR, 2005-2012</w:t>
      </w:r>
      <w:r>
        <w:rPr>
          <w:noProof/>
        </w:rPr>
        <w:tab/>
      </w:r>
      <w:r>
        <w:rPr>
          <w:noProof/>
        </w:rPr>
        <w:fldChar w:fldCharType="begin"/>
      </w:r>
      <w:r>
        <w:rPr>
          <w:noProof/>
        </w:rPr>
        <w:instrText xml:space="preserve"> PAGEREF _Toc369091926 \h </w:instrText>
      </w:r>
      <w:r>
        <w:rPr>
          <w:noProof/>
        </w:rPr>
      </w:r>
      <w:r>
        <w:rPr>
          <w:noProof/>
        </w:rPr>
        <w:fldChar w:fldCharType="separate"/>
      </w:r>
      <w:r>
        <w:rPr>
          <w:noProof/>
        </w:rPr>
        <w:t>46</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A.6: Výdaje za VaV provedený v podnikatelském sektoru (BERD) ve vybraných zemích (mil. US$ v PPP; EU28= 100)</w:t>
      </w:r>
      <w:r>
        <w:rPr>
          <w:noProof/>
        </w:rPr>
        <w:tab/>
      </w:r>
      <w:r>
        <w:rPr>
          <w:noProof/>
        </w:rPr>
        <w:fldChar w:fldCharType="begin"/>
      </w:r>
      <w:r>
        <w:rPr>
          <w:noProof/>
        </w:rPr>
        <w:instrText xml:space="preserve"> PAGEREF _Toc369091927 \h </w:instrText>
      </w:r>
      <w:r>
        <w:rPr>
          <w:noProof/>
        </w:rPr>
      </w:r>
      <w:r>
        <w:rPr>
          <w:noProof/>
        </w:rPr>
        <w:fldChar w:fldCharType="separate"/>
      </w:r>
      <w:r>
        <w:rPr>
          <w:noProof/>
        </w:rPr>
        <w:t>50</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A.7: Celkové výdaje státního rozpočtu ČR na podporu VaV (mld. Kč)</w:t>
      </w:r>
      <w:r>
        <w:rPr>
          <w:noProof/>
        </w:rPr>
        <w:tab/>
      </w:r>
      <w:r>
        <w:rPr>
          <w:noProof/>
        </w:rPr>
        <w:fldChar w:fldCharType="begin"/>
      </w:r>
      <w:r>
        <w:rPr>
          <w:noProof/>
        </w:rPr>
        <w:instrText xml:space="preserve"> PAGEREF _Toc369091928 \h </w:instrText>
      </w:r>
      <w:r>
        <w:rPr>
          <w:noProof/>
        </w:rPr>
      </w:r>
      <w:r>
        <w:rPr>
          <w:noProof/>
        </w:rPr>
        <w:fldChar w:fldCharType="separate"/>
      </w:r>
      <w:r>
        <w:rPr>
          <w:noProof/>
        </w:rPr>
        <w:t>52</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A.8: Meziroční změna celkových výdajů státního rozpočtu ČR na přímou podporu VaV</w:t>
      </w:r>
      <w:r>
        <w:rPr>
          <w:noProof/>
        </w:rPr>
        <w:tab/>
      </w:r>
      <w:r>
        <w:rPr>
          <w:noProof/>
        </w:rPr>
        <w:fldChar w:fldCharType="begin"/>
      </w:r>
      <w:r>
        <w:rPr>
          <w:noProof/>
        </w:rPr>
        <w:instrText xml:space="preserve"> PAGEREF _Toc369091929 \h </w:instrText>
      </w:r>
      <w:r>
        <w:rPr>
          <w:noProof/>
        </w:rPr>
      </w:r>
      <w:r>
        <w:rPr>
          <w:noProof/>
        </w:rPr>
        <w:fldChar w:fldCharType="separate"/>
      </w:r>
      <w:r>
        <w:rPr>
          <w:noProof/>
        </w:rPr>
        <w:t>53</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C.1: Počty výsledků VaVaI zaznamenané v databáze RIV v letech 2007 – 2012</w:t>
      </w:r>
      <w:r>
        <w:rPr>
          <w:noProof/>
        </w:rPr>
        <w:tab/>
      </w:r>
      <w:r>
        <w:rPr>
          <w:noProof/>
        </w:rPr>
        <w:fldChar w:fldCharType="begin"/>
      </w:r>
      <w:r>
        <w:rPr>
          <w:noProof/>
        </w:rPr>
        <w:instrText xml:space="preserve"> PAGEREF _Toc369091930 \h </w:instrText>
      </w:r>
      <w:r>
        <w:rPr>
          <w:noProof/>
        </w:rPr>
      </w:r>
      <w:r>
        <w:rPr>
          <w:noProof/>
        </w:rPr>
        <w:fldChar w:fldCharType="separate"/>
      </w:r>
      <w:r>
        <w:rPr>
          <w:noProof/>
        </w:rPr>
        <w:t>86</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C.2: Oborově rozdělené počty patentů registrovaných AV ČR a veřejnými a státními vysokými školami (VVŠ) v letech 2008 - 2012</w:t>
      </w:r>
      <w:r>
        <w:rPr>
          <w:noProof/>
        </w:rPr>
        <w:tab/>
      </w:r>
      <w:r>
        <w:rPr>
          <w:noProof/>
        </w:rPr>
        <w:fldChar w:fldCharType="begin"/>
      </w:r>
      <w:r>
        <w:rPr>
          <w:noProof/>
        </w:rPr>
        <w:instrText xml:space="preserve"> PAGEREF _Toc369091931 \h </w:instrText>
      </w:r>
      <w:r>
        <w:rPr>
          <w:noProof/>
        </w:rPr>
      </w:r>
      <w:r>
        <w:rPr>
          <w:noProof/>
        </w:rPr>
        <w:fldChar w:fldCharType="separate"/>
      </w:r>
      <w:r>
        <w:rPr>
          <w:noProof/>
        </w:rPr>
        <w:t>93</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C.3: Celkové počty výsledků v letech 2008 - 2012 podle poskytovatelů veřejných prostředků na VaVaI</w:t>
      </w:r>
      <w:r>
        <w:rPr>
          <w:noProof/>
        </w:rPr>
        <w:tab/>
      </w:r>
      <w:r>
        <w:rPr>
          <w:noProof/>
        </w:rPr>
        <w:fldChar w:fldCharType="begin"/>
      </w:r>
      <w:r>
        <w:rPr>
          <w:noProof/>
        </w:rPr>
        <w:instrText xml:space="preserve"> PAGEREF _Toc369091932 \h </w:instrText>
      </w:r>
      <w:r>
        <w:rPr>
          <w:noProof/>
        </w:rPr>
      </w:r>
      <w:r>
        <w:rPr>
          <w:noProof/>
        </w:rPr>
        <w:fldChar w:fldCharType="separate"/>
      </w:r>
      <w:r>
        <w:rPr>
          <w:noProof/>
        </w:rPr>
        <w:t>94</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D.1: Podíl inovujících podniků provádějících vlastní a externí VaV aktivity (2008 – 2010)</w:t>
      </w:r>
      <w:r>
        <w:rPr>
          <w:noProof/>
        </w:rPr>
        <w:tab/>
      </w:r>
      <w:r>
        <w:rPr>
          <w:noProof/>
        </w:rPr>
        <w:fldChar w:fldCharType="begin"/>
      </w:r>
      <w:r>
        <w:rPr>
          <w:noProof/>
        </w:rPr>
        <w:instrText xml:space="preserve"> PAGEREF _Toc369091933 \h </w:instrText>
      </w:r>
      <w:r>
        <w:rPr>
          <w:noProof/>
        </w:rPr>
      </w:r>
      <w:r>
        <w:rPr>
          <w:noProof/>
        </w:rPr>
        <w:fldChar w:fldCharType="separate"/>
      </w:r>
      <w:r>
        <w:rPr>
          <w:noProof/>
        </w:rPr>
        <w:t>123</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E.1: Nejčastější účastníci 7. RP v zemích EU a ČR</w:t>
      </w:r>
      <w:r>
        <w:rPr>
          <w:noProof/>
        </w:rPr>
        <w:tab/>
      </w:r>
      <w:r>
        <w:rPr>
          <w:noProof/>
        </w:rPr>
        <w:fldChar w:fldCharType="begin"/>
      </w:r>
      <w:r>
        <w:rPr>
          <w:noProof/>
        </w:rPr>
        <w:instrText xml:space="preserve"> PAGEREF _Toc369091934 \h </w:instrText>
      </w:r>
      <w:r>
        <w:rPr>
          <w:noProof/>
        </w:rPr>
      </w:r>
      <w:r>
        <w:rPr>
          <w:noProof/>
        </w:rPr>
        <w:fldChar w:fldCharType="separate"/>
      </w:r>
      <w:r>
        <w:rPr>
          <w:noProof/>
        </w:rPr>
        <w:t>135</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E.2: Tematický průnik H2020 a 7. RP, rozpočet H2020</w:t>
      </w:r>
      <w:r>
        <w:rPr>
          <w:noProof/>
        </w:rPr>
        <w:tab/>
      </w:r>
      <w:r>
        <w:rPr>
          <w:noProof/>
        </w:rPr>
        <w:fldChar w:fldCharType="begin"/>
      </w:r>
      <w:r>
        <w:rPr>
          <w:noProof/>
        </w:rPr>
        <w:instrText xml:space="preserve"> PAGEREF _Toc369091935 \h </w:instrText>
      </w:r>
      <w:r>
        <w:rPr>
          <w:noProof/>
        </w:rPr>
      </w:r>
      <w:r>
        <w:rPr>
          <w:noProof/>
        </w:rPr>
        <w:fldChar w:fldCharType="separate"/>
      </w:r>
      <w:r>
        <w:rPr>
          <w:noProof/>
        </w:rPr>
        <w:t>136</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E.3: Hlavní výstupy hodnocení programu COST</w:t>
      </w:r>
      <w:r>
        <w:rPr>
          <w:noProof/>
        </w:rPr>
        <w:tab/>
      </w:r>
      <w:r>
        <w:rPr>
          <w:noProof/>
        </w:rPr>
        <w:fldChar w:fldCharType="begin"/>
      </w:r>
      <w:r>
        <w:rPr>
          <w:noProof/>
        </w:rPr>
        <w:instrText xml:space="preserve"> PAGEREF _Toc369091936 \h </w:instrText>
      </w:r>
      <w:r>
        <w:rPr>
          <w:noProof/>
        </w:rPr>
      </w:r>
      <w:r>
        <w:rPr>
          <w:noProof/>
        </w:rPr>
        <w:fldChar w:fldCharType="separate"/>
      </w:r>
      <w:r>
        <w:rPr>
          <w:noProof/>
        </w:rPr>
        <w:t>137</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E.4: Hlavní výstupy hodnocení programu EUREKA</w:t>
      </w:r>
      <w:r>
        <w:rPr>
          <w:noProof/>
        </w:rPr>
        <w:tab/>
      </w:r>
      <w:r>
        <w:rPr>
          <w:noProof/>
        </w:rPr>
        <w:fldChar w:fldCharType="begin"/>
      </w:r>
      <w:r>
        <w:rPr>
          <w:noProof/>
        </w:rPr>
        <w:instrText xml:space="preserve"> PAGEREF _Toc369091937 \h </w:instrText>
      </w:r>
      <w:r>
        <w:rPr>
          <w:noProof/>
        </w:rPr>
      </w:r>
      <w:r>
        <w:rPr>
          <w:noProof/>
        </w:rPr>
        <w:fldChar w:fldCharType="separate"/>
      </w:r>
      <w:r>
        <w:rPr>
          <w:noProof/>
        </w:rPr>
        <w:t>138</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E.5: Hlavní výstupy hodnocení programu INGO</w:t>
      </w:r>
      <w:r>
        <w:rPr>
          <w:noProof/>
        </w:rPr>
        <w:tab/>
      </w:r>
      <w:r>
        <w:rPr>
          <w:noProof/>
        </w:rPr>
        <w:fldChar w:fldCharType="begin"/>
      </w:r>
      <w:r>
        <w:rPr>
          <w:noProof/>
        </w:rPr>
        <w:instrText xml:space="preserve"> PAGEREF _Toc369091938 \h </w:instrText>
      </w:r>
      <w:r>
        <w:rPr>
          <w:noProof/>
        </w:rPr>
      </w:r>
      <w:r>
        <w:rPr>
          <w:noProof/>
        </w:rPr>
        <w:fldChar w:fldCharType="separate"/>
      </w:r>
      <w:r>
        <w:rPr>
          <w:noProof/>
        </w:rPr>
        <w:t>138</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E.6: Hlavní výstupy hodnocení programu KONTAKT</w:t>
      </w:r>
      <w:r>
        <w:rPr>
          <w:noProof/>
        </w:rPr>
        <w:tab/>
      </w:r>
      <w:r>
        <w:rPr>
          <w:noProof/>
        </w:rPr>
        <w:fldChar w:fldCharType="begin"/>
      </w:r>
      <w:r>
        <w:rPr>
          <w:noProof/>
        </w:rPr>
        <w:instrText xml:space="preserve"> PAGEREF _Toc369091939 \h </w:instrText>
      </w:r>
      <w:r>
        <w:rPr>
          <w:noProof/>
        </w:rPr>
      </w:r>
      <w:r>
        <w:rPr>
          <w:noProof/>
        </w:rPr>
        <w:fldChar w:fldCharType="separate"/>
      </w:r>
      <w:r>
        <w:rPr>
          <w:noProof/>
        </w:rPr>
        <w:t>139</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E.7: Tematické zaměření projektů v programech mzn. spolupráce (2007-2013)</w:t>
      </w:r>
      <w:r>
        <w:rPr>
          <w:noProof/>
        </w:rPr>
        <w:tab/>
      </w:r>
      <w:r>
        <w:rPr>
          <w:noProof/>
        </w:rPr>
        <w:fldChar w:fldCharType="begin"/>
      </w:r>
      <w:r>
        <w:rPr>
          <w:noProof/>
        </w:rPr>
        <w:instrText xml:space="preserve"> PAGEREF _Toc369091940 \h </w:instrText>
      </w:r>
      <w:r>
        <w:rPr>
          <w:noProof/>
        </w:rPr>
      </w:r>
      <w:r>
        <w:rPr>
          <w:noProof/>
        </w:rPr>
        <w:fldChar w:fldCharType="separate"/>
      </w:r>
      <w:r>
        <w:rPr>
          <w:noProof/>
        </w:rPr>
        <w:t>139</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F.1: Struktura výdajů na VaV ze zahraničních zdrojů (Česko; 2007-2012; mld. Kč)</w:t>
      </w:r>
      <w:r>
        <w:rPr>
          <w:noProof/>
        </w:rPr>
        <w:tab/>
      </w:r>
      <w:r>
        <w:rPr>
          <w:noProof/>
        </w:rPr>
        <w:fldChar w:fldCharType="begin"/>
      </w:r>
      <w:r>
        <w:rPr>
          <w:noProof/>
        </w:rPr>
        <w:instrText xml:space="preserve"> PAGEREF _Toc369091941 \h </w:instrText>
      </w:r>
      <w:r>
        <w:rPr>
          <w:noProof/>
        </w:rPr>
      </w:r>
      <w:r>
        <w:rPr>
          <w:noProof/>
        </w:rPr>
        <w:fldChar w:fldCharType="separate"/>
      </w:r>
      <w:r>
        <w:rPr>
          <w:noProof/>
        </w:rPr>
        <w:t>142</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F.2: Výše podpory dle počtu zaměstnanců příjemce (2008-2013, mil. Kč)</w:t>
      </w:r>
      <w:r>
        <w:rPr>
          <w:noProof/>
        </w:rPr>
        <w:tab/>
      </w:r>
      <w:r>
        <w:rPr>
          <w:noProof/>
        </w:rPr>
        <w:fldChar w:fldCharType="begin"/>
      </w:r>
      <w:r>
        <w:rPr>
          <w:noProof/>
        </w:rPr>
        <w:instrText xml:space="preserve"> PAGEREF _Toc369091942 \h </w:instrText>
      </w:r>
      <w:r>
        <w:rPr>
          <w:noProof/>
        </w:rPr>
      </w:r>
      <w:r>
        <w:rPr>
          <w:noProof/>
        </w:rPr>
        <w:fldChar w:fldCharType="separate"/>
      </w:r>
      <w:r>
        <w:rPr>
          <w:noProof/>
        </w:rPr>
        <w:t>147</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F.3: Výše podpory dle formy příjemce (2008-2013, mil. Kč)</w:t>
      </w:r>
      <w:r>
        <w:rPr>
          <w:noProof/>
        </w:rPr>
        <w:tab/>
      </w:r>
      <w:r>
        <w:rPr>
          <w:noProof/>
        </w:rPr>
        <w:fldChar w:fldCharType="begin"/>
      </w:r>
      <w:r>
        <w:rPr>
          <w:noProof/>
        </w:rPr>
        <w:instrText xml:space="preserve"> PAGEREF _Toc369091943 \h </w:instrText>
      </w:r>
      <w:r>
        <w:rPr>
          <w:noProof/>
        </w:rPr>
      </w:r>
      <w:r>
        <w:rPr>
          <w:noProof/>
        </w:rPr>
        <w:fldChar w:fldCharType="separate"/>
      </w:r>
      <w:r>
        <w:rPr>
          <w:noProof/>
        </w:rPr>
        <w:t>148</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F.4: Základní charakteristiky OP VaVpI</w:t>
      </w:r>
      <w:r>
        <w:rPr>
          <w:noProof/>
        </w:rPr>
        <w:tab/>
      </w:r>
      <w:r>
        <w:rPr>
          <w:noProof/>
        </w:rPr>
        <w:fldChar w:fldCharType="begin"/>
      </w:r>
      <w:r>
        <w:rPr>
          <w:noProof/>
        </w:rPr>
        <w:instrText xml:space="preserve"> PAGEREF _Toc369091944 \h </w:instrText>
      </w:r>
      <w:r>
        <w:rPr>
          <w:noProof/>
        </w:rPr>
      </w:r>
      <w:r>
        <w:rPr>
          <w:noProof/>
        </w:rPr>
        <w:fldChar w:fldCharType="separate"/>
      </w:r>
      <w:r>
        <w:rPr>
          <w:noProof/>
        </w:rPr>
        <w:t>149</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F.5: Stav čerpání OP VaVpI</w:t>
      </w:r>
      <w:r>
        <w:rPr>
          <w:noProof/>
        </w:rPr>
        <w:tab/>
      </w:r>
      <w:r>
        <w:rPr>
          <w:noProof/>
        </w:rPr>
        <w:fldChar w:fldCharType="begin"/>
      </w:r>
      <w:r>
        <w:rPr>
          <w:noProof/>
        </w:rPr>
        <w:instrText xml:space="preserve"> PAGEREF _Toc369091945 \h </w:instrText>
      </w:r>
      <w:r>
        <w:rPr>
          <w:noProof/>
        </w:rPr>
      </w:r>
      <w:r>
        <w:rPr>
          <w:noProof/>
        </w:rPr>
        <w:fldChar w:fldCharType="separate"/>
      </w:r>
      <w:r>
        <w:rPr>
          <w:noProof/>
        </w:rPr>
        <w:t>149</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F.6: Základní charakteristiky OPVK</w:t>
      </w:r>
      <w:r>
        <w:rPr>
          <w:noProof/>
        </w:rPr>
        <w:tab/>
      </w:r>
      <w:r>
        <w:rPr>
          <w:noProof/>
        </w:rPr>
        <w:fldChar w:fldCharType="begin"/>
      </w:r>
      <w:r>
        <w:rPr>
          <w:noProof/>
        </w:rPr>
        <w:instrText xml:space="preserve"> PAGEREF _Toc369091946 \h </w:instrText>
      </w:r>
      <w:r>
        <w:rPr>
          <w:noProof/>
        </w:rPr>
      </w:r>
      <w:r>
        <w:rPr>
          <w:noProof/>
        </w:rPr>
        <w:fldChar w:fldCharType="separate"/>
      </w:r>
      <w:r>
        <w:rPr>
          <w:noProof/>
        </w:rPr>
        <w:t>151</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F.7: Stav čerpání OPVK</w:t>
      </w:r>
      <w:r>
        <w:rPr>
          <w:noProof/>
        </w:rPr>
        <w:tab/>
      </w:r>
      <w:r>
        <w:rPr>
          <w:noProof/>
        </w:rPr>
        <w:fldChar w:fldCharType="begin"/>
      </w:r>
      <w:r>
        <w:rPr>
          <w:noProof/>
        </w:rPr>
        <w:instrText xml:space="preserve"> PAGEREF _Toc369091947 \h </w:instrText>
      </w:r>
      <w:r>
        <w:rPr>
          <w:noProof/>
        </w:rPr>
      </w:r>
      <w:r>
        <w:rPr>
          <w:noProof/>
        </w:rPr>
        <w:fldChar w:fldCharType="separate"/>
      </w:r>
      <w:r>
        <w:rPr>
          <w:noProof/>
        </w:rPr>
        <w:t>151</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F.8: Základní charakteristiky OPPI</w:t>
      </w:r>
      <w:r>
        <w:rPr>
          <w:noProof/>
        </w:rPr>
        <w:tab/>
      </w:r>
      <w:r>
        <w:rPr>
          <w:noProof/>
        </w:rPr>
        <w:fldChar w:fldCharType="begin"/>
      </w:r>
      <w:r>
        <w:rPr>
          <w:noProof/>
        </w:rPr>
        <w:instrText xml:space="preserve"> PAGEREF _Toc369091948 \h </w:instrText>
      </w:r>
      <w:r>
        <w:rPr>
          <w:noProof/>
        </w:rPr>
      </w:r>
      <w:r>
        <w:rPr>
          <w:noProof/>
        </w:rPr>
        <w:fldChar w:fldCharType="separate"/>
      </w:r>
      <w:r>
        <w:rPr>
          <w:noProof/>
        </w:rPr>
        <w:t>152</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F.9: Stav čerpání OPPI</w:t>
      </w:r>
      <w:r>
        <w:rPr>
          <w:noProof/>
        </w:rPr>
        <w:tab/>
      </w:r>
      <w:r>
        <w:rPr>
          <w:noProof/>
        </w:rPr>
        <w:fldChar w:fldCharType="begin"/>
      </w:r>
      <w:r>
        <w:rPr>
          <w:noProof/>
        </w:rPr>
        <w:instrText xml:space="preserve"> PAGEREF _Toc369091949 \h </w:instrText>
      </w:r>
      <w:r>
        <w:rPr>
          <w:noProof/>
        </w:rPr>
      </w:r>
      <w:r>
        <w:rPr>
          <w:noProof/>
        </w:rPr>
        <w:fldChar w:fldCharType="separate"/>
      </w:r>
      <w:r>
        <w:rPr>
          <w:noProof/>
        </w:rPr>
        <w:t>153</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F.10: Základní charakteristiky OPPK</w:t>
      </w:r>
      <w:r>
        <w:rPr>
          <w:noProof/>
        </w:rPr>
        <w:tab/>
      </w:r>
      <w:r>
        <w:rPr>
          <w:noProof/>
        </w:rPr>
        <w:fldChar w:fldCharType="begin"/>
      </w:r>
      <w:r>
        <w:rPr>
          <w:noProof/>
        </w:rPr>
        <w:instrText xml:space="preserve"> PAGEREF _Toc369091950 \h </w:instrText>
      </w:r>
      <w:r>
        <w:rPr>
          <w:noProof/>
        </w:rPr>
      </w:r>
      <w:r>
        <w:rPr>
          <w:noProof/>
        </w:rPr>
        <w:fldChar w:fldCharType="separate"/>
      </w:r>
      <w:r>
        <w:rPr>
          <w:noProof/>
        </w:rPr>
        <w:t>154</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F.11: Stav čerpání OPPK</w:t>
      </w:r>
      <w:r>
        <w:rPr>
          <w:noProof/>
        </w:rPr>
        <w:tab/>
      </w:r>
      <w:r>
        <w:rPr>
          <w:noProof/>
        </w:rPr>
        <w:fldChar w:fldCharType="begin"/>
      </w:r>
      <w:r>
        <w:rPr>
          <w:noProof/>
        </w:rPr>
        <w:instrText xml:space="preserve"> PAGEREF _Toc369091951 \h </w:instrText>
      </w:r>
      <w:r>
        <w:rPr>
          <w:noProof/>
        </w:rPr>
      </w:r>
      <w:r>
        <w:rPr>
          <w:noProof/>
        </w:rPr>
        <w:fldChar w:fldCharType="separate"/>
      </w:r>
      <w:r>
        <w:rPr>
          <w:noProof/>
        </w:rPr>
        <w:t>154</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F.12: Základní charakteristiky OPPA</w:t>
      </w:r>
      <w:r>
        <w:rPr>
          <w:noProof/>
        </w:rPr>
        <w:tab/>
      </w:r>
      <w:r>
        <w:rPr>
          <w:noProof/>
        </w:rPr>
        <w:fldChar w:fldCharType="begin"/>
      </w:r>
      <w:r>
        <w:rPr>
          <w:noProof/>
        </w:rPr>
        <w:instrText xml:space="preserve"> PAGEREF _Toc369091952 \h </w:instrText>
      </w:r>
      <w:r>
        <w:rPr>
          <w:noProof/>
        </w:rPr>
      </w:r>
      <w:r>
        <w:rPr>
          <w:noProof/>
        </w:rPr>
        <w:fldChar w:fldCharType="separate"/>
      </w:r>
      <w:r>
        <w:rPr>
          <w:noProof/>
        </w:rPr>
        <w:t>154</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F.13: Stav čerpání OPPA</w:t>
      </w:r>
      <w:r>
        <w:rPr>
          <w:noProof/>
        </w:rPr>
        <w:tab/>
      </w:r>
      <w:r>
        <w:rPr>
          <w:noProof/>
        </w:rPr>
        <w:fldChar w:fldCharType="begin"/>
      </w:r>
      <w:r>
        <w:rPr>
          <w:noProof/>
        </w:rPr>
        <w:instrText xml:space="preserve"> PAGEREF _Toc369091953 \h </w:instrText>
      </w:r>
      <w:r>
        <w:rPr>
          <w:noProof/>
        </w:rPr>
      </w:r>
      <w:r>
        <w:rPr>
          <w:noProof/>
        </w:rPr>
        <w:fldChar w:fldCharType="separate"/>
      </w:r>
      <w:r>
        <w:rPr>
          <w:noProof/>
        </w:rPr>
        <w:t>155</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F.14: Počty zaměstnanců ve VaV v ČR (z toho v centrech) dle sektorů</w:t>
      </w:r>
      <w:r>
        <w:rPr>
          <w:noProof/>
        </w:rPr>
        <w:tab/>
      </w:r>
      <w:r>
        <w:rPr>
          <w:noProof/>
        </w:rPr>
        <w:fldChar w:fldCharType="begin"/>
      </w:r>
      <w:r>
        <w:rPr>
          <w:noProof/>
        </w:rPr>
        <w:instrText xml:space="preserve"> PAGEREF _Toc369091954 \h </w:instrText>
      </w:r>
      <w:r>
        <w:rPr>
          <w:noProof/>
        </w:rPr>
      </w:r>
      <w:r>
        <w:rPr>
          <w:noProof/>
        </w:rPr>
        <w:fldChar w:fldCharType="separate"/>
      </w:r>
      <w:r>
        <w:rPr>
          <w:noProof/>
        </w:rPr>
        <w:t>156</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F.15: Počty zaměstnanců ve VaV v ČR (z toho v centrech) dle vědních oblastí</w:t>
      </w:r>
      <w:r>
        <w:rPr>
          <w:noProof/>
        </w:rPr>
        <w:tab/>
      </w:r>
      <w:r>
        <w:rPr>
          <w:noProof/>
        </w:rPr>
        <w:fldChar w:fldCharType="begin"/>
      </w:r>
      <w:r>
        <w:rPr>
          <w:noProof/>
        </w:rPr>
        <w:instrText xml:space="preserve"> PAGEREF _Toc369091955 \h </w:instrText>
      </w:r>
      <w:r>
        <w:rPr>
          <w:noProof/>
        </w:rPr>
      </w:r>
      <w:r>
        <w:rPr>
          <w:noProof/>
        </w:rPr>
        <w:fldChar w:fldCharType="separate"/>
      </w:r>
      <w:r>
        <w:rPr>
          <w:noProof/>
        </w:rPr>
        <w:t>156</w:t>
      </w:r>
      <w:r>
        <w:rPr>
          <w:noProof/>
        </w:rPr>
        <w:fldChar w:fldCharType="end"/>
      </w:r>
    </w:p>
    <w:p w:rsidR="009D46E6" w:rsidRDefault="009D46E6">
      <w:pPr>
        <w:pStyle w:val="TableofFigures"/>
        <w:rPr>
          <w:rFonts w:ascii="Calibri" w:hAnsi="Calibri" w:cs="Times New Roman"/>
          <w:noProof/>
          <w:sz w:val="22"/>
          <w:szCs w:val="22"/>
          <w:lang w:eastAsia="cs-CZ"/>
        </w:rPr>
      </w:pPr>
      <w:r>
        <w:rPr>
          <w:noProof/>
        </w:rPr>
        <w:t>Tabulka F.16: Struktura financování VaV center (podíl na provozních příjmech)</w:t>
      </w:r>
      <w:r>
        <w:rPr>
          <w:noProof/>
        </w:rPr>
        <w:tab/>
      </w:r>
      <w:r>
        <w:rPr>
          <w:noProof/>
        </w:rPr>
        <w:fldChar w:fldCharType="begin"/>
      </w:r>
      <w:r>
        <w:rPr>
          <w:noProof/>
        </w:rPr>
        <w:instrText xml:space="preserve"> PAGEREF _Toc369091956 \h </w:instrText>
      </w:r>
      <w:r>
        <w:rPr>
          <w:noProof/>
        </w:rPr>
      </w:r>
      <w:r>
        <w:rPr>
          <w:noProof/>
        </w:rPr>
        <w:fldChar w:fldCharType="separate"/>
      </w:r>
      <w:r>
        <w:rPr>
          <w:noProof/>
        </w:rPr>
        <w:t>157</w:t>
      </w:r>
      <w:r>
        <w:rPr>
          <w:noProof/>
        </w:rPr>
        <w:fldChar w:fldCharType="end"/>
      </w:r>
    </w:p>
    <w:p w:rsidR="009D46E6" w:rsidRPr="00F92755" w:rsidRDefault="009D46E6" w:rsidP="009F6569">
      <w:r w:rsidRPr="00F92755">
        <w:fldChar w:fldCharType="end"/>
      </w:r>
    </w:p>
    <w:p w:rsidR="009D46E6" w:rsidRDefault="009D46E6">
      <w:pPr>
        <w:spacing w:before="200" w:after="200" w:line="276" w:lineRule="auto"/>
        <w:jc w:val="left"/>
        <w:rPr>
          <w:b/>
          <w:sz w:val="24"/>
          <w:szCs w:val="22"/>
        </w:rPr>
      </w:pPr>
      <w:bookmarkStart w:id="11" w:name="_Toc369091862"/>
      <w:r>
        <w:br w:type="page"/>
      </w:r>
    </w:p>
    <w:p w:rsidR="009D46E6" w:rsidRDefault="009D46E6" w:rsidP="00C22BAB">
      <w:pPr>
        <w:pStyle w:val="Nadpis2nonumber"/>
      </w:pPr>
      <w:r>
        <w:t>Seznam grafů</w:t>
      </w:r>
      <w:bookmarkEnd w:id="11"/>
    </w:p>
    <w:p w:rsidR="009D46E6" w:rsidRDefault="009D46E6">
      <w:pPr>
        <w:pStyle w:val="TableofFigures"/>
        <w:rPr>
          <w:rFonts w:ascii="Calibri" w:hAnsi="Calibri" w:cs="Times New Roman"/>
          <w:noProof/>
          <w:sz w:val="22"/>
          <w:szCs w:val="22"/>
          <w:lang w:eastAsia="cs-CZ"/>
        </w:rPr>
      </w:pPr>
      <w:r w:rsidRPr="00F92755">
        <w:fldChar w:fldCharType="begin"/>
      </w:r>
      <w:r w:rsidRPr="00F92755">
        <w:instrText xml:space="preserve"> TOC \c "Graf" </w:instrText>
      </w:r>
      <w:r w:rsidRPr="00F92755">
        <w:fldChar w:fldCharType="separate"/>
      </w:r>
      <w:r>
        <w:rPr>
          <w:noProof/>
        </w:rPr>
        <w:t>Graf 1: Subindexy jednotlivých faktorů konkurenceschopnosti</w:t>
      </w:r>
      <w:r>
        <w:rPr>
          <w:noProof/>
        </w:rPr>
        <w:tab/>
      </w:r>
      <w:r>
        <w:rPr>
          <w:noProof/>
        </w:rPr>
        <w:fldChar w:fldCharType="begin"/>
      </w:r>
      <w:r>
        <w:rPr>
          <w:noProof/>
        </w:rPr>
        <w:instrText xml:space="preserve"> PAGEREF _Toc369091957 \h </w:instrText>
      </w:r>
      <w:r>
        <w:rPr>
          <w:noProof/>
        </w:rPr>
      </w:r>
      <w:r>
        <w:rPr>
          <w:noProof/>
        </w:rPr>
        <w:fldChar w:fldCharType="separate"/>
      </w:r>
      <w:r>
        <w:rPr>
          <w:noProof/>
        </w:rPr>
        <w:t>19</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2: Dimenze inovační výkonnosti podle Innovation Union Scoreboard</w:t>
      </w:r>
      <w:r>
        <w:rPr>
          <w:noProof/>
        </w:rPr>
        <w:tab/>
      </w:r>
      <w:r>
        <w:rPr>
          <w:noProof/>
        </w:rPr>
        <w:fldChar w:fldCharType="begin"/>
      </w:r>
      <w:r>
        <w:rPr>
          <w:noProof/>
        </w:rPr>
        <w:instrText xml:space="preserve"> PAGEREF _Toc369091958 \h </w:instrText>
      </w:r>
      <w:r>
        <w:rPr>
          <w:noProof/>
        </w:rPr>
      </w:r>
      <w:r>
        <w:rPr>
          <w:noProof/>
        </w:rPr>
        <w:fldChar w:fldCharType="separate"/>
      </w:r>
      <w:r>
        <w:rPr>
          <w:noProof/>
        </w:rPr>
        <w:t>20</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3: Vývoj HDP a reálná konvergence ČR</w:t>
      </w:r>
      <w:r>
        <w:rPr>
          <w:noProof/>
        </w:rPr>
        <w:tab/>
      </w:r>
      <w:r>
        <w:rPr>
          <w:noProof/>
        </w:rPr>
        <w:fldChar w:fldCharType="begin"/>
      </w:r>
      <w:r>
        <w:rPr>
          <w:noProof/>
        </w:rPr>
        <w:instrText xml:space="preserve"> PAGEREF _Toc369091959 \h </w:instrText>
      </w:r>
      <w:r>
        <w:rPr>
          <w:noProof/>
        </w:rPr>
      </w:r>
      <w:r>
        <w:rPr>
          <w:noProof/>
        </w:rPr>
        <w:fldChar w:fldCharType="separate"/>
      </w:r>
      <w:r>
        <w:rPr>
          <w:noProof/>
        </w:rPr>
        <w:t>20</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4: Produktivita práce na jednu zaměstnanou osobu v PPS (EU28=99,9)</w:t>
      </w:r>
      <w:r>
        <w:rPr>
          <w:noProof/>
        </w:rPr>
        <w:tab/>
      </w:r>
      <w:r>
        <w:rPr>
          <w:noProof/>
        </w:rPr>
        <w:fldChar w:fldCharType="begin"/>
      </w:r>
      <w:r>
        <w:rPr>
          <w:noProof/>
        </w:rPr>
        <w:instrText xml:space="preserve"> PAGEREF _Toc369091960 \h </w:instrText>
      </w:r>
      <w:r>
        <w:rPr>
          <w:noProof/>
        </w:rPr>
      </w:r>
      <w:r>
        <w:rPr>
          <w:noProof/>
        </w:rPr>
        <w:fldChar w:fldCharType="separate"/>
      </w:r>
      <w:r>
        <w:rPr>
          <w:noProof/>
        </w:rPr>
        <w:t>21</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5: Podíl veřejných výdajů na vzdělávání a VaV na výdajích z veřejných rozpočtů (2010; %)</w:t>
      </w:r>
      <w:r>
        <w:rPr>
          <w:noProof/>
        </w:rPr>
        <w:tab/>
      </w:r>
      <w:r>
        <w:rPr>
          <w:noProof/>
        </w:rPr>
        <w:fldChar w:fldCharType="begin"/>
      </w:r>
      <w:r>
        <w:rPr>
          <w:noProof/>
        </w:rPr>
        <w:instrText xml:space="preserve"> PAGEREF _Toc369091961 \h </w:instrText>
      </w:r>
      <w:r>
        <w:rPr>
          <w:noProof/>
        </w:rPr>
      </w:r>
      <w:r>
        <w:rPr>
          <w:noProof/>
        </w:rPr>
        <w:fldChar w:fldCharType="separate"/>
      </w:r>
      <w:r>
        <w:rPr>
          <w:noProof/>
        </w:rPr>
        <w:t>22</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A.1: Celkové výdaje za VaV provedený v ČR (GERD), 1991, 1995, 2000-2012</w:t>
      </w:r>
      <w:r>
        <w:rPr>
          <w:noProof/>
        </w:rPr>
        <w:tab/>
      </w:r>
      <w:r>
        <w:rPr>
          <w:noProof/>
        </w:rPr>
        <w:fldChar w:fldCharType="begin"/>
      </w:r>
      <w:r>
        <w:rPr>
          <w:noProof/>
        </w:rPr>
        <w:instrText xml:space="preserve"> PAGEREF _Toc369091962 \h </w:instrText>
      </w:r>
      <w:r>
        <w:rPr>
          <w:noProof/>
        </w:rPr>
      </w:r>
      <w:r>
        <w:rPr>
          <w:noProof/>
        </w:rPr>
        <w:fldChar w:fldCharType="separate"/>
      </w:r>
      <w:r>
        <w:rPr>
          <w:noProof/>
        </w:rPr>
        <w:t>25</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A.2: Meziroční změny ve zdrojích financování VaV v ČR, 2008 - 2012 (mld. Kč, %)</w:t>
      </w:r>
      <w:r>
        <w:rPr>
          <w:noProof/>
        </w:rPr>
        <w:tab/>
      </w:r>
      <w:r>
        <w:rPr>
          <w:noProof/>
        </w:rPr>
        <w:fldChar w:fldCharType="begin"/>
      </w:r>
      <w:r>
        <w:rPr>
          <w:noProof/>
        </w:rPr>
        <w:instrText xml:space="preserve"> PAGEREF _Toc369091963 \h </w:instrText>
      </w:r>
      <w:r>
        <w:rPr>
          <w:noProof/>
        </w:rPr>
      </w:r>
      <w:r>
        <w:rPr>
          <w:noProof/>
        </w:rPr>
        <w:fldChar w:fldCharType="separate"/>
      </w:r>
      <w:r>
        <w:rPr>
          <w:noProof/>
        </w:rPr>
        <w:t>26</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A.3: Výdaje za VaV provedený v ČR podle zdrojů financování a sektorů užití (%)</w:t>
      </w:r>
      <w:r>
        <w:rPr>
          <w:noProof/>
        </w:rPr>
        <w:tab/>
      </w:r>
      <w:r>
        <w:rPr>
          <w:noProof/>
        </w:rPr>
        <w:fldChar w:fldCharType="begin"/>
      </w:r>
      <w:r>
        <w:rPr>
          <w:noProof/>
        </w:rPr>
        <w:instrText xml:space="preserve"> PAGEREF _Toc369091964 \h </w:instrText>
      </w:r>
      <w:r>
        <w:rPr>
          <w:noProof/>
        </w:rPr>
      </w:r>
      <w:r>
        <w:rPr>
          <w:noProof/>
        </w:rPr>
        <w:fldChar w:fldCharType="separate"/>
      </w:r>
      <w:r>
        <w:rPr>
          <w:noProof/>
        </w:rPr>
        <w:t>27</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A.4: Roční změny výdajů v sektorech provádění VaV v ČR, 2008 - 2012 (mld. Kč, %)</w:t>
      </w:r>
      <w:r>
        <w:rPr>
          <w:noProof/>
        </w:rPr>
        <w:tab/>
      </w:r>
      <w:r>
        <w:rPr>
          <w:noProof/>
        </w:rPr>
        <w:fldChar w:fldCharType="begin"/>
      </w:r>
      <w:r>
        <w:rPr>
          <w:noProof/>
        </w:rPr>
        <w:instrText xml:space="preserve"> PAGEREF _Toc369091965 \h </w:instrText>
      </w:r>
      <w:r>
        <w:rPr>
          <w:noProof/>
        </w:rPr>
      </w:r>
      <w:r>
        <w:rPr>
          <w:noProof/>
        </w:rPr>
        <w:fldChar w:fldCharType="separate"/>
      </w:r>
      <w:r>
        <w:rPr>
          <w:noProof/>
        </w:rPr>
        <w:t>28</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A.5: Výdaje na VaV v ČR podle druhu nákladů/výdajů (%)</w:t>
      </w:r>
      <w:r>
        <w:rPr>
          <w:noProof/>
        </w:rPr>
        <w:tab/>
      </w:r>
      <w:r>
        <w:rPr>
          <w:noProof/>
        </w:rPr>
        <w:fldChar w:fldCharType="begin"/>
      </w:r>
      <w:r>
        <w:rPr>
          <w:noProof/>
        </w:rPr>
        <w:instrText xml:space="preserve"> PAGEREF _Toc369091966 \h </w:instrText>
      </w:r>
      <w:r>
        <w:rPr>
          <w:noProof/>
        </w:rPr>
      </w:r>
      <w:r>
        <w:rPr>
          <w:noProof/>
        </w:rPr>
        <w:fldChar w:fldCharType="separate"/>
      </w:r>
      <w:r>
        <w:rPr>
          <w:noProof/>
        </w:rPr>
        <w:t>29</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A.6: Výdaje na VaV v ČR podle typu prováděné VaV činnosti (%)</w:t>
      </w:r>
      <w:r>
        <w:rPr>
          <w:noProof/>
        </w:rPr>
        <w:tab/>
      </w:r>
      <w:r>
        <w:rPr>
          <w:noProof/>
        </w:rPr>
        <w:fldChar w:fldCharType="begin"/>
      </w:r>
      <w:r>
        <w:rPr>
          <w:noProof/>
        </w:rPr>
        <w:instrText xml:space="preserve"> PAGEREF _Toc369091967 \h </w:instrText>
      </w:r>
      <w:r>
        <w:rPr>
          <w:noProof/>
        </w:rPr>
      </w:r>
      <w:r>
        <w:rPr>
          <w:noProof/>
        </w:rPr>
        <w:fldChar w:fldCharType="separate"/>
      </w:r>
      <w:r>
        <w:rPr>
          <w:noProof/>
        </w:rPr>
        <w:t>30</w:t>
      </w:r>
      <w:r>
        <w:rPr>
          <w:noProof/>
        </w:rPr>
        <w:fldChar w:fldCharType="end"/>
      </w:r>
    </w:p>
    <w:p w:rsidR="009D46E6" w:rsidRDefault="009D46E6" w:rsidP="002A0905">
      <w:pPr>
        <w:pStyle w:val="TableofFigures"/>
        <w:ind w:left="851" w:hanging="851"/>
        <w:rPr>
          <w:rFonts w:ascii="Calibri" w:hAnsi="Calibri" w:cs="Times New Roman"/>
          <w:noProof/>
          <w:sz w:val="22"/>
          <w:szCs w:val="22"/>
          <w:lang w:eastAsia="cs-CZ"/>
        </w:rPr>
      </w:pPr>
      <w:r>
        <w:rPr>
          <w:noProof/>
        </w:rPr>
        <w:t>Graf A.7: Celkové výdaje na VaV v jednotlivých sektorech podle převažující vědní a ekonomické oblasti sledovaných subjektů (%)</w:t>
      </w:r>
      <w:r>
        <w:rPr>
          <w:noProof/>
        </w:rPr>
        <w:tab/>
      </w:r>
      <w:r>
        <w:rPr>
          <w:noProof/>
        </w:rPr>
        <w:fldChar w:fldCharType="begin"/>
      </w:r>
      <w:r>
        <w:rPr>
          <w:noProof/>
        </w:rPr>
        <w:instrText xml:space="preserve"> PAGEREF _Toc369091968 \h </w:instrText>
      </w:r>
      <w:r>
        <w:rPr>
          <w:noProof/>
        </w:rPr>
      </w:r>
      <w:r>
        <w:rPr>
          <w:noProof/>
        </w:rPr>
        <w:fldChar w:fldCharType="separate"/>
      </w:r>
      <w:r>
        <w:rPr>
          <w:noProof/>
        </w:rPr>
        <w:t>30</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A.8: Výzkum a vývoj v krajích ČR, 2012 (%)</w:t>
      </w:r>
      <w:r>
        <w:rPr>
          <w:noProof/>
        </w:rPr>
        <w:tab/>
      </w:r>
      <w:r>
        <w:rPr>
          <w:noProof/>
        </w:rPr>
        <w:fldChar w:fldCharType="begin"/>
      </w:r>
      <w:r>
        <w:rPr>
          <w:noProof/>
        </w:rPr>
        <w:instrText xml:space="preserve"> PAGEREF _Toc369091969 \h </w:instrText>
      </w:r>
      <w:r>
        <w:rPr>
          <w:noProof/>
        </w:rPr>
      </w:r>
      <w:r>
        <w:rPr>
          <w:noProof/>
        </w:rPr>
        <w:fldChar w:fldCharType="separate"/>
      </w:r>
      <w:r>
        <w:rPr>
          <w:noProof/>
        </w:rPr>
        <w:t>31</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A.9: Intenzita celkových výdajů na VaV, 2000 a 2011 (GERD jako % HDP)</w:t>
      </w:r>
      <w:r>
        <w:rPr>
          <w:noProof/>
        </w:rPr>
        <w:tab/>
      </w:r>
      <w:r>
        <w:rPr>
          <w:noProof/>
        </w:rPr>
        <w:fldChar w:fldCharType="begin"/>
      </w:r>
      <w:r>
        <w:rPr>
          <w:noProof/>
        </w:rPr>
        <w:instrText xml:space="preserve"> PAGEREF _Toc369091970 \h </w:instrText>
      </w:r>
      <w:r>
        <w:rPr>
          <w:noProof/>
        </w:rPr>
      </w:r>
      <w:r>
        <w:rPr>
          <w:noProof/>
        </w:rPr>
        <w:fldChar w:fldCharType="separate"/>
      </w:r>
      <w:r>
        <w:rPr>
          <w:noProof/>
        </w:rPr>
        <w:t>33</w:t>
      </w:r>
      <w:r>
        <w:rPr>
          <w:noProof/>
        </w:rPr>
        <w:fldChar w:fldCharType="end"/>
      </w:r>
    </w:p>
    <w:p w:rsidR="009D46E6" w:rsidRDefault="009D46E6" w:rsidP="002A0905">
      <w:pPr>
        <w:pStyle w:val="TableofFigures"/>
        <w:ind w:left="993" w:hanging="993"/>
        <w:rPr>
          <w:rFonts w:ascii="Calibri" w:hAnsi="Calibri" w:cs="Times New Roman"/>
          <w:noProof/>
          <w:sz w:val="22"/>
          <w:szCs w:val="22"/>
          <w:lang w:eastAsia="cs-CZ"/>
        </w:rPr>
      </w:pPr>
      <w:r>
        <w:rPr>
          <w:noProof/>
        </w:rPr>
        <w:t>Graf A.10: Vývoj intenzity celkových výdajů na VaV ve vybraných velkých a menších zemích v posledních deseti letech, 2001-2011 (GERD jako % HDP)</w:t>
      </w:r>
      <w:r>
        <w:rPr>
          <w:noProof/>
        </w:rPr>
        <w:tab/>
      </w:r>
      <w:r>
        <w:rPr>
          <w:noProof/>
        </w:rPr>
        <w:fldChar w:fldCharType="begin"/>
      </w:r>
      <w:r>
        <w:rPr>
          <w:noProof/>
        </w:rPr>
        <w:instrText xml:space="preserve"> PAGEREF _Toc369091971 \h </w:instrText>
      </w:r>
      <w:r>
        <w:rPr>
          <w:noProof/>
        </w:rPr>
      </w:r>
      <w:r>
        <w:rPr>
          <w:noProof/>
        </w:rPr>
        <w:fldChar w:fldCharType="separate"/>
      </w:r>
      <w:r>
        <w:rPr>
          <w:noProof/>
        </w:rPr>
        <w:t>34</w:t>
      </w:r>
      <w:r>
        <w:rPr>
          <w:noProof/>
        </w:rPr>
        <w:fldChar w:fldCharType="end"/>
      </w:r>
    </w:p>
    <w:p w:rsidR="009D46E6" w:rsidRDefault="009D46E6" w:rsidP="002A0905">
      <w:pPr>
        <w:pStyle w:val="TableofFigures"/>
        <w:ind w:left="993" w:hanging="993"/>
        <w:rPr>
          <w:rFonts w:ascii="Calibri" w:hAnsi="Calibri" w:cs="Times New Roman"/>
          <w:noProof/>
          <w:sz w:val="22"/>
          <w:szCs w:val="22"/>
          <w:lang w:eastAsia="cs-CZ"/>
        </w:rPr>
      </w:pPr>
      <w:r>
        <w:rPr>
          <w:noProof/>
        </w:rPr>
        <w:t>Graf A.11: Celkové výdaje na VaV (GERD) na 1 obyvatele, 2011 (USD v PPP a Eur)</w:t>
      </w:r>
      <w:r>
        <w:rPr>
          <w:noProof/>
        </w:rPr>
        <w:tab/>
      </w:r>
      <w:r>
        <w:rPr>
          <w:noProof/>
        </w:rPr>
        <w:fldChar w:fldCharType="begin"/>
      </w:r>
      <w:r>
        <w:rPr>
          <w:noProof/>
        </w:rPr>
        <w:instrText xml:space="preserve"> PAGEREF _Toc369091972 \h </w:instrText>
      </w:r>
      <w:r>
        <w:rPr>
          <w:noProof/>
        </w:rPr>
      </w:r>
      <w:r>
        <w:rPr>
          <w:noProof/>
        </w:rPr>
        <w:fldChar w:fldCharType="separate"/>
      </w:r>
      <w:r>
        <w:rPr>
          <w:noProof/>
        </w:rPr>
        <w:t>34</w:t>
      </w:r>
      <w:r>
        <w:rPr>
          <w:noProof/>
        </w:rPr>
        <w:fldChar w:fldCharType="end"/>
      </w:r>
    </w:p>
    <w:p w:rsidR="009D46E6" w:rsidRDefault="009D46E6" w:rsidP="002A0905">
      <w:pPr>
        <w:pStyle w:val="TableofFigures"/>
        <w:ind w:left="993" w:hanging="993"/>
        <w:rPr>
          <w:rFonts w:ascii="Calibri" w:hAnsi="Calibri" w:cs="Times New Roman"/>
          <w:noProof/>
          <w:sz w:val="22"/>
          <w:szCs w:val="22"/>
          <w:lang w:eastAsia="cs-CZ"/>
        </w:rPr>
      </w:pPr>
      <w:r>
        <w:rPr>
          <w:noProof/>
        </w:rPr>
        <w:t>Graf A.12: Celkové výdaje na VaV podle zdrojů financování a sektorů užití, 2010 (%)</w:t>
      </w:r>
      <w:r>
        <w:rPr>
          <w:noProof/>
        </w:rPr>
        <w:tab/>
      </w:r>
      <w:r>
        <w:rPr>
          <w:noProof/>
        </w:rPr>
        <w:fldChar w:fldCharType="begin"/>
      </w:r>
      <w:r>
        <w:rPr>
          <w:noProof/>
        </w:rPr>
        <w:instrText xml:space="preserve"> PAGEREF _Toc369091973 \h </w:instrText>
      </w:r>
      <w:r>
        <w:rPr>
          <w:noProof/>
        </w:rPr>
      </w:r>
      <w:r>
        <w:rPr>
          <w:noProof/>
        </w:rPr>
        <w:fldChar w:fldCharType="separate"/>
      </w:r>
      <w:r>
        <w:rPr>
          <w:noProof/>
        </w:rPr>
        <w:t>35</w:t>
      </w:r>
      <w:r>
        <w:rPr>
          <w:noProof/>
        </w:rPr>
        <w:fldChar w:fldCharType="end"/>
      </w:r>
    </w:p>
    <w:p w:rsidR="009D46E6" w:rsidRDefault="009D46E6" w:rsidP="002A0905">
      <w:pPr>
        <w:pStyle w:val="TableofFigures"/>
        <w:ind w:left="993" w:hanging="993"/>
        <w:rPr>
          <w:rFonts w:ascii="Calibri" w:hAnsi="Calibri" w:cs="Times New Roman"/>
          <w:noProof/>
          <w:sz w:val="22"/>
          <w:szCs w:val="22"/>
          <w:lang w:eastAsia="cs-CZ"/>
        </w:rPr>
      </w:pPr>
      <w:r>
        <w:rPr>
          <w:noProof/>
        </w:rPr>
        <w:t>Graf A.13: Výdaje za VaV ve vládním a vysokoškolském sektoru ČR, 2000-2012</w:t>
      </w:r>
      <w:r>
        <w:rPr>
          <w:noProof/>
        </w:rPr>
        <w:tab/>
      </w:r>
      <w:r>
        <w:rPr>
          <w:noProof/>
        </w:rPr>
        <w:fldChar w:fldCharType="begin"/>
      </w:r>
      <w:r>
        <w:rPr>
          <w:noProof/>
        </w:rPr>
        <w:instrText xml:space="preserve"> PAGEREF _Toc369091974 \h </w:instrText>
      </w:r>
      <w:r>
        <w:rPr>
          <w:noProof/>
        </w:rPr>
      </w:r>
      <w:r>
        <w:rPr>
          <w:noProof/>
        </w:rPr>
        <w:fldChar w:fldCharType="separate"/>
      </w:r>
      <w:r>
        <w:rPr>
          <w:noProof/>
        </w:rPr>
        <w:t>36</w:t>
      </w:r>
      <w:r>
        <w:rPr>
          <w:noProof/>
        </w:rPr>
        <w:fldChar w:fldCharType="end"/>
      </w:r>
    </w:p>
    <w:p w:rsidR="009D46E6" w:rsidRDefault="009D46E6" w:rsidP="002A0905">
      <w:pPr>
        <w:pStyle w:val="TableofFigures"/>
        <w:ind w:left="993" w:hanging="993"/>
        <w:rPr>
          <w:rFonts w:ascii="Calibri" w:hAnsi="Calibri" w:cs="Times New Roman"/>
          <w:noProof/>
          <w:sz w:val="22"/>
          <w:szCs w:val="22"/>
          <w:lang w:eastAsia="cs-CZ"/>
        </w:rPr>
      </w:pPr>
      <w:r>
        <w:rPr>
          <w:noProof/>
        </w:rPr>
        <w:t>Graf A.14: Roční změny ve výdajích za VaV provedený na hlavních pracovištích ve vládním a vysokoškolském sektoru ČR, 2008-2012 (mld. Kč, %)</w:t>
      </w:r>
      <w:r>
        <w:rPr>
          <w:noProof/>
        </w:rPr>
        <w:tab/>
      </w:r>
      <w:r>
        <w:rPr>
          <w:noProof/>
        </w:rPr>
        <w:fldChar w:fldCharType="begin"/>
      </w:r>
      <w:r>
        <w:rPr>
          <w:noProof/>
        </w:rPr>
        <w:instrText xml:space="preserve"> PAGEREF _Toc369091975 \h </w:instrText>
      </w:r>
      <w:r>
        <w:rPr>
          <w:noProof/>
        </w:rPr>
      </w:r>
      <w:r>
        <w:rPr>
          <w:noProof/>
        </w:rPr>
        <w:fldChar w:fldCharType="separate"/>
      </w:r>
      <w:r>
        <w:rPr>
          <w:noProof/>
        </w:rPr>
        <w:t>38</w:t>
      </w:r>
      <w:r>
        <w:rPr>
          <w:noProof/>
        </w:rPr>
        <w:fldChar w:fldCharType="end"/>
      </w:r>
    </w:p>
    <w:p w:rsidR="009D46E6" w:rsidRDefault="009D46E6" w:rsidP="002A0905">
      <w:pPr>
        <w:pStyle w:val="TableofFigures"/>
        <w:ind w:left="993" w:hanging="993"/>
        <w:rPr>
          <w:rFonts w:ascii="Calibri" w:hAnsi="Calibri" w:cs="Times New Roman"/>
          <w:noProof/>
          <w:sz w:val="22"/>
          <w:szCs w:val="22"/>
          <w:lang w:eastAsia="cs-CZ"/>
        </w:rPr>
      </w:pPr>
      <w:r>
        <w:rPr>
          <w:noProof/>
        </w:rPr>
        <w:t>Graf A.15: Výdaje za VaV ve veřejném sektoru ČR podle zdrojů financování (%)</w:t>
      </w:r>
      <w:r>
        <w:rPr>
          <w:noProof/>
        </w:rPr>
        <w:tab/>
      </w:r>
      <w:r>
        <w:rPr>
          <w:noProof/>
        </w:rPr>
        <w:fldChar w:fldCharType="begin"/>
      </w:r>
      <w:r>
        <w:rPr>
          <w:noProof/>
        </w:rPr>
        <w:instrText xml:space="preserve"> PAGEREF _Toc369091976 \h </w:instrText>
      </w:r>
      <w:r>
        <w:rPr>
          <w:noProof/>
        </w:rPr>
      </w:r>
      <w:r>
        <w:rPr>
          <w:noProof/>
        </w:rPr>
        <w:fldChar w:fldCharType="separate"/>
      </w:r>
      <w:r>
        <w:rPr>
          <w:noProof/>
        </w:rPr>
        <w:t>38</w:t>
      </w:r>
      <w:r>
        <w:rPr>
          <w:noProof/>
        </w:rPr>
        <w:fldChar w:fldCharType="end"/>
      </w:r>
    </w:p>
    <w:p w:rsidR="009D46E6" w:rsidRDefault="009D46E6" w:rsidP="002A0905">
      <w:pPr>
        <w:pStyle w:val="TableofFigures"/>
        <w:ind w:left="993" w:hanging="993"/>
        <w:rPr>
          <w:rFonts w:ascii="Calibri" w:hAnsi="Calibri" w:cs="Times New Roman"/>
          <w:noProof/>
          <w:sz w:val="22"/>
          <w:szCs w:val="22"/>
          <w:lang w:eastAsia="cs-CZ"/>
        </w:rPr>
      </w:pPr>
      <w:r>
        <w:rPr>
          <w:noProof/>
        </w:rPr>
        <w:t>Graf A.16: Výdaje za VaV ve veřejném sektoru ČR podle prováděné činnosti (%)</w:t>
      </w:r>
      <w:r>
        <w:rPr>
          <w:noProof/>
        </w:rPr>
        <w:tab/>
      </w:r>
      <w:r>
        <w:rPr>
          <w:noProof/>
        </w:rPr>
        <w:fldChar w:fldCharType="begin"/>
      </w:r>
      <w:r>
        <w:rPr>
          <w:noProof/>
        </w:rPr>
        <w:instrText xml:space="preserve"> PAGEREF _Toc369091977 \h </w:instrText>
      </w:r>
      <w:r>
        <w:rPr>
          <w:noProof/>
        </w:rPr>
      </w:r>
      <w:r>
        <w:rPr>
          <w:noProof/>
        </w:rPr>
        <w:fldChar w:fldCharType="separate"/>
      </w:r>
      <w:r>
        <w:rPr>
          <w:noProof/>
        </w:rPr>
        <w:t>39</w:t>
      </w:r>
      <w:r>
        <w:rPr>
          <w:noProof/>
        </w:rPr>
        <w:fldChar w:fldCharType="end"/>
      </w:r>
    </w:p>
    <w:p w:rsidR="009D46E6" w:rsidRDefault="009D46E6" w:rsidP="002A0905">
      <w:pPr>
        <w:pStyle w:val="TableofFigures"/>
        <w:ind w:left="993" w:hanging="993"/>
        <w:rPr>
          <w:rFonts w:ascii="Calibri" w:hAnsi="Calibri" w:cs="Times New Roman"/>
          <w:noProof/>
          <w:sz w:val="22"/>
          <w:szCs w:val="22"/>
          <w:lang w:eastAsia="cs-CZ"/>
        </w:rPr>
      </w:pPr>
      <w:r>
        <w:rPr>
          <w:noProof/>
        </w:rPr>
        <w:t>Graf A.17: Výdaje za VaV ve veřejném sektoru ČR podle prováděné činnosti (%)</w:t>
      </w:r>
      <w:r>
        <w:rPr>
          <w:noProof/>
        </w:rPr>
        <w:tab/>
      </w:r>
      <w:r>
        <w:rPr>
          <w:noProof/>
        </w:rPr>
        <w:fldChar w:fldCharType="begin"/>
      </w:r>
      <w:r>
        <w:rPr>
          <w:noProof/>
        </w:rPr>
        <w:instrText xml:space="preserve"> PAGEREF _Toc369091978 \h </w:instrText>
      </w:r>
      <w:r>
        <w:rPr>
          <w:noProof/>
        </w:rPr>
      </w:r>
      <w:r>
        <w:rPr>
          <w:noProof/>
        </w:rPr>
        <w:fldChar w:fldCharType="separate"/>
      </w:r>
      <w:r>
        <w:rPr>
          <w:noProof/>
        </w:rPr>
        <w:t>40</w:t>
      </w:r>
      <w:r>
        <w:rPr>
          <w:noProof/>
        </w:rPr>
        <w:fldChar w:fldCharType="end"/>
      </w:r>
    </w:p>
    <w:p w:rsidR="009D46E6" w:rsidRDefault="009D46E6" w:rsidP="002A0905">
      <w:pPr>
        <w:pStyle w:val="TableofFigures"/>
        <w:ind w:left="993" w:hanging="993"/>
        <w:rPr>
          <w:rFonts w:ascii="Calibri" w:hAnsi="Calibri" w:cs="Times New Roman"/>
          <w:noProof/>
          <w:sz w:val="22"/>
          <w:szCs w:val="22"/>
          <w:lang w:eastAsia="cs-CZ"/>
        </w:rPr>
      </w:pPr>
      <w:r>
        <w:rPr>
          <w:noProof/>
        </w:rPr>
        <w:t>Graf A.18: Výdaje za provedený VaV ve vládním (GOVERD) a VŠ (HERD) sektoru, 2011 (struktura, %)</w:t>
      </w:r>
      <w:r>
        <w:rPr>
          <w:noProof/>
        </w:rPr>
        <w:tab/>
      </w:r>
      <w:r>
        <w:rPr>
          <w:noProof/>
        </w:rPr>
        <w:fldChar w:fldCharType="begin"/>
      </w:r>
      <w:r>
        <w:rPr>
          <w:noProof/>
        </w:rPr>
        <w:instrText xml:space="preserve"> PAGEREF _Toc369091979 \h </w:instrText>
      </w:r>
      <w:r>
        <w:rPr>
          <w:noProof/>
        </w:rPr>
      </w:r>
      <w:r>
        <w:rPr>
          <w:noProof/>
        </w:rPr>
        <w:fldChar w:fldCharType="separate"/>
      </w:r>
      <w:r>
        <w:rPr>
          <w:noProof/>
        </w:rPr>
        <w:t>41</w:t>
      </w:r>
      <w:r>
        <w:rPr>
          <w:noProof/>
        </w:rPr>
        <w:fldChar w:fldCharType="end"/>
      </w:r>
    </w:p>
    <w:p w:rsidR="009D46E6" w:rsidRDefault="009D46E6" w:rsidP="002A0905">
      <w:pPr>
        <w:pStyle w:val="TableofFigures"/>
        <w:ind w:left="993" w:hanging="993"/>
        <w:rPr>
          <w:rFonts w:ascii="Calibri" w:hAnsi="Calibri" w:cs="Times New Roman"/>
          <w:noProof/>
          <w:sz w:val="22"/>
          <w:szCs w:val="22"/>
          <w:lang w:eastAsia="cs-CZ"/>
        </w:rPr>
      </w:pPr>
      <w:r>
        <w:rPr>
          <w:noProof/>
        </w:rPr>
        <w:t>Graf A.19: Intenzita výdajů na VaV ve vládním a vysokoškolském sektoru (% HDP)</w:t>
      </w:r>
      <w:r>
        <w:rPr>
          <w:noProof/>
        </w:rPr>
        <w:tab/>
      </w:r>
      <w:r>
        <w:rPr>
          <w:noProof/>
        </w:rPr>
        <w:fldChar w:fldCharType="begin"/>
      </w:r>
      <w:r>
        <w:rPr>
          <w:noProof/>
        </w:rPr>
        <w:instrText xml:space="preserve"> PAGEREF _Toc369091980 \h </w:instrText>
      </w:r>
      <w:r>
        <w:rPr>
          <w:noProof/>
        </w:rPr>
      </w:r>
      <w:r>
        <w:rPr>
          <w:noProof/>
        </w:rPr>
        <w:fldChar w:fldCharType="separate"/>
      </w:r>
      <w:r>
        <w:rPr>
          <w:noProof/>
        </w:rPr>
        <w:t>42</w:t>
      </w:r>
      <w:r>
        <w:rPr>
          <w:noProof/>
        </w:rPr>
        <w:fldChar w:fldCharType="end"/>
      </w:r>
    </w:p>
    <w:p w:rsidR="009D46E6" w:rsidRDefault="009D46E6" w:rsidP="002A0905">
      <w:pPr>
        <w:pStyle w:val="TableofFigures"/>
        <w:ind w:left="993" w:hanging="993"/>
        <w:rPr>
          <w:rFonts w:ascii="Calibri" w:hAnsi="Calibri" w:cs="Times New Roman"/>
          <w:noProof/>
          <w:sz w:val="22"/>
          <w:szCs w:val="22"/>
          <w:lang w:eastAsia="cs-CZ"/>
        </w:rPr>
      </w:pPr>
      <w:r>
        <w:rPr>
          <w:noProof/>
        </w:rPr>
        <w:t>Graf A.20: Výdaje na VaV ve vysokoškolském sektoru na studenta (US$ v PPP), 2011</w:t>
      </w:r>
      <w:r>
        <w:rPr>
          <w:noProof/>
        </w:rPr>
        <w:tab/>
      </w:r>
      <w:r>
        <w:rPr>
          <w:noProof/>
        </w:rPr>
        <w:fldChar w:fldCharType="begin"/>
      </w:r>
      <w:r>
        <w:rPr>
          <w:noProof/>
        </w:rPr>
        <w:instrText xml:space="preserve"> PAGEREF _Toc369091981 \h </w:instrText>
      </w:r>
      <w:r>
        <w:rPr>
          <w:noProof/>
        </w:rPr>
      </w:r>
      <w:r>
        <w:rPr>
          <w:noProof/>
        </w:rPr>
        <w:fldChar w:fldCharType="separate"/>
      </w:r>
      <w:r>
        <w:rPr>
          <w:noProof/>
        </w:rPr>
        <w:t>43</w:t>
      </w:r>
      <w:r>
        <w:rPr>
          <w:noProof/>
        </w:rPr>
        <w:fldChar w:fldCharType="end"/>
      </w:r>
    </w:p>
    <w:p w:rsidR="009D46E6" w:rsidRDefault="009D46E6" w:rsidP="002A0905">
      <w:pPr>
        <w:pStyle w:val="TableofFigures"/>
        <w:ind w:left="993" w:hanging="993"/>
        <w:rPr>
          <w:rFonts w:ascii="Calibri" w:hAnsi="Calibri" w:cs="Times New Roman"/>
          <w:noProof/>
          <w:sz w:val="22"/>
          <w:szCs w:val="22"/>
          <w:lang w:eastAsia="cs-CZ"/>
        </w:rPr>
      </w:pPr>
      <w:r>
        <w:rPr>
          <w:noProof/>
        </w:rPr>
        <w:t>Graf A.21: Výdaje na VaV ve VŠ a vládním sektoru financované ze soukromých tuzemských zdrojů (%)</w:t>
      </w:r>
      <w:r>
        <w:rPr>
          <w:noProof/>
        </w:rPr>
        <w:tab/>
      </w:r>
      <w:r>
        <w:rPr>
          <w:noProof/>
        </w:rPr>
        <w:fldChar w:fldCharType="begin"/>
      </w:r>
      <w:r>
        <w:rPr>
          <w:noProof/>
        </w:rPr>
        <w:instrText xml:space="preserve"> PAGEREF _Toc369091982 \h </w:instrText>
      </w:r>
      <w:r>
        <w:rPr>
          <w:noProof/>
        </w:rPr>
      </w:r>
      <w:r>
        <w:rPr>
          <w:noProof/>
        </w:rPr>
        <w:fldChar w:fldCharType="separate"/>
      </w:r>
      <w:r>
        <w:rPr>
          <w:noProof/>
        </w:rPr>
        <w:t>43</w:t>
      </w:r>
      <w:r>
        <w:rPr>
          <w:noProof/>
        </w:rPr>
        <w:fldChar w:fldCharType="end"/>
      </w:r>
    </w:p>
    <w:p w:rsidR="009D46E6" w:rsidRDefault="009D46E6" w:rsidP="002A0905">
      <w:pPr>
        <w:pStyle w:val="TableofFigures"/>
        <w:ind w:left="993" w:hanging="993"/>
        <w:rPr>
          <w:rFonts w:ascii="Calibri" w:hAnsi="Calibri" w:cs="Times New Roman"/>
          <w:noProof/>
          <w:sz w:val="22"/>
          <w:szCs w:val="22"/>
          <w:lang w:eastAsia="cs-CZ"/>
        </w:rPr>
      </w:pPr>
      <w:r>
        <w:rPr>
          <w:noProof/>
        </w:rPr>
        <w:t>Graf A.22: Měsíční mzdové náklady na VaV připadající na zaměstnance VaV (FTE) pracujícího ve vysokoškolském (HES) a vládním (GOV) sektoru, 2010 (PPP)</w:t>
      </w:r>
      <w:r>
        <w:rPr>
          <w:noProof/>
        </w:rPr>
        <w:tab/>
      </w:r>
      <w:r>
        <w:rPr>
          <w:noProof/>
        </w:rPr>
        <w:fldChar w:fldCharType="begin"/>
      </w:r>
      <w:r>
        <w:rPr>
          <w:noProof/>
        </w:rPr>
        <w:instrText xml:space="preserve"> PAGEREF _Toc369091983 \h </w:instrText>
      </w:r>
      <w:r>
        <w:rPr>
          <w:noProof/>
        </w:rPr>
      </w:r>
      <w:r>
        <w:rPr>
          <w:noProof/>
        </w:rPr>
        <w:fldChar w:fldCharType="separate"/>
      </w:r>
      <w:r>
        <w:rPr>
          <w:noProof/>
        </w:rPr>
        <w:t>44</w:t>
      </w:r>
      <w:r>
        <w:rPr>
          <w:noProof/>
        </w:rPr>
        <w:fldChar w:fldCharType="end"/>
      </w:r>
    </w:p>
    <w:p w:rsidR="009D46E6" w:rsidRDefault="009D46E6" w:rsidP="002A0905">
      <w:pPr>
        <w:pStyle w:val="TableofFigures"/>
        <w:ind w:left="993" w:hanging="993"/>
        <w:rPr>
          <w:rFonts w:ascii="Calibri" w:hAnsi="Calibri" w:cs="Times New Roman"/>
          <w:noProof/>
          <w:sz w:val="22"/>
          <w:szCs w:val="22"/>
          <w:lang w:eastAsia="cs-CZ"/>
        </w:rPr>
      </w:pPr>
      <w:r>
        <w:rPr>
          <w:noProof/>
        </w:rPr>
        <w:t>Graf A.23: Výdaje za VaV provedený v podnikatelském sektoru ČR (BERD), 1995-2012</w:t>
      </w:r>
      <w:r>
        <w:rPr>
          <w:noProof/>
        </w:rPr>
        <w:tab/>
      </w:r>
      <w:r>
        <w:rPr>
          <w:noProof/>
        </w:rPr>
        <w:fldChar w:fldCharType="begin"/>
      </w:r>
      <w:r>
        <w:rPr>
          <w:noProof/>
        </w:rPr>
        <w:instrText xml:space="preserve"> PAGEREF _Toc369091984 \h </w:instrText>
      </w:r>
      <w:r>
        <w:rPr>
          <w:noProof/>
        </w:rPr>
      </w:r>
      <w:r>
        <w:rPr>
          <w:noProof/>
        </w:rPr>
        <w:fldChar w:fldCharType="separate"/>
      </w:r>
      <w:r>
        <w:rPr>
          <w:noProof/>
        </w:rPr>
        <w:t>45</w:t>
      </w:r>
      <w:r>
        <w:rPr>
          <w:noProof/>
        </w:rPr>
        <w:fldChar w:fldCharType="end"/>
      </w:r>
    </w:p>
    <w:p w:rsidR="009D46E6" w:rsidRDefault="009D46E6" w:rsidP="002A0905">
      <w:pPr>
        <w:pStyle w:val="TableofFigures"/>
        <w:ind w:left="993" w:hanging="993"/>
        <w:rPr>
          <w:rFonts w:ascii="Calibri" w:hAnsi="Calibri" w:cs="Times New Roman"/>
          <w:noProof/>
          <w:sz w:val="22"/>
          <w:szCs w:val="22"/>
          <w:lang w:eastAsia="cs-CZ"/>
        </w:rPr>
      </w:pPr>
      <w:r>
        <w:rPr>
          <w:noProof/>
        </w:rPr>
        <w:t>Graf A.24: Výdaje za VaV provedený v podnikatelském sektoru ČR (BERD) podle vlastnictví, velikosti a převažující činnosti sledovaných subjektů (mld. Kč, %)</w:t>
      </w:r>
      <w:r>
        <w:rPr>
          <w:noProof/>
        </w:rPr>
        <w:tab/>
      </w:r>
      <w:r>
        <w:rPr>
          <w:noProof/>
        </w:rPr>
        <w:fldChar w:fldCharType="begin"/>
      </w:r>
      <w:r>
        <w:rPr>
          <w:noProof/>
        </w:rPr>
        <w:instrText xml:space="preserve"> PAGEREF _Toc369091985 \h </w:instrText>
      </w:r>
      <w:r>
        <w:rPr>
          <w:noProof/>
        </w:rPr>
      </w:r>
      <w:r>
        <w:rPr>
          <w:noProof/>
        </w:rPr>
        <w:fldChar w:fldCharType="separate"/>
      </w:r>
      <w:r>
        <w:rPr>
          <w:noProof/>
        </w:rPr>
        <w:t>46</w:t>
      </w:r>
      <w:r>
        <w:rPr>
          <w:noProof/>
        </w:rPr>
        <w:fldChar w:fldCharType="end"/>
      </w:r>
    </w:p>
    <w:p w:rsidR="009D46E6" w:rsidRDefault="009D46E6" w:rsidP="002A0905">
      <w:pPr>
        <w:pStyle w:val="TableofFigures"/>
        <w:ind w:left="993" w:hanging="993"/>
        <w:rPr>
          <w:rFonts w:ascii="Calibri" w:hAnsi="Calibri" w:cs="Times New Roman"/>
          <w:noProof/>
          <w:sz w:val="22"/>
          <w:szCs w:val="22"/>
          <w:lang w:eastAsia="cs-CZ"/>
        </w:rPr>
      </w:pPr>
      <w:r>
        <w:rPr>
          <w:noProof/>
        </w:rPr>
        <w:t>Graf A.25: Výdaje za VaV provedený v podnik. sektoru ČR (BERD) podle zdrojů jejich financování (%)</w:t>
      </w:r>
      <w:r>
        <w:rPr>
          <w:noProof/>
        </w:rPr>
        <w:tab/>
      </w:r>
      <w:r>
        <w:rPr>
          <w:noProof/>
        </w:rPr>
        <w:fldChar w:fldCharType="begin"/>
      </w:r>
      <w:r>
        <w:rPr>
          <w:noProof/>
        </w:rPr>
        <w:instrText xml:space="preserve"> PAGEREF _Toc369091986 \h </w:instrText>
      </w:r>
      <w:r>
        <w:rPr>
          <w:noProof/>
        </w:rPr>
      </w:r>
      <w:r>
        <w:rPr>
          <w:noProof/>
        </w:rPr>
        <w:fldChar w:fldCharType="separate"/>
      </w:r>
      <w:r>
        <w:rPr>
          <w:noProof/>
        </w:rPr>
        <w:t>48</w:t>
      </w:r>
      <w:r>
        <w:rPr>
          <w:noProof/>
        </w:rPr>
        <w:fldChar w:fldCharType="end"/>
      </w:r>
    </w:p>
    <w:p w:rsidR="009D46E6" w:rsidRDefault="009D46E6" w:rsidP="002A0905">
      <w:pPr>
        <w:pStyle w:val="TableofFigures"/>
        <w:ind w:left="993" w:hanging="993"/>
        <w:rPr>
          <w:rFonts w:ascii="Calibri" w:hAnsi="Calibri" w:cs="Times New Roman"/>
          <w:noProof/>
          <w:sz w:val="22"/>
          <w:szCs w:val="22"/>
          <w:lang w:eastAsia="cs-CZ"/>
        </w:rPr>
      </w:pPr>
      <w:r>
        <w:rPr>
          <w:noProof/>
        </w:rPr>
        <w:t>Graf A.26: Výdaje za provedený VaV ve zpracovatelském průmyslu ČR podle odvětví (%)</w:t>
      </w:r>
      <w:r>
        <w:rPr>
          <w:noProof/>
        </w:rPr>
        <w:tab/>
      </w:r>
      <w:r>
        <w:rPr>
          <w:noProof/>
        </w:rPr>
        <w:fldChar w:fldCharType="begin"/>
      </w:r>
      <w:r>
        <w:rPr>
          <w:noProof/>
        </w:rPr>
        <w:instrText xml:space="preserve"> PAGEREF _Toc369091987 \h </w:instrText>
      </w:r>
      <w:r>
        <w:rPr>
          <w:noProof/>
        </w:rPr>
      </w:r>
      <w:r>
        <w:rPr>
          <w:noProof/>
        </w:rPr>
        <w:fldChar w:fldCharType="separate"/>
      </w:r>
      <w:r>
        <w:rPr>
          <w:noProof/>
        </w:rPr>
        <w:t>48</w:t>
      </w:r>
      <w:r>
        <w:rPr>
          <w:noProof/>
        </w:rPr>
        <w:fldChar w:fldCharType="end"/>
      </w:r>
    </w:p>
    <w:p w:rsidR="009D46E6" w:rsidRDefault="009D46E6" w:rsidP="002A0905">
      <w:pPr>
        <w:pStyle w:val="TableofFigures"/>
        <w:ind w:left="993" w:hanging="993"/>
        <w:rPr>
          <w:rFonts w:ascii="Calibri" w:hAnsi="Calibri" w:cs="Times New Roman"/>
          <w:noProof/>
          <w:sz w:val="22"/>
          <w:szCs w:val="22"/>
          <w:lang w:eastAsia="cs-CZ"/>
        </w:rPr>
      </w:pPr>
      <w:r>
        <w:rPr>
          <w:noProof/>
        </w:rPr>
        <w:t>Graf A.27: Výdaje na VaV v podnikatelském sektoru v krajích ČR (% BERD)</w:t>
      </w:r>
      <w:r>
        <w:rPr>
          <w:noProof/>
        </w:rPr>
        <w:tab/>
      </w:r>
      <w:r>
        <w:rPr>
          <w:noProof/>
        </w:rPr>
        <w:fldChar w:fldCharType="begin"/>
      </w:r>
      <w:r>
        <w:rPr>
          <w:noProof/>
        </w:rPr>
        <w:instrText xml:space="preserve"> PAGEREF _Toc369091988 \h </w:instrText>
      </w:r>
      <w:r>
        <w:rPr>
          <w:noProof/>
        </w:rPr>
      </w:r>
      <w:r>
        <w:rPr>
          <w:noProof/>
        </w:rPr>
        <w:fldChar w:fldCharType="separate"/>
      </w:r>
      <w:r>
        <w:rPr>
          <w:noProof/>
        </w:rPr>
        <w:t>49</w:t>
      </w:r>
      <w:r>
        <w:rPr>
          <w:noProof/>
        </w:rPr>
        <w:fldChar w:fldCharType="end"/>
      </w:r>
    </w:p>
    <w:p w:rsidR="009D46E6" w:rsidRDefault="009D46E6" w:rsidP="002A0905">
      <w:pPr>
        <w:pStyle w:val="TableofFigures"/>
        <w:ind w:left="993" w:hanging="993"/>
        <w:rPr>
          <w:rFonts w:ascii="Calibri" w:hAnsi="Calibri" w:cs="Times New Roman"/>
          <w:noProof/>
          <w:sz w:val="22"/>
          <w:szCs w:val="22"/>
          <w:lang w:eastAsia="cs-CZ"/>
        </w:rPr>
      </w:pPr>
      <w:r>
        <w:rPr>
          <w:noProof/>
        </w:rPr>
        <w:t>Graf A.28: Náklady na služby VaV* podniků provádějících VaV v ČR, 2008-2012</w:t>
      </w:r>
      <w:r>
        <w:rPr>
          <w:noProof/>
        </w:rPr>
        <w:tab/>
      </w:r>
      <w:r>
        <w:rPr>
          <w:noProof/>
        </w:rPr>
        <w:fldChar w:fldCharType="begin"/>
      </w:r>
      <w:r>
        <w:rPr>
          <w:noProof/>
        </w:rPr>
        <w:instrText xml:space="preserve"> PAGEREF _Toc369091989 \h </w:instrText>
      </w:r>
      <w:r>
        <w:rPr>
          <w:noProof/>
        </w:rPr>
      </w:r>
      <w:r>
        <w:rPr>
          <w:noProof/>
        </w:rPr>
        <w:fldChar w:fldCharType="separate"/>
      </w:r>
      <w:r>
        <w:rPr>
          <w:noProof/>
        </w:rPr>
        <w:t>49</w:t>
      </w:r>
      <w:r>
        <w:rPr>
          <w:noProof/>
        </w:rPr>
        <w:fldChar w:fldCharType="end"/>
      </w:r>
    </w:p>
    <w:p w:rsidR="009D46E6" w:rsidRDefault="009D46E6" w:rsidP="002A0905">
      <w:pPr>
        <w:pStyle w:val="TableofFigures"/>
        <w:ind w:left="993" w:hanging="993"/>
        <w:rPr>
          <w:rFonts w:ascii="Calibri" w:hAnsi="Calibri" w:cs="Times New Roman"/>
          <w:noProof/>
          <w:sz w:val="22"/>
          <w:szCs w:val="22"/>
          <w:lang w:eastAsia="cs-CZ"/>
        </w:rPr>
      </w:pPr>
      <w:r>
        <w:rPr>
          <w:noProof/>
        </w:rPr>
        <w:t>Graf A.29: Výdaje za provedený VaV v podnikatelském sektoru (%)</w:t>
      </w:r>
      <w:r>
        <w:rPr>
          <w:noProof/>
        </w:rPr>
        <w:tab/>
      </w:r>
      <w:r>
        <w:rPr>
          <w:noProof/>
        </w:rPr>
        <w:fldChar w:fldCharType="begin"/>
      </w:r>
      <w:r>
        <w:rPr>
          <w:noProof/>
        </w:rPr>
        <w:instrText xml:space="preserve"> PAGEREF _Toc369091990 \h </w:instrText>
      </w:r>
      <w:r>
        <w:rPr>
          <w:noProof/>
        </w:rPr>
      </w:r>
      <w:r>
        <w:rPr>
          <w:noProof/>
        </w:rPr>
        <w:fldChar w:fldCharType="separate"/>
      </w:r>
      <w:r>
        <w:rPr>
          <w:noProof/>
        </w:rPr>
        <w:t>51</w:t>
      </w:r>
      <w:r>
        <w:rPr>
          <w:noProof/>
        </w:rPr>
        <w:fldChar w:fldCharType="end"/>
      </w:r>
    </w:p>
    <w:p w:rsidR="009D46E6" w:rsidRDefault="009D46E6" w:rsidP="002A0905">
      <w:pPr>
        <w:pStyle w:val="TableofFigures"/>
        <w:ind w:left="993" w:hanging="993"/>
        <w:rPr>
          <w:rFonts w:ascii="Calibri" w:hAnsi="Calibri" w:cs="Times New Roman"/>
          <w:noProof/>
          <w:sz w:val="22"/>
          <w:szCs w:val="22"/>
          <w:lang w:eastAsia="cs-CZ"/>
        </w:rPr>
      </w:pPr>
      <w:r>
        <w:rPr>
          <w:noProof/>
        </w:rPr>
        <w:t>Graf A.30: Výdaje na VaV v podnik. sektoru financované z domácích veřejných zdrojů v zemích EU (%)</w:t>
      </w:r>
      <w:r>
        <w:rPr>
          <w:noProof/>
        </w:rPr>
        <w:tab/>
      </w:r>
      <w:r>
        <w:rPr>
          <w:noProof/>
        </w:rPr>
        <w:fldChar w:fldCharType="begin"/>
      </w:r>
      <w:r>
        <w:rPr>
          <w:noProof/>
        </w:rPr>
        <w:instrText xml:space="preserve"> PAGEREF _Toc369091991 \h </w:instrText>
      </w:r>
      <w:r>
        <w:rPr>
          <w:noProof/>
        </w:rPr>
      </w:r>
      <w:r>
        <w:rPr>
          <w:noProof/>
        </w:rPr>
        <w:fldChar w:fldCharType="separate"/>
      </w:r>
      <w:r>
        <w:rPr>
          <w:noProof/>
        </w:rPr>
        <w:t>51</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A.31: Celkové výdaje státního rozpočtu ČR na přímou podporu VaV (mld. Kč, %)</w:t>
      </w:r>
      <w:r>
        <w:rPr>
          <w:noProof/>
        </w:rPr>
        <w:tab/>
      </w:r>
      <w:r>
        <w:rPr>
          <w:noProof/>
        </w:rPr>
        <w:fldChar w:fldCharType="begin"/>
      </w:r>
      <w:r>
        <w:rPr>
          <w:noProof/>
        </w:rPr>
        <w:instrText xml:space="preserve"> PAGEREF _Toc369091992 \h </w:instrText>
      </w:r>
      <w:r>
        <w:rPr>
          <w:noProof/>
        </w:rPr>
      </w:r>
      <w:r>
        <w:rPr>
          <w:noProof/>
        </w:rPr>
        <w:fldChar w:fldCharType="separate"/>
      </w:r>
      <w:r>
        <w:rPr>
          <w:noProof/>
        </w:rPr>
        <w:t>53</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A.32: Podíl veřejných zdrojů na financování VaV provedeném v daném státě (% GERD)</w:t>
      </w:r>
      <w:r>
        <w:rPr>
          <w:noProof/>
        </w:rPr>
        <w:tab/>
      </w:r>
      <w:r>
        <w:rPr>
          <w:noProof/>
        </w:rPr>
        <w:fldChar w:fldCharType="begin"/>
      </w:r>
      <w:r>
        <w:rPr>
          <w:noProof/>
        </w:rPr>
        <w:instrText xml:space="preserve"> PAGEREF _Toc369091993 \h </w:instrText>
      </w:r>
      <w:r>
        <w:rPr>
          <w:noProof/>
        </w:rPr>
      </w:r>
      <w:r>
        <w:rPr>
          <w:noProof/>
        </w:rPr>
        <w:fldChar w:fldCharType="separate"/>
      </w:r>
      <w:r>
        <w:rPr>
          <w:noProof/>
        </w:rPr>
        <w:t>53</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A.33: Intenzita veřejných výdajů na VaV (GBAORD jako % HDP)</w:t>
      </w:r>
      <w:r>
        <w:rPr>
          <w:noProof/>
        </w:rPr>
        <w:tab/>
      </w:r>
      <w:r>
        <w:rPr>
          <w:noProof/>
        </w:rPr>
        <w:fldChar w:fldCharType="begin"/>
      </w:r>
      <w:r>
        <w:rPr>
          <w:noProof/>
        </w:rPr>
        <w:instrText xml:space="preserve"> PAGEREF _Toc369091994 \h </w:instrText>
      </w:r>
      <w:r>
        <w:rPr>
          <w:noProof/>
        </w:rPr>
      </w:r>
      <w:r>
        <w:rPr>
          <w:noProof/>
        </w:rPr>
        <w:fldChar w:fldCharType="separate"/>
      </w:r>
      <w:r>
        <w:rPr>
          <w:noProof/>
        </w:rPr>
        <w:t>54</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A.34: Státní rozpočtové výdaje a dotace na VaV (v % celkových veřejných výdajů)</w:t>
      </w:r>
      <w:r>
        <w:rPr>
          <w:noProof/>
        </w:rPr>
        <w:tab/>
      </w:r>
      <w:r>
        <w:rPr>
          <w:noProof/>
        </w:rPr>
        <w:fldChar w:fldCharType="begin"/>
      </w:r>
      <w:r>
        <w:rPr>
          <w:noProof/>
        </w:rPr>
        <w:instrText xml:space="preserve"> PAGEREF _Toc369091995 \h </w:instrText>
      </w:r>
      <w:r>
        <w:rPr>
          <w:noProof/>
        </w:rPr>
      </w:r>
      <w:r>
        <w:rPr>
          <w:noProof/>
        </w:rPr>
        <w:fldChar w:fldCharType="separate"/>
      </w:r>
      <w:r>
        <w:rPr>
          <w:noProof/>
        </w:rPr>
        <w:t>55</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A.35: Výdaje státního rozpočtu ČR na VaV podle formy financování (mld. Kč, %)</w:t>
      </w:r>
      <w:r>
        <w:rPr>
          <w:noProof/>
        </w:rPr>
        <w:tab/>
      </w:r>
      <w:r>
        <w:rPr>
          <w:noProof/>
        </w:rPr>
        <w:fldChar w:fldCharType="begin"/>
      </w:r>
      <w:r>
        <w:rPr>
          <w:noProof/>
        </w:rPr>
        <w:instrText xml:space="preserve"> PAGEREF _Toc369091996 \h </w:instrText>
      </w:r>
      <w:r>
        <w:rPr>
          <w:noProof/>
        </w:rPr>
      </w:r>
      <w:r>
        <w:rPr>
          <w:noProof/>
        </w:rPr>
        <w:fldChar w:fldCharType="separate"/>
      </w:r>
      <w:r>
        <w:rPr>
          <w:noProof/>
        </w:rPr>
        <w:t>55</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A.36: Výdaje státního rozpočtu ČR na VaV podle hlavních poskytovatelů (mld. Kč, %)</w:t>
      </w:r>
      <w:r>
        <w:rPr>
          <w:noProof/>
        </w:rPr>
        <w:tab/>
      </w:r>
      <w:r>
        <w:rPr>
          <w:noProof/>
        </w:rPr>
        <w:fldChar w:fldCharType="begin"/>
      </w:r>
      <w:r>
        <w:rPr>
          <w:noProof/>
        </w:rPr>
        <w:instrText xml:space="preserve"> PAGEREF _Toc369091997 \h </w:instrText>
      </w:r>
      <w:r>
        <w:rPr>
          <w:noProof/>
        </w:rPr>
      </w:r>
      <w:r>
        <w:rPr>
          <w:noProof/>
        </w:rPr>
        <w:fldChar w:fldCharType="separate"/>
      </w:r>
      <w:r>
        <w:rPr>
          <w:noProof/>
        </w:rPr>
        <w:t>56</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A.37: Výdaje státního rozpočtu ČR na VaV* podle hlavních příjemců (mld. Kč, %)</w:t>
      </w:r>
      <w:r>
        <w:rPr>
          <w:noProof/>
        </w:rPr>
        <w:tab/>
      </w:r>
      <w:r>
        <w:rPr>
          <w:noProof/>
        </w:rPr>
        <w:fldChar w:fldCharType="begin"/>
      </w:r>
      <w:r>
        <w:rPr>
          <w:noProof/>
        </w:rPr>
        <w:instrText xml:space="preserve"> PAGEREF _Toc369091998 \h </w:instrText>
      </w:r>
      <w:r>
        <w:rPr>
          <w:noProof/>
        </w:rPr>
      </w:r>
      <w:r>
        <w:rPr>
          <w:noProof/>
        </w:rPr>
        <w:fldChar w:fldCharType="separate"/>
      </w:r>
      <w:r>
        <w:rPr>
          <w:noProof/>
        </w:rPr>
        <w:t>57</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A.38: Odčitatelná položka na VaV a příslušná daňová sazba v České republice (mld. Kč; %)</w:t>
      </w:r>
      <w:r>
        <w:rPr>
          <w:noProof/>
        </w:rPr>
        <w:tab/>
      </w:r>
      <w:r>
        <w:rPr>
          <w:noProof/>
        </w:rPr>
        <w:fldChar w:fldCharType="begin"/>
      </w:r>
      <w:r>
        <w:rPr>
          <w:noProof/>
        </w:rPr>
        <w:instrText xml:space="preserve"> PAGEREF _Toc369091999 \h </w:instrText>
      </w:r>
      <w:r>
        <w:rPr>
          <w:noProof/>
        </w:rPr>
      </w:r>
      <w:r>
        <w:rPr>
          <w:noProof/>
        </w:rPr>
        <w:fldChar w:fldCharType="separate"/>
      </w:r>
      <w:r>
        <w:rPr>
          <w:noProof/>
        </w:rPr>
        <w:t>59</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A.39: Počet podniků s uplatněnou nepřímou podporu VaV v České republice</w:t>
      </w:r>
      <w:r>
        <w:rPr>
          <w:noProof/>
        </w:rPr>
        <w:tab/>
      </w:r>
      <w:r>
        <w:rPr>
          <w:noProof/>
        </w:rPr>
        <w:fldChar w:fldCharType="begin"/>
      </w:r>
      <w:r>
        <w:rPr>
          <w:noProof/>
        </w:rPr>
        <w:instrText xml:space="preserve"> PAGEREF _Toc369092000 \h </w:instrText>
      </w:r>
      <w:r>
        <w:rPr>
          <w:noProof/>
        </w:rPr>
      </w:r>
      <w:r>
        <w:rPr>
          <w:noProof/>
        </w:rPr>
        <w:fldChar w:fldCharType="separate"/>
      </w:r>
      <w:r>
        <w:rPr>
          <w:noProof/>
        </w:rPr>
        <w:t>59</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A.40: Nepřímá podpora VaV v České republice (mld. Kč; %)</w:t>
      </w:r>
      <w:r>
        <w:rPr>
          <w:noProof/>
        </w:rPr>
        <w:tab/>
      </w:r>
      <w:r>
        <w:rPr>
          <w:noProof/>
        </w:rPr>
        <w:fldChar w:fldCharType="begin"/>
      </w:r>
      <w:r>
        <w:rPr>
          <w:noProof/>
        </w:rPr>
        <w:instrText xml:space="preserve"> PAGEREF _Toc369092001 \h </w:instrText>
      </w:r>
      <w:r>
        <w:rPr>
          <w:noProof/>
        </w:rPr>
      </w:r>
      <w:r>
        <w:rPr>
          <w:noProof/>
        </w:rPr>
        <w:fldChar w:fldCharType="separate"/>
      </w:r>
      <w:r>
        <w:rPr>
          <w:noProof/>
        </w:rPr>
        <w:t>60</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w:t>
      </w:r>
      <w:r w:rsidRPr="008216CA">
        <w:rPr>
          <w:noProof/>
        </w:rPr>
        <w:t xml:space="preserve"> </w:t>
      </w:r>
      <w:r>
        <w:rPr>
          <w:noProof/>
        </w:rPr>
        <w:t>A.41: Meziroční změna nepřímé podpora VaV v České republice, 2006</w:t>
      </w:r>
      <w:r>
        <w:rPr>
          <w:noProof/>
        </w:rPr>
        <w:noBreakHyphen/>
        <w:t>2011</w:t>
      </w:r>
      <w:r>
        <w:rPr>
          <w:noProof/>
        </w:rPr>
        <w:tab/>
      </w:r>
      <w:r>
        <w:rPr>
          <w:noProof/>
        </w:rPr>
        <w:fldChar w:fldCharType="begin"/>
      </w:r>
      <w:r>
        <w:rPr>
          <w:noProof/>
        </w:rPr>
        <w:instrText xml:space="preserve"> PAGEREF _Toc369092002 \h </w:instrText>
      </w:r>
      <w:r>
        <w:rPr>
          <w:noProof/>
        </w:rPr>
      </w:r>
      <w:r>
        <w:rPr>
          <w:noProof/>
        </w:rPr>
        <w:fldChar w:fldCharType="separate"/>
      </w:r>
      <w:r>
        <w:rPr>
          <w:noProof/>
        </w:rPr>
        <w:t>60</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w:t>
      </w:r>
      <w:r w:rsidRPr="008216CA">
        <w:rPr>
          <w:noProof/>
        </w:rPr>
        <w:t xml:space="preserve"> </w:t>
      </w:r>
      <w:r>
        <w:rPr>
          <w:noProof/>
        </w:rPr>
        <w:t>A.42: Nepřímá podpora VaV ve zpracovatelském průmyslu ČR podle odvětví (mil. Kč), 2011</w:t>
      </w:r>
      <w:r>
        <w:rPr>
          <w:noProof/>
        </w:rPr>
        <w:tab/>
      </w:r>
      <w:r>
        <w:rPr>
          <w:noProof/>
        </w:rPr>
        <w:fldChar w:fldCharType="begin"/>
      </w:r>
      <w:r>
        <w:rPr>
          <w:noProof/>
        </w:rPr>
        <w:instrText xml:space="preserve"> PAGEREF _Toc369092003 \h </w:instrText>
      </w:r>
      <w:r>
        <w:rPr>
          <w:noProof/>
        </w:rPr>
      </w:r>
      <w:r>
        <w:rPr>
          <w:noProof/>
        </w:rPr>
        <w:fldChar w:fldCharType="separate"/>
      </w:r>
      <w:r>
        <w:rPr>
          <w:noProof/>
        </w:rPr>
        <w:t>61</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A.43: Nepřímá podpora VaV jako % HDP, 2010 nebo poslední dostupný rok</w:t>
      </w:r>
      <w:r>
        <w:rPr>
          <w:noProof/>
        </w:rPr>
        <w:tab/>
      </w:r>
      <w:r>
        <w:rPr>
          <w:noProof/>
        </w:rPr>
        <w:fldChar w:fldCharType="begin"/>
      </w:r>
      <w:r>
        <w:rPr>
          <w:noProof/>
        </w:rPr>
        <w:instrText xml:space="preserve"> PAGEREF _Toc369092004 \h </w:instrText>
      </w:r>
      <w:r>
        <w:rPr>
          <w:noProof/>
        </w:rPr>
      </w:r>
      <w:r>
        <w:rPr>
          <w:noProof/>
        </w:rPr>
        <w:fldChar w:fldCharType="separate"/>
      </w:r>
      <w:r>
        <w:rPr>
          <w:noProof/>
        </w:rPr>
        <w:t>61</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B.1: Zaměstnanci ve výzkumu a vývoji</w:t>
      </w:r>
      <w:r>
        <w:rPr>
          <w:noProof/>
        </w:rPr>
        <w:tab/>
      </w:r>
      <w:r>
        <w:rPr>
          <w:noProof/>
        </w:rPr>
        <w:fldChar w:fldCharType="begin"/>
      </w:r>
      <w:r>
        <w:rPr>
          <w:noProof/>
        </w:rPr>
        <w:instrText xml:space="preserve"> PAGEREF _Toc369092005 \h </w:instrText>
      </w:r>
      <w:r>
        <w:rPr>
          <w:noProof/>
        </w:rPr>
      </w:r>
      <w:r>
        <w:rPr>
          <w:noProof/>
        </w:rPr>
        <w:fldChar w:fldCharType="separate"/>
      </w:r>
      <w:r>
        <w:rPr>
          <w:noProof/>
        </w:rPr>
        <w:t>63</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B.2: Struktura zaměstnanců ve výzkumu a vývoji (FTE)</w:t>
      </w:r>
      <w:r>
        <w:rPr>
          <w:noProof/>
        </w:rPr>
        <w:tab/>
      </w:r>
      <w:r>
        <w:rPr>
          <w:noProof/>
        </w:rPr>
        <w:fldChar w:fldCharType="begin"/>
      </w:r>
      <w:r>
        <w:rPr>
          <w:noProof/>
        </w:rPr>
        <w:instrText xml:space="preserve"> PAGEREF _Toc369092006 \h </w:instrText>
      </w:r>
      <w:r>
        <w:rPr>
          <w:noProof/>
        </w:rPr>
      </w:r>
      <w:r>
        <w:rPr>
          <w:noProof/>
        </w:rPr>
        <w:fldChar w:fldCharType="separate"/>
      </w:r>
      <w:r>
        <w:rPr>
          <w:noProof/>
        </w:rPr>
        <w:t>64</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B.3: Výzkumní pracovníci</w:t>
      </w:r>
      <w:r>
        <w:rPr>
          <w:noProof/>
        </w:rPr>
        <w:tab/>
      </w:r>
      <w:r>
        <w:rPr>
          <w:noProof/>
        </w:rPr>
        <w:fldChar w:fldCharType="begin"/>
      </w:r>
      <w:r>
        <w:rPr>
          <w:noProof/>
        </w:rPr>
        <w:instrText xml:space="preserve"> PAGEREF _Toc369092007 \h </w:instrText>
      </w:r>
      <w:r>
        <w:rPr>
          <w:noProof/>
        </w:rPr>
      </w:r>
      <w:r>
        <w:rPr>
          <w:noProof/>
        </w:rPr>
        <w:fldChar w:fldCharType="separate"/>
      </w:r>
      <w:r>
        <w:rPr>
          <w:noProof/>
        </w:rPr>
        <w:t>64</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B.4: Struktura výzkumných pracovníků</w:t>
      </w:r>
      <w:r>
        <w:rPr>
          <w:noProof/>
        </w:rPr>
        <w:tab/>
      </w:r>
      <w:r>
        <w:rPr>
          <w:noProof/>
        </w:rPr>
        <w:fldChar w:fldCharType="begin"/>
      </w:r>
      <w:r>
        <w:rPr>
          <w:noProof/>
        </w:rPr>
        <w:instrText xml:space="preserve"> PAGEREF _Toc369092008 \h </w:instrText>
      </w:r>
      <w:r>
        <w:rPr>
          <w:noProof/>
        </w:rPr>
      </w:r>
      <w:r>
        <w:rPr>
          <w:noProof/>
        </w:rPr>
        <w:fldChar w:fldCharType="separate"/>
      </w:r>
      <w:r>
        <w:rPr>
          <w:noProof/>
        </w:rPr>
        <w:t>65</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B.5: Zaměstnanci ve výzkumu vývoji (FTE), 2011 (na 1 000 zaměstnaných osob)</w:t>
      </w:r>
      <w:r>
        <w:rPr>
          <w:noProof/>
        </w:rPr>
        <w:tab/>
      </w:r>
      <w:r>
        <w:rPr>
          <w:noProof/>
        </w:rPr>
        <w:fldChar w:fldCharType="begin"/>
      </w:r>
      <w:r>
        <w:rPr>
          <w:noProof/>
        </w:rPr>
        <w:instrText xml:space="preserve"> PAGEREF _Toc369092009 \h </w:instrText>
      </w:r>
      <w:r>
        <w:rPr>
          <w:noProof/>
        </w:rPr>
      </w:r>
      <w:r>
        <w:rPr>
          <w:noProof/>
        </w:rPr>
        <w:fldChar w:fldCharType="separate"/>
      </w:r>
      <w:r>
        <w:rPr>
          <w:noProof/>
        </w:rPr>
        <w:t>66</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B.6: Průměrný meziroční nárůst počtu zaměstnanců ve VaV (FTE), 2000-2011 (%)</w:t>
      </w:r>
      <w:r>
        <w:rPr>
          <w:noProof/>
        </w:rPr>
        <w:tab/>
      </w:r>
      <w:r>
        <w:rPr>
          <w:noProof/>
        </w:rPr>
        <w:fldChar w:fldCharType="begin"/>
      </w:r>
      <w:r>
        <w:rPr>
          <w:noProof/>
        </w:rPr>
        <w:instrText xml:space="preserve"> PAGEREF _Toc369092010 \h </w:instrText>
      </w:r>
      <w:r>
        <w:rPr>
          <w:noProof/>
        </w:rPr>
      </w:r>
      <w:r>
        <w:rPr>
          <w:noProof/>
        </w:rPr>
        <w:fldChar w:fldCharType="separate"/>
      </w:r>
      <w:r>
        <w:rPr>
          <w:noProof/>
        </w:rPr>
        <w:t>66</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B.7: Zaměstnanci ve výzkumu a vývoji podle sektorů působení, 2011</w:t>
      </w:r>
      <w:r>
        <w:rPr>
          <w:noProof/>
        </w:rPr>
        <w:tab/>
      </w:r>
      <w:r>
        <w:rPr>
          <w:noProof/>
        </w:rPr>
        <w:fldChar w:fldCharType="begin"/>
      </w:r>
      <w:r>
        <w:rPr>
          <w:noProof/>
        </w:rPr>
        <w:instrText xml:space="preserve"> PAGEREF _Toc369092011 \h </w:instrText>
      </w:r>
      <w:r>
        <w:rPr>
          <w:noProof/>
        </w:rPr>
      </w:r>
      <w:r>
        <w:rPr>
          <w:noProof/>
        </w:rPr>
        <w:fldChar w:fldCharType="separate"/>
      </w:r>
      <w:r>
        <w:rPr>
          <w:noProof/>
        </w:rPr>
        <w:t>67</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B.8: Zaměstnaní ve výzkumu a vývoji vládního sektoru</w:t>
      </w:r>
      <w:r>
        <w:rPr>
          <w:noProof/>
        </w:rPr>
        <w:tab/>
      </w:r>
      <w:r>
        <w:rPr>
          <w:noProof/>
        </w:rPr>
        <w:fldChar w:fldCharType="begin"/>
      </w:r>
      <w:r>
        <w:rPr>
          <w:noProof/>
        </w:rPr>
        <w:instrText xml:space="preserve"> PAGEREF _Toc369092012 \h </w:instrText>
      </w:r>
      <w:r>
        <w:rPr>
          <w:noProof/>
        </w:rPr>
      </w:r>
      <w:r>
        <w:rPr>
          <w:noProof/>
        </w:rPr>
        <w:fldChar w:fldCharType="separate"/>
      </w:r>
      <w:r>
        <w:rPr>
          <w:noProof/>
        </w:rPr>
        <w:t>67</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B.9: Struktura zaměstnaných ve VaV vládního sektoru (FTE), 2012</w:t>
      </w:r>
      <w:r>
        <w:rPr>
          <w:noProof/>
        </w:rPr>
        <w:tab/>
      </w:r>
      <w:r>
        <w:rPr>
          <w:noProof/>
        </w:rPr>
        <w:fldChar w:fldCharType="begin"/>
      </w:r>
      <w:r>
        <w:rPr>
          <w:noProof/>
        </w:rPr>
        <w:instrText xml:space="preserve"> PAGEREF _Toc369092013 \h </w:instrText>
      </w:r>
      <w:r>
        <w:rPr>
          <w:noProof/>
        </w:rPr>
      </w:r>
      <w:r>
        <w:rPr>
          <w:noProof/>
        </w:rPr>
        <w:fldChar w:fldCharType="separate"/>
      </w:r>
      <w:r>
        <w:rPr>
          <w:noProof/>
        </w:rPr>
        <w:t>68</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B.10: Zaměstnaní ve VaV vládního sektoru (FTE), 2011</w:t>
      </w:r>
      <w:r>
        <w:rPr>
          <w:noProof/>
        </w:rPr>
        <w:tab/>
      </w:r>
      <w:r>
        <w:rPr>
          <w:noProof/>
        </w:rPr>
        <w:fldChar w:fldCharType="begin"/>
      </w:r>
      <w:r>
        <w:rPr>
          <w:noProof/>
        </w:rPr>
        <w:instrText xml:space="preserve"> PAGEREF _Toc369092014 \h </w:instrText>
      </w:r>
      <w:r>
        <w:rPr>
          <w:noProof/>
        </w:rPr>
      </w:r>
      <w:r>
        <w:rPr>
          <w:noProof/>
        </w:rPr>
        <w:fldChar w:fldCharType="separate"/>
      </w:r>
      <w:r>
        <w:rPr>
          <w:noProof/>
        </w:rPr>
        <w:t>68</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B.11: Průměrný meziroční nárůst počtu zaměstnaných ve VaV vládního sektoru, 2000-2011 (%)</w:t>
      </w:r>
      <w:r>
        <w:rPr>
          <w:noProof/>
        </w:rPr>
        <w:tab/>
      </w:r>
      <w:r>
        <w:rPr>
          <w:noProof/>
        </w:rPr>
        <w:fldChar w:fldCharType="begin"/>
      </w:r>
      <w:r>
        <w:rPr>
          <w:noProof/>
        </w:rPr>
        <w:instrText xml:space="preserve"> PAGEREF _Toc369092015 \h </w:instrText>
      </w:r>
      <w:r>
        <w:rPr>
          <w:noProof/>
        </w:rPr>
      </w:r>
      <w:r>
        <w:rPr>
          <w:noProof/>
        </w:rPr>
        <w:fldChar w:fldCharType="separate"/>
      </w:r>
      <w:r>
        <w:rPr>
          <w:noProof/>
        </w:rPr>
        <w:t>69</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B.12: Zaměstnaní ve VaV vysokoškolského sektoru</w:t>
      </w:r>
      <w:r>
        <w:rPr>
          <w:noProof/>
        </w:rPr>
        <w:tab/>
      </w:r>
      <w:r>
        <w:rPr>
          <w:noProof/>
        </w:rPr>
        <w:fldChar w:fldCharType="begin"/>
      </w:r>
      <w:r>
        <w:rPr>
          <w:noProof/>
        </w:rPr>
        <w:instrText xml:space="preserve"> PAGEREF _Toc369092016 \h </w:instrText>
      </w:r>
      <w:r>
        <w:rPr>
          <w:noProof/>
        </w:rPr>
      </w:r>
      <w:r>
        <w:rPr>
          <w:noProof/>
        </w:rPr>
        <w:fldChar w:fldCharType="separate"/>
      </w:r>
      <w:r>
        <w:rPr>
          <w:noProof/>
        </w:rPr>
        <w:t>69</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B.13: Struktura zaměstnaných ve VaV vysokoškolského sektoru (FTE)</w:t>
      </w:r>
      <w:r>
        <w:rPr>
          <w:noProof/>
        </w:rPr>
        <w:tab/>
      </w:r>
      <w:r>
        <w:rPr>
          <w:noProof/>
        </w:rPr>
        <w:fldChar w:fldCharType="begin"/>
      </w:r>
      <w:r>
        <w:rPr>
          <w:noProof/>
        </w:rPr>
        <w:instrText xml:space="preserve"> PAGEREF _Toc369092017 \h </w:instrText>
      </w:r>
      <w:r>
        <w:rPr>
          <w:noProof/>
        </w:rPr>
      </w:r>
      <w:r>
        <w:rPr>
          <w:noProof/>
        </w:rPr>
        <w:fldChar w:fldCharType="separate"/>
      </w:r>
      <w:r>
        <w:rPr>
          <w:noProof/>
        </w:rPr>
        <w:t>70</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B.14: Zaměstnaní ve VaV vysokoškolského sektoru (FTE), 2011</w:t>
      </w:r>
      <w:r>
        <w:rPr>
          <w:noProof/>
        </w:rPr>
        <w:tab/>
      </w:r>
      <w:r>
        <w:rPr>
          <w:noProof/>
        </w:rPr>
        <w:fldChar w:fldCharType="begin"/>
      </w:r>
      <w:r>
        <w:rPr>
          <w:noProof/>
        </w:rPr>
        <w:instrText xml:space="preserve"> PAGEREF _Toc369092018 \h </w:instrText>
      </w:r>
      <w:r>
        <w:rPr>
          <w:noProof/>
        </w:rPr>
      </w:r>
      <w:r>
        <w:rPr>
          <w:noProof/>
        </w:rPr>
        <w:fldChar w:fldCharType="separate"/>
      </w:r>
      <w:r>
        <w:rPr>
          <w:noProof/>
        </w:rPr>
        <w:t>71</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B.15: Průměrný meziroční nárůst zaměstnaných ve VaV vysokoškolského sektoru, 2000-2011 (%)</w:t>
      </w:r>
      <w:r>
        <w:rPr>
          <w:noProof/>
        </w:rPr>
        <w:tab/>
      </w:r>
      <w:r>
        <w:rPr>
          <w:noProof/>
        </w:rPr>
        <w:fldChar w:fldCharType="begin"/>
      </w:r>
      <w:r>
        <w:rPr>
          <w:noProof/>
        </w:rPr>
        <w:instrText xml:space="preserve"> PAGEREF _Toc369092019 \h </w:instrText>
      </w:r>
      <w:r>
        <w:rPr>
          <w:noProof/>
        </w:rPr>
      </w:r>
      <w:r>
        <w:rPr>
          <w:noProof/>
        </w:rPr>
        <w:fldChar w:fldCharType="separate"/>
      </w:r>
      <w:r>
        <w:rPr>
          <w:noProof/>
        </w:rPr>
        <w:t>71</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B.16: Zaměstnaní ve VaV podnikatelského sektoru</w:t>
      </w:r>
      <w:r>
        <w:rPr>
          <w:noProof/>
        </w:rPr>
        <w:tab/>
      </w:r>
      <w:r>
        <w:rPr>
          <w:noProof/>
        </w:rPr>
        <w:fldChar w:fldCharType="begin"/>
      </w:r>
      <w:r>
        <w:rPr>
          <w:noProof/>
        </w:rPr>
        <w:instrText xml:space="preserve"> PAGEREF _Toc369092020 \h </w:instrText>
      </w:r>
      <w:r>
        <w:rPr>
          <w:noProof/>
        </w:rPr>
      </w:r>
      <w:r>
        <w:rPr>
          <w:noProof/>
        </w:rPr>
        <w:fldChar w:fldCharType="separate"/>
      </w:r>
      <w:r>
        <w:rPr>
          <w:noProof/>
        </w:rPr>
        <w:t>72</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B.17: Struktura zaměstnaných ve VaV podnikatelského sektoru (FTE)</w:t>
      </w:r>
      <w:r>
        <w:rPr>
          <w:noProof/>
        </w:rPr>
        <w:tab/>
      </w:r>
      <w:r>
        <w:rPr>
          <w:noProof/>
        </w:rPr>
        <w:fldChar w:fldCharType="begin"/>
      </w:r>
      <w:r>
        <w:rPr>
          <w:noProof/>
        </w:rPr>
        <w:instrText xml:space="preserve"> PAGEREF _Toc369092021 \h </w:instrText>
      </w:r>
      <w:r>
        <w:rPr>
          <w:noProof/>
        </w:rPr>
      </w:r>
      <w:r>
        <w:rPr>
          <w:noProof/>
        </w:rPr>
        <w:fldChar w:fldCharType="separate"/>
      </w:r>
      <w:r>
        <w:rPr>
          <w:noProof/>
        </w:rPr>
        <w:t>72</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B.18: Zaměstnaní ve VaV podnikatelského sektoru (FTE), 2011</w:t>
      </w:r>
      <w:r>
        <w:rPr>
          <w:noProof/>
        </w:rPr>
        <w:tab/>
      </w:r>
      <w:r>
        <w:rPr>
          <w:noProof/>
        </w:rPr>
        <w:fldChar w:fldCharType="begin"/>
      </w:r>
      <w:r>
        <w:rPr>
          <w:noProof/>
        </w:rPr>
        <w:instrText xml:space="preserve"> PAGEREF _Toc369092022 \h </w:instrText>
      </w:r>
      <w:r>
        <w:rPr>
          <w:noProof/>
        </w:rPr>
      </w:r>
      <w:r>
        <w:rPr>
          <w:noProof/>
        </w:rPr>
        <w:fldChar w:fldCharType="separate"/>
      </w:r>
      <w:r>
        <w:rPr>
          <w:noProof/>
        </w:rPr>
        <w:t>73</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B.19: Průměrný meziroční nárůst zaměstnaných ve VaV podnikatelského sektoru, 2000-2011 (%)</w:t>
      </w:r>
      <w:r>
        <w:rPr>
          <w:noProof/>
        </w:rPr>
        <w:tab/>
      </w:r>
      <w:r>
        <w:rPr>
          <w:noProof/>
        </w:rPr>
        <w:fldChar w:fldCharType="begin"/>
      </w:r>
      <w:r>
        <w:rPr>
          <w:noProof/>
        </w:rPr>
        <w:instrText xml:space="preserve"> PAGEREF _Toc369092023 \h </w:instrText>
      </w:r>
      <w:r>
        <w:rPr>
          <w:noProof/>
        </w:rPr>
      </w:r>
      <w:r>
        <w:rPr>
          <w:noProof/>
        </w:rPr>
        <w:fldChar w:fldCharType="separate"/>
      </w:r>
      <w:r>
        <w:rPr>
          <w:noProof/>
        </w:rPr>
        <w:t>73</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B.20: Průměrná hrubá měsíční mzda v ČR* (v Kč), 2012</w:t>
      </w:r>
      <w:r>
        <w:rPr>
          <w:noProof/>
        </w:rPr>
        <w:tab/>
      </w:r>
      <w:r>
        <w:rPr>
          <w:noProof/>
        </w:rPr>
        <w:fldChar w:fldCharType="begin"/>
      </w:r>
      <w:r>
        <w:rPr>
          <w:noProof/>
        </w:rPr>
        <w:instrText xml:space="preserve"> PAGEREF _Toc369092024 \h </w:instrText>
      </w:r>
      <w:r>
        <w:rPr>
          <w:noProof/>
        </w:rPr>
      </w:r>
      <w:r>
        <w:rPr>
          <w:noProof/>
        </w:rPr>
        <w:fldChar w:fldCharType="separate"/>
      </w:r>
      <w:r>
        <w:rPr>
          <w:noProof/>
        </w:rPr>
        <w:t>74</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B.21: Průměrná hrubá měsíční mzda specialistů v oblasti vědy a techniky podle vzdělání a věku</w:t>
      </w:r>
      <w:r>
        <w:rPr>
          <w:noProof/>
        </w:rPr>
        <w:tab/>
      </w:r>
      <w:r>
        <w:rPr>
          <w:noProof/>
        </w:rPr>
        <w:fldChar w:fldCharType="begin"/>
      </w:r>
      <w:r>
        <w:rPr>
          <w:noProof/>
        </w:rPr>
        <w:instrText xml:space="preserve"> PAGEREF _Toc369092025 \h </w:instrText>
      </w:r>
      <w:r>
        <w:rPr>
          <w:noProof/>
        </w:rPr>
      </w:r>
      <w:r>
        <w:rPr>
          <w:noProof/>
        </w:rPr>
        <w:fldChar w:fldCharType="separate"/>
      </w:r>
      <w:r>
        <w:rPr>
          <w:noProof/>
        </w:rPr>
        <w:t>75</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B.22: Osoby s ukončeným vysokoškolským vzděláním ve věku 25 a více let</w:t>
      </w:r>
      <w:r>
        <w:rPr>
          <w:noProof/>
        </w:rPr>
        <w:tab/>
      </w:r>
      <w:r>
        <w:rPr>
          <w:noProof/>
        </w:rPr>
        <w:fldChar w:fldCharType="begin"/>
      </w:r>
      <w:r>
        <w:rPr>
          <w:noProof/>
        </w:rPr>
        <w:instrText xml:space="preserve"> PAGEREF _Toc369092026 \h </w:instrText>
      </w:r>
      <w:r>
        <w:rPr>
          <w:noProof/>
        </w:rPr>
      </w:r>
      <w:r>
        <w:rPr>
          <w:noProof/>
        </w:rPr>
        <w:fldChar w:fldCharType="separate"/>
      </w:r>
      <w:r>
        <w:rPr>
          <w:noProof/>
        </w:rPr>
        <w:t>76</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B.23: Osoby s vysokoškolským vzděláním podle studijního programu</w:t>
      </w:r>
      <w:r>
        <w:rPr>
          <w:noProof/>
        </w:rPr>
        <w:tab/>
      </w:r>
      <w:r>
        <w:rPr>
          <w:noProof/>
        </w:rPr>
        <w:fldChar w:fldCharType="begin"/>
      </w:r>
      <w:r>
        <w:rPr>
          <w:noProof/>
        </w:rPr>
        <w:instrText xml:space="preserve"> PAGEREF _Toc369092027 \h </w:instrText>
      </w:r>
      <w:r>
        <w:rPr>
          <w:noProof/>
        </w:rPr>
      </w:r>
      <w:r>
        <w:rPr>
          <w:noProof/>
        </w:rPr>
        <w:fldChar w:fldCharType="separate"/>
      </w:r>
      <w:r>
        <w:rPr>
          <w:noProof/>
        </w:rPr>
        <w:t>76</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B.24: Osoby s vysokoškolským vzděláním podle věku, (% osob v dané věkové skupině)</w:t>
      </w:r>
      <w:r>
        <w:rPr>
          <w:noProof/>
        </w:rPr>
        <w:tab/>
      </w:r>
      <w:r>
        <w:rPr>
          <w:noProof/>
        </w:rPr>
        <w:fldChar w:fldCharType="begin"/>
      </w:r>
      <w:r>
        <w:rPr>
          <w:noProof/>
        </w:rPr>
        <w:instrText xml:space="preserve"> PAGEREF _Toc369092028 \h </w:instrText>
      </w:r>
      <w:r>
        <w:rPr>
          <w:noProof/>
        </w:rPr>
      </w:r>
      <w:r>
        <w:rPr>
          <w:noProof/>
        </w:rPr>
        <w:fldChar w:fldCharType="separate"/>
      </w:r>
      <w:r>
        <w:rPr>
          <w:noProof/>
        </w:rPr>
        <w:t>77</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B.25: Osoby s ukončeným terciárním vzděláním ve věku 25-64 let (% populace 25-64 let)</w:t>
      </w:r>
      <w:r>
        <w:rPr>
          <w:noProof/>
        </w:rPr>
        <w:tab/>
      </w:r>
      <w:r>
        <w:rPr>
          <w:noProof/>
        </w:rPr>
        <w:fldChar w:fldCharType="begin"/>
      </w:r>
      <w:r>
        <w:rPr>
          <w:noProof/>
        </w:rPr>
        <w:instrText xml:space="preserve"> PAGEREF _Toc369092029 \h </w:instrText>
      </w:r>
      <w:r>
        <w:rPr>
          <w:noProof/>
        </w:rPr>
      </w:r>
      <w:r>
        <w:rPr>
          <w:noProof/>
        </w:rPr>
        <w:fldChar w:fldCharType="separate"/>
      </w:r>
      <w:r>
        <w:rPr>
          <w:noProof/>
        </w:rPr>
        <w:t>77</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B.26: Studenti a absolventi vysokých škol v ČR</w:t>
      </w:r>
      <w:r>
        <w:rPr>
          <w:noProof/>
        </w:rPr>
        <w:tab/>
      </w:r>
      <w:r>
        <w:rPr>
          <w:noProof/>
        </w:rPr>
        <w:fldChar w:fldCharType="begin"/>
      </w:r>
      <w:r>
        <w:rPr>
          <w:noProof/>
        </w:rPr>
        <w:instrText xml:space="preserve"> PAGEREF _Toc369092030 \h </w:instrText>
      </w:r>
      <w:r>
        <w:rPr>
          <w:noProof/>
        </w:rPr>
      </w:r>
      <w:r>
        <w:rPr>
          <w:noProof/>
        </w:rPr>
        <w:fldChar w:fldCharType="separate"/>
      </w:r>
      <w:r>
        <w:rPr>
          <w:noProof/>
        </w:rPr>
        <w:t>78</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B.27: Struktura studentů vysokých škol podle typu studijního programu</w:t>
      </w:r>
      <w:r>
        <w:rPr>
          <w:noProof/>
        </w:rPr>
        <w:tab/>
      </w:r>
      <w:r>
        <w:rPr>
          <w:noProof/>
        </w:rPr>
        <w:fldChar w:fldCharType="begin"/>
      </w:r>
      <w:r>
        <w:rPr>
          <w:noProof/>
        </w:rPr>
        <w:instrText xml:space="preserve"> PAGEREF _Toc369092031 \h </w:instrText>
      </w:r>
      <w:r>
        <w:rPr>
          <w:noProof/>
        </w:rPr>
      </w:r>
      <w:r>
        <w:rPr>
          <w:noProof/>
        </w:rPr>
        <w:fldChar w:fldCharType="separate"/>
      </w:r>
      <w:r>
        <w:rPr>
          <w:noProof/>
        </w:rPr>
        <w:t>79</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B.28: Struktura vysokoškolských studentů podle oborů</w:t>
      </w:r>
      <w:r>
        <w:rPr>
          <w:noProof/>
        </w:rPr>
        <w:tab/>
      </w:r>
      <w:r>
        <w:rPr>
          <w:noProof/>
        </w:rPr>
        <w:fldChar w:fldCharType="begin"/>
      </w:r>
      <w:r>
        <w:rPr>
          <w:noProof/>
        </w:rPr>
        <w:instrText xml:space="preserve"> PAGEREF _Toc369092032 \h </w:instrText>
      </w:r>
      <w:r>
        <w:rPr>
          <w:noProof/>
        </w:rPr>
      </w:r>
      <w:r>
        <w:rPr>
          <w:noProof/>
        </w:rPr>
        <w:fldChar w:fldCharType="separate"/>
      </w:r>
      <w:r>
        <w:rPr>
          <w:noProof/>
        </w:rPr>
        <w:t>79</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B.29: Struktura vysokoškolských studentů podle oborů a stupně vzdělávání, 2012</w:t>
      </w:r>
      <w:r>
        <w:rPr>
          <w:noProof/>
        </w:rPr>
        <w:tab/>
      </w:r>
      <w:r>
        <w:rPr>
          <w:noProof/>
        </w:rPr>
        <w:fldChar w:fldCharType="begin"/>
      </w:r>
      <w:r>
        <w:rPr>
          <w:noProof/>
        </w:rPr>
        <w:instrText xml:space="preserve"> PAGEREF _Toc369092033 \h </w:instrText>
      </w:r>
      <w:r>
        <w:rPr>
          <w:noProof/>
        </w:rPr>
      </w:r>
      <w:r>
        <w:rPr>
          <w:noProof/>
        </w:rPr>
        <w:fldChar w:fldCharType="separate"/>
      </w:r>
      <w:r>
        <w:rPr>
          <w:noProof/>
        </w:rPr>
        <w:t>80</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B.30: Studenti terciárního stupně studia, 2010 (% populace 20-29 let)</w:t>
      </w:r>
      <w:r>
        <w:rPr>
          <w:noProof/>
        </w:rPr>
        <w:tab/>
      </w:r>
      <w:r>
        <w:rPr>
          <w:noProof/>
        </w:rPr>
        <w:fldChar w:fldCharType="begin"/>
      </w:r>
      <w:r>
        <w:rPr>
          <w:noProof/>
        </w:rPr>
        <w:instrText xml:space="preserve"> PAGEREF _Toc369092034 \h </w:instrText>
      </w:r>
      <w:r>
        <w:rPr>
          <w:noProof/>
        </w:rPr>
      </w:r>
      <w:r>
        <w:rPr>
          <w:noProof/>
        </w:rPr>
        <w:fldChar w:fldCharType="separate"/>
      </w:r>
      <w:r>
        <w:rPr>
          <w:noProof/>
        </w:rPr>
        <w:t>80</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B.31: Studenti doktorského studijního programu, 2010 (%studentů terciárního studia)</w:t>
      </w:r>
      <w:r>
        <w:rPr>
          <w:noProof/>
        </w:rPr>
        <w:tab/>
      </w:r>
      <w:r>
        <w:rPr>
          <w:noProof/>
        </w:rPr>
        <w:fldChar w:fldCharType="begin"/>
      </w:r>
      <w:r>
        <w:rPr>
          <w:noProof/>
        </w:rPr>
        <w:instrText xml:space="preserve"> PAGEREF _Toc369092035 \h </w:instrText>
      </w:r>
      <w:r>
        <w:rPr>
          <w:noProof/>
        </w:rPr>
      </w:r>
      <w:r>
        <w:rPr>
          <w:noProof/>
        </w:rPr>
        <w:fldChar w:fldCharType="separate"/>
      </w:r>
      <w:r>
        <w:rPr>
          <w:noProof/>
        </w:rPr>
        <w:t>81</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B.32: Studenti vysokých škol v oborech přírodních a technických věd</w:t>
      </w:r>
      <w:r>
        <w:rPr>
          <w:noProof/>
        </w:rPr>
        <w:tab/>
      </w:r>
      <w:r>
        <w:rPr>
          <w:noProof/>
        </w:rPr>
        <w:fldChar w:fldCharType="begin"/>
      </w:r>
      <w:r>
        <w:rPr>
          <w:noProof/>
        </w:rPr>
        <w:instrText xml:space="preserve"> PAGEREF _Toc369092036 \h </w:instrText>
      </w:r>
      <w:r>
        <w:rPr>
          <w:noProof/>
        </w:rPr>
      </w:r>
      <w:r>
        <w:rPr>
          <w:noProof/>
        </w:rPr>
        <w:fldChar w:fldCharType="separate"/>
      </w:r>
      <w:r>
        <w:rPr>
          <w:noProof/>
        </w:rPr>
        <w:t>81</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B.33: Studenti doktorského studijního programu v oborech přírodních a technických věd</w:t>
      </w:r>
      <w:r>
        <w:rPr>
          <w:noProof/>
        </w:rPr>
        <w:tab/>
      </w:r>
      <w:r>
        <w:rPr>
          <w:noProof/>
        </w:rPr>
        <w:fldChar w:fldCharType="begin"/>
      </w:r>
      <w:r>
        <w:rPr>
          <w:noProof/>
        </w:rPr>
        <w:instrText xml:space="preserve"> PAGEREF _Toc369092037 \h </w:instrText>
      </w:r>
      <w:r>
        <w:rPr>
          <w:noProof/>
        </w:rPr>
      </w:r>
      <w:r>
        <w:rPr>
          <w:noProof/>
        </w:rPr>
        <w:fldChar w:fldCharType="separate"/>
      </w:r>
      <w:r>
        <w:rPr>
          <w:noProof/>
        </w:rPr>
        <w:t>82</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B.34: Studenti terciárního stupně studia v přírodních a technických vědách (% populace 20–29 let)</w:t>
      </w:r>
      <w:r>
        <w:rPr>
          <w:noProof/>
        </w:rPr>
        <w:tab/>
      </w:r>
      <w:r>
        <w:rPr>
          <w:noProof/>
        </w:rPr>
        <w:fldChar w:fldCharType="begin"/>
      </w:r>
      <w:r>
        <w:rPr>
          <w:noProof/>
        </w:rPr>
        <w:instrText xml:space="preserve"> PAGEREF _Toc369092038 \h </w:instrText>
      </w:r>
      <w:r>
        <w:rPr>
          <w:noProof/>
        </w:rPr>
      </w:r>
      <w:r>
        <w:rPr>
          <w:noProof/>
        </w:rPr>
        <w:fldChar w:fldCharType="separate"/>
      </w:r>
      <w:r>
        <w:rPr>
          <w:noProof/>
        </w:rPr>
        <w:t>83</w:t>
      </w:r>
      <w:r>
        <w:rPr>
          <w:noProof/>
        </w:rPr>
        <w:fldChar w:fldCharType="end"/>
      </w:r>
    </w:p>
    <w:p w:rsidR="009D46E6" w:rsidRDefault="009D46E6" w:rsidP="002A0905">
      <w:pPr>
        <w:pStyle w:val="TableofFigures"/>
        <w:ind w:left="993" w:hanging="993"/>
        <w:rPr>
          <w:rFonts w:ascii="Calibri" w:hAnsi="Calibri" w:cs="Times New Roman"/>
          <w:noProof/>
          <w:sz w:val="22"/>
          <w:szCs w:val="22"/>
          <w:lang w:eastAsia="cs-CZ"/>
        </w:rPr>
      </w:pPr>
      <w:r>
        <w:rPr>
          <w:noProof/>
        </w:rPr>
        <w:t>Graf B.35: Studenti doktorského studijního programu v oborech přírodních a technických věd,</w:t>
      </w:r>
      <w:r>
        <w:rPr>
          <w:noProof/>
        </w:rPr>
        <w:br/>
        <w:t>(% všech studentů doktorského programu)</w:t>
      </w:r>
      <w:r>
        <w:rPr>
          <w:noProof/>
        </w:rPr>
        <w:tab/>
      </w:r>
      <w:r>
        <w:rPr>
          <w:noProof/>
        </w:rPr>
        <w:fldChar w:fldCharType="begin"/>
      </w:r>
      <w:r>
        <w:rPr>
          <w:noProof/>
        </w:rPr>
        <w:instrText xml:space="preserve"> PAGEREF _Toc369092039 \h </w:instrText>
      </w:r>
      <w:r>
        <w:rPr>
          <w:noProof/>
        </w:rPr>
      </w:r>
      <w:r>
        <w:rPr>
          <w:noProof/>
        </w:rPr>
        <w:fldChar w:fldCharType="separate"/>
      </w:r>
      <w:r>
        <w:rPr>
          <w:noProof/>
        </w:rPr>
        <w:t>83</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C.1: Počty výsledků v širších vědních oborech v letech 2007 - 2012 a vztažené k roku 2007</w:t>
      </w:r>
      <w:r>
        <w:rPr>
          <w:noProof/>
        </w:rPr>
        <w:tab/>
      </w:r>
      <w:r>
        <w:rPr>
          <w:noProof/>
        </w:rPr>
        <w:fldChar w:fldCharType="begin"/>
      </w:r>
      <w:r>
        <w:rPr>
          <w:noProof/>
        </w:rPr>
        <w:instrText xml:space="preserve"> PAGEREF _Toc369092040 \h </w:instrText>
      </w:r>
      <w:r>
        <w:rPr>
          <w:noProof/>
        </w:rPr>
      </w:r>
      <w:r>
        <w:rPr>
          <w:noProof/>
        </w:rPr>
        <w:fldChar w:fldCharType="separate"/>
      </w:r>
      <w:r>
        <w:rPr>
          <w:noProof/>
        </w:rPr>
        <w:t>88</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C.2: Celkové počty výsledků v kategoriích v letech 2008 - 2012 podle sektorů</w:t>
      </w:r>
      <w:r>
        <w:rPr>
          <w:noProof/>
        </w:rPr>
        <w:tab/>
      </w:r>
      <w:r>
        <w:rPr>
          <w:noProof/>
        </w:rPr>
        <w:fldChar w:fldCharType="begin"/>
      </w:r>
      <w:r>
        <w:rPr>
          <w:noProof/>
        </w:rPr>
        <w:instrText xml:space="preserve"> PAGEREF _Toc369092041 \h </w:instrText>
      </w:r>
      <w:r>
        <w:rPr>
          <w:noProof/>
        </w:rPr>
      </w:r>
      <w:r>
        <w:rPr>
          <w:noProof/>
        </w:rPr>
        <w:fldChar w:fldCharType="separate"/>
      </w:r>
      <w:r>
        <w:rPr>
          <w:noProof/>
        </w:rPr>
        <w:t>90</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C.3: Celkové počty výsledků v kategoriích v letech 2008 - 2012 podle hlavních sektorů prováděni VaV</w:t>
      </w:r>
      <w:r>
        <w:rPr>
          <w:noProof/>
        </w:rPr>
        <w:tab/>
      </w:r>
      <w:r>
        <w:rPr>
          <w:noProof/>
        </w:rPr>
        <w:fldChar w:fldCharType="begin"/>
      </w:r>
      <w:r>
        <w:rPr>
          <w:noProof/>
        </w:rPr>
        <w:instrText xml:space="preserve"> PAGEREF _Toc369092042 \h </w:instrText>
      </w:r>
      <w:r>
        <w:rPr>
          <w:noProof/>
        </w:rPr>
      </w:r>
      <w:r>
        <w:rPr>
          <w:noProof/>
        </w:rPr>
        <w:fldChar w:fldCharType="separate"/>
      </w:r>
      <w:r>
        <w:rPr>
          <w:noProof/>
        </w:rPr>
        <w:t>91</w:t>
      </w:r>
      <w:r>
        <w:rPr>
          <w:noProof/>
        </w:rPr>
        <w:fldChar w:fldCharType="end"/>
      </w:r>
    </w:p>
    <w:p w:rsidR="009D46E6" w:rsidRDefault="009D46E6" w:rsidP="00BD48B2">
      <w:pPr>
        <w:pStyle w:val="TableofFigures"/>
        <w:ind w:left="851" w:hanging="851"/>
        <w:rPr>
          <w:rFonts w:ascii="Calibri" w:hAnsi="Calibri" w:cs="Times New Roman"/>
          <w:noProof/>
          <w:sz w:val="22"/>
          <w:szCs w:val="22"/>
          <w:lang w:eastAsia="cs-CZ"/>
        </w:rPr>
      </w:pPr>
      <w:r>
        <w:rPr>
          <w:noProof/>
        </w:rPr>
        <w:t>Graf C.4: Oborově rozdělené výsledky v kategorii publikace v odborných periodikách (J) a články ve sbornících z akcí (D) vytvořené v AV ČR a VVŠ vztažené k roku 2008</w:t>
      </w:r>
      <w:r>
        <w:rPr>
          <w:noProof/>
        </w:rPr>
        <w:tab/>
      </w:r>
      <w:r>
        <w:rPr>
          <w:noProof/>
        </w:rPr>
        <w:fldChar w:fldCharType="begin"/>
      </w:r>
      <w:r>
        <w:rPr>
          <w:noProof/>
        </w:rPr>
        <w:instrText xml:space="preserve"> PAGEREF _Toc369092043 \h </w:instrText>
      </w:r>
      <w:r>
        <w:rPr>
          <w:noProof/>
        </w:rPr>
      </w:r>
      <w:r>
        <w:rPr>
          <w:noProof/>
        </w:rPr>
        <w:fldChar w:fldCharType="separate"/>
      </w:r>
      <w:r>
        <w:rPr>
          <w:noProof/>
        </w:rPr>
        <w:t>91</w:t>
      </w:r>
      <w:r>
        <w:rPr>
          <w:noProof/>
        </w:rPr>
        <w:fldChar w:fldCharType="end"/>
      </w:r>
    </w:p>
    <w:p w:rsidR="009D46E6" w:rsidRDefault="009D46E6" w:rsidP="00BD48B2">
      <w:pPr>
        <w:pStyle w:val="TableofFigures"/>
        <w:ind w:left="851" w:hanging="851"/>
        <w:rPr>
          <w:rFonts w:ascii="Calibri" w:hAnsi="Calibri" w:cs="Times New Roman"/>
          <w:noProof/>
          <w:sz w:val="22"/>
          <w:szCs w:val="22"/>
          <w:lang w:eastAsia="cs-CZ"/>
        </w:rPr>
      </w:pPr>
      <w:r>
        <w:rPr>
          <w:noProof/>
        </w:rPr>
        <w:t>Graf C.5: Oborově rozdělené výsledky aplikovaného charakteru (F, G, N, R, Z), vytvořené AV ČR a VVŠ vztažené k roku 2008</w:t>
      </w:r>
      <w:r>
        <w:rPr>
          <w:noProof/>
        </w:rPr>
        <w:tab/>
      </w:r>
      <w:r>
        <w:rPr>
          <w:noProof/>
        </w:rPr>
        <w:fldChar w:fldCharType="begin"/>
      </w:r>
      <w:r>
        <w:rPr>
          <w:noProof/>
        </w:rPr>
        <w:instrText xml:space="preserve"> PAGEREF _Toc369092044 \h </w:instrText>
      </w:r>
      <w:r>
        <w:rPr>
          <w:noProof/>
        </w:rPr>
      </w:r>
      <w:r>
        <w:rPr>
          <w:noProof/>
        </w:rPr>
        <w:fldChar w:fldCharType="separate"/>
      </w:r>
      <w:r>
        <w:rPr>
          <w:noProof/>
        </w:rPr>
        <w:t>92</w:t>
      </w:r>
      <w:r>
        <w:rPr>
          <w:noProof/>
        </w:rPr>
        <w:fldChar w:fldCharType="end"/>
      </w:r>
    </w:p>
    <w:p w:rsidR="009D46E6" w:rsidRDefault="009D46E6" w:rsidP="00BD48B2">
      <w:pPr>
        <w:pStyle w:val="TableofFigures"/>
        <w:ind w:left="851" w:hanging="851"/>
        <w:rPr>
          <w:rFonts w:ascii="Calibri" w:hAnsi="Calibri" w:cs="Times New Roman"/>
          <w:noProof/>
          <w:sz w:val="22"/>
          <w:szCs w:val="22"/>
          <w:lang w:eastAsia="cs-CZ"/>
        </w:rPr>
      </w:pPr>
      <w:r>
        <w:rPr>
          <w:noProof/>
        </w:rPr>
        <w:t>Graf C.6: Počet publikací vybraných zemi vztažený na 1000 obyvatel a počet pracovníků v roce 2012</w:t>
      </w:r>
      <w:r>
        <w:rPr>
          <w:noProof/>
        </w:rPr>
        <w:tab/>
      </w:r>
      <w:r>
        <w:rPr>
          <w:noProof/>
        </w:rPr>
        <w:fldChar w:fldCharType="begin"/>
      </w:r>
      <w:r>
        <w:rPr>
          <w:noProof/>
        </w:rPr>
        <w:instrText xml:space="preserve"> PAGEREF _Toc369092045 \h </w:instrText>
      </w:r>
      <w:r>
        <w:rPr>
          <w:noProof/>
        </w:rPr>
      </w:r>
      <w:r>
        <w:rPr>
          <w:noProof/>
        </w:rPr>
        <w:fldChar w:fldCharType="separate"/>
      </w:r>
      <w:r>
        <w:rPr>
          <w:noProof/>
        </w:rPr>
        <w:t>96</w:t>
      </w:r>
      <w:r>
        <w:rPr>
          <w:noProof/>
        </w:rPr>
        <w:fldChar w:fldCharType="end"/>
      </w:r>
    </w:p>
    <w:p w:rsidR="009D46E6" w:rsidRDefault="009D46E6" w:rsidP="00BD48B2">
      <w:pPr>
        <w:pStyle w:val="TableofFigures"/>
        <w:ind w:left="851" w:hanging="851"/>
        <w:rPr>
          <w:rFonts w:ascii="Calibri" w:hAnsi="Calibri" w:cs="Times New Roman"/>
          <w:noProof/>
          <w:sz w:val="22"/>
          <w:szCs w:val="22"/>
          <w:lang w:eastAsia="cs-CZ"/>
        </w:rPr>
      </w:pPr>
      <w:r>
        <w:rPr>
          <w:noProof/>
        </w:rPr>
        <w:t>Graf C.7: Citovanost publikaci z roku 2010 vztažená na 1000 obyvatel a počet pracovníků</w:t>
      </w:r>
      <w:r>
        <w:rPr>
          <w:noProof/>
        </w:rPr>
        <w:tab/>
      </w:r>
      <w:r>
        <w:rPr>
          <w:noProof/>
        </w:rPr>
        <w:fldChar w:fldCharType="begin"/>
      </w:r>
      <w:r>
        <w:rPr>
          <w:noProof/>
        </w:rPr>
        <w:instrText xml:space="preserve"> PAGEREF _Toc369092046 \h </w:instrText>
      </w:r>
      <w:r>
        <w:rPr>
          <w:noProof/>
        </w:rPr>
      </w:r>
      <w:r>
        <w:rPr>
          <w:noProof/>
        </w:rPr>
        <w:fldChar w:fldCharType="separate"/>
      </w:r>
      <w:r>
        <w:rPr>
          <w:noProof/>
        </w:rPr>
        <w:t>97</w:t>
      </w:r>
      <w:r>
        <w:rPr>
          <w:noProof/>
        </w:rPr>
        <w:fldChar w:fldCharType="end"/>
      </w:r>
    </w:p>
    <w:p w:rsidR="009D46E6" w:rsidRDefault="009D46E6" w:rsidP="00BD48B2">
      <w:pPr>
        <w:pStyle w:val="TableofFigures"/>
        <w:ind w:left="851" w:hanging="851"/>
        <w:rPr>
          <w:rFonts w:ascii="Calibri" w:hAnsi="Calibri" w:cs="Times New Roman"/>
          <w:noProof/>
          <w:sz w:val="22"/>
          <w:szCs w:val="22"/>
          <w:lang w:eastAsia="cs-CZ"/>
        </w:rPr>
      </w:pPr>
      <w:r>
        <w:rPr>
          <w:noProof/>
        </w:rPr>
        <w:t>Graf C.8: Celkové počty publikací autorů z ČR v letech 2000-2011 a podíl na celkové světové produkci</w:t>
      </w:r>
      <w:r>
        <w:rPr>
          <w:noProof/>
        </w:rPr>
        <w:tab/>
      </w:r>
      <w:r>
        <w:rPr>
          <w:noProof/>
        </w:rPr>
        <w:fldChar w:fldCharType="begin"/>
      </w:r>
      <w:r>
        <w:rPr>
          <w:noProof/>
        </w:rPr>
        <w:instrText xml:space="preserve"> PAGEREF _Toc369092047 \h </w:instrText>
      </w:r>
      <w:r>
        <w:rPr>
          <w:noProof/>
        </w:rPr>
      </w:r>
      <w:r>
        <w:rPr>
          <w:noProof/>
        </w:rPr>
        <w:fldChar w:fldCharType="separate"/>
      </w:r>
      <w:r>
        <w:rPr>
          <w:noProof/>
        </w:rPr>
        <w:t>98</w:t>
      </w:r>
      <w:r>
        <w:rPr>
          <w:noProof/>
        </w:rPr>
        <w:fldChar w:fldCharType="end"/>
      </w:r>
    </w:p>
    <w:p w:rsidR="009D46E6" w:rsidRDefault="009D46E6" w:rsidP="00BD48B2">
      <w:pPr>
        <w:pStyle w:val="TableofFigures"/>
        <w:ind w:left="851" w:hanging="851"/>
        <w:rPr>
          <w:rFonts w:ascii="Calibri" w:hAnsi="Calibri" w:cs="Times New Roman"/>
          <w:noProof/>
          <w:sz w:val="22"/>
          <w:szCs w:val="22"/>
          <w:lang w:eastAsia="cs-CZ"/>
        </w:rPr>
      </w:pPr>
      <w:r>
        <w:rPr>
          <w:noProof/>
        </w:rPr>
        <w:t>Graf C.9: Oborově normalizovaná citovanost publikací českých autorů v letech 2000 – 2012</w:t>
      </w:r>
      <w:r>
        <w:rPr>
          <w:noProof/>
        </w:rPr>
        <w:tab/>
      </w:r>
      <w:r>
        <w:rPr>
          <w:noProof/>
        </w:rPr>
        <w:fldChar w:fldCharType="begin"/>
      </w:r>
      <w:r>
        <w:rPr>
          <w:noProof/>
        </w:rPr>
        <w:instrText xml:space="preserve"> PAGEREF _Toc369092048 \h </w:instrText>
      </w:r>
      <w:r>
        <w:rPr>
          <w:noProof/>
        </w:rPr>
      </w:r>
      <w:r>
        <w:rPr>
          <w:noProof/>
        </w:rPr>
        <w:fldChar w:fldCharType="separate"/>
      </w:r>
      <w:r>
        <w:rPr>
          <w:noProof/>
        </w:rPr>
        <w:t>99</w:t>
      </w:r>
      <w:r>
        <w:rPr>
          <w:noProof/>
        </w:rPr>
        <w:fldChar w:fldCharType="end"/>
      </w:r>
    </w:p>
    <w:p w:rsidR="009D46E6" w:rsidRDefault="009D46E6" w:rsidP="00BD48B2">
      <w:pPr>
        <w:pStyle w:val="TableofFigures"/>
        <w:ind w:left="851" w:hanging="851"/>
        <w:rPr>
          <w:rFonts w:ascii="Calibri" w:hAnsi="Calibri" w:cs="Times New Roman"/>
          <w:noProof/>
          <w:sz w:val="22"/>
          <w:szCs w:val="22"/>
          <w:lang w:eastAsia="cs-CZ"/>
        </w:rPr>
      </w:pPr>
      <w:r>
        <w:rPr>
          <w:noProof/>
        </w:rPr>
        <w:t>Graf C.10: Podíl českých publikací na světové produkci v širších vědních oborech v letech 2008 – 2012</w:t>
      </w:r>
      <w:r>
        <w:rPr>
          <w:noProof/>
        </w:rPr>
        <w:tab/>
      </w:r>
      <w:r>
        <w:rPr>
          <w:noProof/>
        </w:rPr>
        <w:fldChar w:fldCharType="begin"/>
      </w:r>
      <w:r>
        <w:rPr>
          <w:noProof/>
        </w:rPr>
        <w:instrText xml:space="preserve"> PAGEREF _Toc369092049 \h </w:instrText>
      </w:r>
      <w:r>
        <w:rPr>
          <w:noProof/>
        </w:rPr>
      </w:r>
      <w:r>
        <w:rPr>
          <w:noProof/>
        </w:rPr>
        <w:fldChar w:fldCharType="separate"/>
      </w:r>
      <w:r>
        <w:rPr>
          <w:noProof/>
        </w:rPr>
        <w:t>100</w:t>
      </w:r>
      <w:r>
        <w:rPr>
          <w:noProof/>
        </w:rPr>
        <w:fldChar w:fldCharType="end"/>
      </w:r>
    </w:p>
    <w:p w:rsidR="009D46E6" w:rsidRDefault="009D46E6" w:rsidP="00BD48B2">
      <w:pPr>
        <w:pStyle w:val="TableofFigures"/>
        <w:ind w:left="851" w:hanging="851"/>
        <w:rPr>
          <w:rFonts w:ascii="Calibri" w:hAnsi="Calibri" w:cs="Times New Roman"/>
          <w:noProof/>
          <w:sz w:val="22"/>
          <w:szCs w:val="22"/>
          <w:lang w:eastAsia="cs-CZ"/>
        </w:rPr>
      </w:pPr>
      <w:r>
        <w:rPr>
          <w:noProof/>
        </w:rPr>
        <w:t>Graf C.11: Oborově normalizovaná citovanost českých publikací v letech 2008 – 2012</w:t>
      </w:r>
      <w:r>
        <w:rPr>
          <w:noProof/>
        </w:rPr>
        <w:tab/>
      </w:r>
      <w:r>
        <w:rPr>
          <w:noProof/>
        </w:rPr>
        <w:fldChar w:fldCharType="begin"/>
      </w:r>
      <w:r>
        <w:rPr>
          <w:noProof/>
        </w:rPr>
        <w:instrText xml:space="preserve"> PAGEREF _Toc369092050 \h </w:instrText>
      </w:r>
      <w:r>
        <w:rPr>
          <w:noProof/>
        </w:rPr>
      </w:r>
      <w:r>
        <w:rPr>
          <w:noProof/>
        </w:rPr>
        <w:fldChar w:fldCharType="separate"/>
      </w:r>
      <w:r>
        <w:rPr>
          <w:noProof/>
        </w:rPr>
        <w:t>101</w:t>
      </w:r>
      <w:r>
        <w:rPr>
          <w:noProof/>
        </w:rPr>
        <w:fldChar w:fldCharType="end"/>
      </w:r>
    </w:p>
    <w:p w:rsidR="009D46E6" w:rsidRDefault="009D46E6" w:rsidP="00BD48B2">
      <w:pPr>
        <w:pStyle w:val="TableofFigures"/>
        <w:ind w:left="851" w:hanging="851"/>
        <w:rPr>
          <w:rFonts w:ascii="Calibri" w:hAnsi="Calibri" w:cs="Times New Roman"/>
          <w:noProof/>
          <w:sz w:val="22"/>
          <w:szCs w:val="22"/>
          <w:lang w:eastAsia="cs-CZ"/>
        </w:rPr>
      </w:pPr>
      <w:r>
        <w:rPr>
          <w:noProof/>
        </w:rPr>
        <w:t>Graf C.12: Nadprůměrně citované obory v letech 2008 - 2012 a český podíl na světové produkci</w:t>
      </w:r>
      <w:r>
        <w:rPr>
          <w:noProof/>
        </w:rPr>
        <w:tab/>
      </w:r>
      <w:r>
        <w:rPr>
          <w:noProof/>
        </w:rPr>
        <w:fldChar w:fldCharType="begin"/>
      </w:r>
      <w:r>
        <w:rPr>
          <w:noProof/>
        </w:rPr>
        <w:instrText xml:space="preserve"> PAGEREF _Toc369092051 \h </w:instrText>
      </w:r>
      <w:r>
        <w:rPr>
          <w:noProof/>
        </w:rPr>
      </w:r>
      <w:r>
        <w:rPr>
          <w:noProof/>
        </w:rPr>
        <w:fldChar w:fldCharType="separate"/>
      </w:r>
      <w:r>
        <w:rPr>
          <w:noProof/>
        </w:rPr>
        <w:t>102</w:t>
      </w:r>
      <w:r>
        <w:rPr>
          <w:noProof/>
        </w:rPr>
        <w:fldChar w:fldCharType="end"/>
      </w:r>
    </w:p>
    <w:p w:rsidR="009D46E6" w:rsidRDefault="009D46E6" w:rsidP="00BD48B2">
      <w:pPr>
        <w:pStyle w:val="TableofFigures"/>
        <w:ind w:left="851" w:hanging="851"/>
        <w:rPr>
          <w:rFonts w:ascii="Calibri" w:hAnsi="Calibri" w:cs="Times New Roman"/>
          <w:noProof/>
          <w:sz w:val="22"/>
          <w:szCs w:val="22"/>
          <w:lang w:eastAsia="cs-CZ"/>
        </w:rPr>
      </w:pPr>
      <w:r>
        <w:rPr>
          <w:noProof/>
        </w:rPr>
        <w:t>Graf C.13: Obory s nejrychleji rostoucím podílem na celkovém počtu českých publikací</w:t>
      </w:r>
      <w:r>
        <w:rPr>
          <w:noProof/>
        </w:rPr>
        <w:tab/>
      </w:r>
      <w:r>
        <w:rPr>
          <w:noProof/>
        </w:rPr>
        <w:fldChar w:fldCharType="begin"/>
      </w:r>
      <w:r>
        <w:rPr>
          <w:noProof/>
        </w:rPr>
        <w:instrText xml:space="preserve"> PAGEREF _Toc369092052 \h </w:instrText>
      </w:r>
      <w:r>
        <w:rPr>
          <w:noProof/>
        </w:rPr>
      </w:r>
      <w:r>
        <w:rPr>
          <w:noProof/>
        </w:rPr>
        <w:fldChar w:fldCharType="separate"/>
      </w:r>
      <w:r>
        <w:rPr>
          <w:noProof/>
        </w:rPr>
        <w:t>103</w:t>
      </w:r>
      <w:r>
        <w:rPr>
          <w:noProof/>
        </w:rPr>
        <w:fldChar w:fldCharType="end"/>
      </w:r>
    </w:p>
    <w:p w:rsidR="009D46E6" w:rsidRDefault="009D46E6" w:rsidP="00BD48B2">
      <w:pPr>
        <w:pStyle w:val="TableofFigures"/>
        <w:ind w:left="851" w:hanging="851"/>
        <w:rPr>
          <w:rFonts w:ascii="Calibri" w:hAnsi="Calibri" w:cs="Times New Roman"/>
          <w:noProof/>
          <w:sz w:val="22"/>
          <w:szCs w:val="22"/>
          <w:lang w:eastAsia="cs-CZ"/>
        </w:rPr>
      </w:pPr>
      <w:r>
        <w:rPr>
          <w:noProof/>
        </w:rPr>
        <w:t>Graf C.14: Počet publikací vztažený k roku 2000 a oborově normalizované citační indexy</w:t>
      </w:r>
      <w:r>
        <w:rPr>
          <w:noProof/>
        </w:rPr>
        <w:tab/>
      </w:r>
      <w:r>
        <w:rPr>
          <w:noProof/>
        </w:rPr>
        <w:fldChar w:fldCharType="begin"/>
      </w:r>
      <w:r>
        <w:rPr>
          <w:noProof/>
        </w:rPr>
        <w:instrText xml:space="preserve"> PAGEREF _Toc369092053 \h </w:instrText>
      </w:r>
      <w:r>
        <w:rPr>
          <w:noProof/>
        </w:rPr>
      </w:r>
      <w:r>
        <w:rPr>
          <w:noProof/>
        </w:rPr>
        <w:fldChar w:fldCharType="separate"/>
      </w:r>
      <w:r>
        <w:rPr>
          <w:noProof/>
        </w:rPr>
        <w:t>104</w:t>
      </w:r>
      <w:r>
        <w:rPr>
          <w:noProof/>
        </w:rPr>
        <w:fldChar w:fldCharType="end"/>
      </w:r>
    </w:p>
    <w:p w:rsidR="009D46E6" w:rsidRDefault="009D46E6" w:rsidP="00BD48B2">
      <w:pPr>
        <w:pStyle w:val="TableofFigures"/>
        <w:ind w:left="851" w:hanging="851"/>
        <w:rPr>
          <w:rFonts w:ascii="Calibri" w:hAnsi="Calibri" w:cs="Times New Roman"/>
          <w:noProof/>
          <w:sz w:val="22"/>
          <w:szCs w:val="22"/>
          <w:lang w:eastAsia="cs-CZ"/>
        </w:rPr>
      </w:pPr>
      <w:r>
        <w:rPr>
          <w:noProof/>
        </w:rPr>
        <w:t>Graf C.15: Patentová aktivita tuzemských subjektů v ČR (počet a struktura)</w:t>
      </w:r>
      <w:r>
        <w:rPr>
          <w:noProof/>
        </w:rPr>
        <w:tab/>
      </w:r>
      <w:r>
        <w:rPr>
          <w:noProof/>
        </w:rPr>
        <w:fldChar w:fldCharType="begin"/>
      </w:r>
      <w:r>
        <w:rPr>
          <w:noProof/>
        </w:rPr>
        <w:instrText xml:space="preserve"> PAGEREF _Toc369092054 \h </w:instrText>
      </w:r>
      <w:r>
        <w:rPr>
          <w:noProof/>
        </w:rPr>
      </w:r>
      <w:r>
        <w:rPr>
          <w:noProof/>
        </w:rPr>
        <w:fldChar w:fldCharType="separate"/>
      </w:r>
      <w:r>
        <w:rPr>
          <w:noProof/>
        </w:rPr>
        <w:t>105</w:t>
      </w:r>
      <w:r>
        <w:rPr>
          <w:noProof/>
        </w:rPr>
        <w:fldChar w:fldCharType="end"/>
      </w:r>
    </w:p>
    <w:p w:rsidR="009D46E6" w:rsidRDefault="009D46E6" w:rsidP="00BD48B2">
      <w:pPr>
        <w:pStyle w:val="TableofFigures"/>
        <w:ind w:left="851" w:hanging="851"/>
        <w:rPr>
          <w:rFonts w:ascii="Calibri" w:hAnsi="Calibri" w:cs="Times New Roman"/>
          <w:noProof/>
          <w:sz w:val="22"/>
          <w:szCs w:val="22"/>
          <w:lang w:eastAsia="cs-CZ"/>
        </w:rPr>
      </w:pPr>
      <w:r>
        <w:rPr>
          <w:noProof/>
        </w:rPr>
        <w:t>Graf C.16: Platné patenty v ČR k 31.12. patřící tuzemským subjektům (počet a struktura)</w:t>
      </w:r>
      <w:r>
        <w:rPr>
          <w:noProof/>
        </w:rPr>
        <w:tab/>
      </w:r>
      <w:r>
        <w:rPr>
          <w:noProof/>
        </w:rPr>
        <w:fldChar w:fldCharType="begin"/>
      </w:r>
      <w:r>
        <w:rPr>
          <w:noProof/>
        </w:rPr>
        <w:instrText xml:space="preserve"> PAGEREF _Toc369092055 \h </w:instrText>
      </w:r>
      <w:r>
        <w:rPr>
          <w:noProof/>
        </w:rPr>
      </w:r>
      <w:r>
        <w:rPr>
          <w:noProof/>
        </w:rPr>
        <w:fldChar w:fldCharType="separate"/>
      </w:r>
      <w:r>
        <w:rPr>
          <w:noProof/>
        </w:rPr>
        <w:t>107</w:t>
      </w:r>
      <w:r>
        <w:rPr>
          <w:noProof/>
        </w:rPr>
        <w:fldChar w:fldCharType="end"/>
      </w:r>
    </w:p>
    <w:p w:rsidR="009D46E6" w:rsidRDefault="009D46E6" w:rsidP="00BD48B2">
      <w:pPr>
        <w:pStyle w:val="TableofFigures"/>
        <w:ind w:left="851" w:hanging="851"/>
        <w:rPr>
          <w:rFonts w:ascii="Calibri" w:hAnsi="Calibri" w:cs="Times New Roman"/>
          <w:noProof/>
          <w:sz w:val="22"/>
          <w:szCs w:val="22"/>
          <w:lang w:eastAsia="cs-CZ"/>
        </w:rPr>
      </w:pPr>
      <w:r>
        <w:rPr>
          <w:noProof/>
        </w:rPr>
        <w:t>Graf C.18: Patentové přihlášky podané v období 2007 až 2012 u ÚPV ČR tuzemskými přihlašovateli ve spolupráci s jiným subjektem</w:t>
      </w:r>
      <w:r>
        <w:rPr>
          <w:noProof/>
        </w:rPr>
        <w:tab/>
      </w:r>
      <w:r>
        <w:rPr>
          <w:noProof/>
        </w:rPr>
        <w:fldChar w:fldCharType="begin"/>
      </w:r>
      <w:r>
        <w:rPr>
          <w:noProof/>
        </w:rPr>
        <w:instrText xml:space="preserve"> PAGEREF _Toc369092056 \h </w:instrText>
      </w:r>
      <w:r>
        <w:rPr>
          <w:noProof/>
        </w:rPr>
      </w:r>
      <w:r>
        <w:rPr>
          <w:noProof/>
        </w:rPr>
        <w:fldChar w:fldCharType="separate"/>
      </w:r>
      <w:r>
        <w:rPr>
          <w:noProof/>
        </w:rPr>
        <w:t>109</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C.19: Patentové přihlášky podané u ÚPV ČR tuzemskými přihlašovateli v high-tech oblasti</w:t>
      </w:r>
      <w:r>
        <w:rPr>
          <w:noProof/>
        </w:rPr>
        <w:tab/>
      </w:r>
      <w:r>
        <w:rPr>
          <w:noProof/>
        </w:rPr>
        <w:fldChar w:fldCharType="begin"/>
      </w:r>
      <w:r>
        <w:rPr>
          <w:noProof/>
        </w:rPr>
        <w:instrText xml:space="preserve"> PAGEREF _Toc369092057 \h </w:instrText>
      </w:r>
      <w:r>
        <w:rPr>
          <w:noProof/>
        </w:rPr>
      </w:r>
      <w:r>
        <w:rPr>
          <w:noProof/>
        </w:rPr>
        <w:fldChar w:fldCharType="separate"/>
      </w:r>
      <w:r>
        <w:rPr>
          <w:noProof/>
        </w:rPr>
        <w:t>110</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C.20: Užitné vzory zapsané ÚPV ČR tuzemským přihlašovatelům (počet a struktura)</w:t>
      </w:r>
      <w:r>
        <w:rPr>
          <w:noProof/>
        </w:rPr>
        <w:tab/>
      </w:r>
      <w:r>
        <w:rPr>
          <w:noProof/>
        </w:rPr>
        <w:fldChar w:fldCharType="begin"/>
      </w:r>
      <w:r>
        <w:rPr>
          <w:noProof/>
        </w:rPr>
        <w:instrText xml:space="preserve"> PAGEREF _Toc369092058 \h </w:instrText>
      </w:r>
      <w:r>
        <w:rPr>
          <w:noProof/>
        </w:rPr>
      </w:r>
      <w:r>
        <w:rPr>
          <w:noProof/>
        </w:rPr>
        <w:fldChar w:fldCharType="separate"/>
      </w:r>
      <w:r>
        <w:rPr>
          <w:noProof/>
        </w:rPr>
        <w:t>111</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C.21: Patenty udělené (validované) ÚPV ČR pro území ČR podle způsobu udělení</w:t>
      </w:r>
      <w:r>
        <w:rPr>
          <w:noProof/>
        </w:rPr>
        <w:tab/>
      </w:r>
      <w:r>
        <w:rPr>
          <w:noProof/>
        </w:rPr>
        <w:fldChar w:fldCharType="begin"/>
      </w:r>
      <w:r>
        <w:rPr>
          <w:noProof/>
        </w:rPr>
        <w:instrText xml:space="preserve"> PAGEREF _Toc369092059 \h </w:instrText>
      </w:r>
      <w:r>
        <w:rPr>
          <w:noProof/>
        </w:rPr>
      </w:r>
      <w:r>
        <w:rPr>
          <w:noProof/>
        </w:rPr>
        <w:fldChar w:fldCharType="separate"/>
      </w:r>
      <w:r>
        <w:rPr>
          <w:noProof/>
        </w:rPr>
        <w:t>112</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C.22: Patentová aktivita zahraničních subjektů v ČR (počet a struktura)</w:t>
      </w:r>
      <w:r>
        <w:rPr>
          <w:noProof/>
        </w:rPr>
        <w:tab/>
      </w:r>
      <w:r>
        <w:rPr>
          <w:noProof/>
        </w:rPr>
        <w:fldChar w:fldCharType="begin"/>
      </w:r>
      <w:r>
        <w:rPr>
          <w:noProof/>
        </w:rPr>
        <w:instrText xml:space="preserve"> PAGEREF _Toc369092060 \h </w:instrText>
      </w:r>
      <w:r>
        <w:rPr>
          <w:noProof/>
        </w:rPr>
      </w:r>
      <w:r>
        <w:rPr>
          <w:noProof/>
        </w:rPr>
        <w:fldChar w:fldCharType="separate"/>
      </w:r>
      <w:r>
        <w:rPr>
          <w:noProof/>
        </w:rPr>
        <w:t>113</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C.23: Patentová aktivita tuzemských subjektů u EPO (počet a struktura)</w:t>
      </w:r>
      <w:r>
        <w:rPr>
          <w:noProof/>
        </w:rPr>
        <w:tab/>
      </w:r>
      <w:r>
        <w:rPr>
          <w:noProof/>
        </w:rPr>
        <w:fldChar w:fldCharType="begin"/>
      </w:r>
      <w:r>
        <w:rPr>
          <w:noProof/>
        </w:rPr>
        <w:instrText xml:space="preserve"> PAGEREF _Toc369092061 \h </w:instrText>
      </w:r>
      <w:r>
        <w:rPr>
          <w:noProof/>
        </w:rPr>
      </w:r>
      <w:r>
        <w:rPr>
          <w:noProof/>
        </w:rPr>
        <w:fldChar w:fldCharType="separate"/>
      </w:r>
      <w:r>
        <w:rPr>
          <w:noProof/>
        </w:rPr>
        <w:t>114</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C.24: Patentové přihlášky podané u EPO, 2007-2012 (počet na milion obyvatel)*</w:t>
      </w:r>
      <w:r>
        <w:rPr>
          <w:noProof/>
        </w:rPr>
        <w:tab/>
      </w:r>
      <w:r>
        <w:rPr>
          <w:noProof/>
        </w:rPr>
        <w:fldChar w:fldCharType="begin"/>
      </w:r>
      <w:r>
        <w:rPr>
          <w:noProof/>
        </w:rPr>
        <w:instrText xml:space="preserve"> PAGEREF _Toc369092062 \h </w:instrText>
      </w:r>
      <w:r>
        <w:rPr>
          <w:noProof/>
        </w:rPr>
      </w:r>
      <w:r>
        <w:rPr>
          <w:noProof/>
        </w:rPr>
        <w:fldChar w:fldCharType="separate"/>
      </w:r>
      <w:r>
        <w:rPr>
          <w:noProof/>
        </w:rPr>
        <w:t>114</w:t>
      </w:r>
      <w:r>
        <w:rPr>
          <w:noProof/>
        </w:rPr>
        <w:fldChar w:fldCharType="end"/>
      </w:r>
    </w:p>
    <w:p w:rsidR="009D46E6" w:rsidRDefault="009D46E6" w:rsidP="00BD48B2">
      <w:pPr>
        <w:pStyle w:val="TableofFigures"/>
        <w:ind w:left="993" w:hanging="993"/>
        <w:rPr>
          <w:rFonts w:ascii="Calibri" w:hAnsi="Calibri" w:cs="Times New Roman"/>
          <w:noProof/>
          <w:sz w:val="22"/>
          <w:szCs w:val="22"/>
          <w:lang w:eastAsia="cs-CZ"/>
        </w:rPr>
      </w:pPr>
      <w:r>
        <w:rPr>
          <w:noProof/>
        </w:rPr>
        <w:t>Graf C.25: Příjmy subjektů působících v ČR z licenčních poplatků za poskytnuté právo využívat vynálezy/technické řešení chráněné patentem nebo užitným vzorem (mil. Kč, %)</w:t>
      </w:r>
      <w:r>
        <w:rPr>
          <w:noProof/>
        </w:rPr>
        <w:tab/>
      </w:r>
      <w:r>
        <w:rPr>
          <w:noProof/>
        </w:rPr>
        <w:fldChar w:fldCharType="begin"/>
      </w:r>
      <w:r>
        <w:rPr>
          <w:noProof/>
        </w:rPr>
        <w:instrText xml:space="preserve"> PAGEREF _Toc369092063 \h </w:instrText>
      </w:r>
      <w:r>
        <w:rPr>
          <w:noProof/>
        </w:rPr>
      </w:r>
      <w:r>
        <w:rPr>
          <w:noProof/>
        </w:rPr>
        <w:fldChar w:fldCharType="separate"/>
      </w:r>
      <w:r>
        <w:rPr>
          <w:noProof/>
        </w:rPr>
        <w:t>116</w:t>
      </w:r>
      <w:r>
        <w:rPr>
          <w:noProof/>
        </w:rPr>
        <w:fldChar w:fldCharType="end"/>
      </w:r>
    </w:p>
    <w:p w:rsidR="009D46E6" w:rsidRDefault="009D46E6" w:rsidP="00BD48B2">
      <w:pPr>
        <w:pStyle w:val="TableofFigures"/>
        <w:ind w:left="993" w:hanging="993"/>
        <w:rPr>
          <w:rFonts w:ascii="Calibri" w:hAnsi="Calibri" w:cs="Times New Roman"/>
          <w:noProof/>
          <w:sz w:val="22"/>
          <w:szCs w:val="22"/>
          <w:lang w:eastAsia="cs-CZ"/>
        </w:rPr>
      </w:pPr>
      <w:r>
        <w:rPr>
          <w:noProof/>
        </w:rPr>
        <w:t>Graf C.26: Počet subjektů v ČR s uzavřenou platnou licencí poskytnutou na právo využívat své vynálezy chráněné patentem třetí osobou</w:t>
      </w:r>
      <w:r>
        <w:rPr>
          <w:noProof/>
        </w:rPr>
        <w:tab/>
      </w:r>
      <w:r>
        <w:rPr>
          <w:noProof/>
        </w:rPr>
        <w:fldChar w:fldCharType="begin"/>
      </w:r>
      <w:r>
        <w:rPr>
          <w:noProof/>
        </w:rPr>
        <w:instrText xml:space="preserve"> PAGEREF _Toc369092064 \h </w:instrText>
      </w:r>
      <w:r>
        <w:rPr>
          <w:noProof/>
        </w:rPr>
      </w:r>
      <w:r>
        <w:rPr>
          <w:noProof/>
        </w:rPr>
        <w:fldChar w:fldCharType="separate"/>
      </w:r>
      <w:r>
        <w:rPr>
          <w:noProof/>
        </w:rPr>
        <w:t>117</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C.27: Licencované patenty podle typu poskytovatele a přijatých poplatků, 2012</w:t>
      </w:r>
      <w:r>
        <w:rPr>
          <w:noProof/>
        </w:rPr>
        <w:tab/>
      </w:r>
      <w:r>
        <w:rPr>
          <w:noProof/>
        </w:rPr>
        <w:fldChar w:fldCharType="begin"/>
      </w:r>
      <w:r>
        <w:rPr>
          <w:noProof/>
        </w:rPr>
        <w:instrText xml:space="preserve"> PAGEREF _Toc369092065 \h </w:instrText>
      </w:r>
      <w:r>
        <w:rPr>
          <w:noProof/>
        </w:rPr>
      </w:r>
      <w:r>
        <w:rPr>
          <w:noProof/>
        </w:rPr>
        <w:fldChar w:fldCharType="separate"/>
      </w:r>
      <w:r>
        <w:rPr>
          <w:noProof/>
        </w:rPr>
        <w:t>118</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C.28: Příjmy za licenční poplatky inkasované ze zahraničí, 2011 (podíl na HDP)</w:t>
      </w:r>
      <w:r>
        <w:rPr>
          <w:noProof/>
        </w:rPr>
        <w:tab/>
      </w:r>
      <w:r>
        <w:rPr>
          <w:noProof/>
        </w:rPr>
        <w:fldChar w:fldCharType="begin"/>
      </w:r>
      <w:r>
        <w:rPr>
          <w:noProof/>
        </w:rPr>
        <w:instrText xml:space="preserve"> PAGEREF _Toc369092066 \h </w:instrText>
      </w:r>
      <w:r>
        <w:rPr>
          <w:noProof/>
        </w:rPr>
      </w:r>
      <w:r>
        <w:rPr>
          <w:noProof/>
        </w:rPr>
        <w:fldChar w:fldCharType="separate"/>
      </w:r>
      <w:r>
        <w:rPr>
          <w:noProof/>
        </w:rPr>
        <w:t>118</w:t>
      </w:r>
      <w:r>
        <w:rPr>
          <w:noProof/>
        </w:rPr>
        <w:fldChar w:fldCharType="end"/>
      </w:r>
    </w:p>
    <w:p w:rsidR="009D46E6" w:rsidRDefault="009D46E6">
      <w:pPr>
        <w:pStyle w:val="TableofFigures"/>
        <w:rPr>
          <w:rFonts w:ascii="Calibri" w:hAnsi="Calibri" w:cs="Times New Roman"/>
          <w:noProof/>
          <w:sz w:val="22"/>
          <w:szCs w:val="22"/>
          <w:lang w:eastAsia="cs-CZ"/>
        </w:rPr>
      </w:pPr>
      <w:r>
        <w:rPr>
          <w:noProof/>
        </w:rPr>
        <w:t xml:space="preserve">Graf D.1: Inovační výkonnost vybraných zemí podle souhrnného inovačního indexu </w:t>
      </w:r>
      <w:r w:rsidRPr="008216CA">
        <w:rPr>
          <w:noProof/>
        </w:rPr>
        <w:t>2012</w:t>
      </w:r>
      <w:r>
        <w:rPr>
          <w:noProof/>
        </w:rPr>
        <w:tab/>
      </w:r>
      <w:r>
        <w:rPr>
          <w:noProof/>
        </w:rPr>
        <w:fldChar w:fldCharType="begin"/>
      </w:r>
      <w:r>
        <w:rPr>
          <w:noProof/>
        </w:rPr>
        <w:instrText xml:space="preserve"> PAGEREF _Toc369092067 \h </w:instrText>
      </w:r>
      <w:r>
        <w:rPr>
          <w:noProof/>
        </w:rPr>
      </w:r>
      <w:r>
        <w:rPr>
          <w:noProof/>
        </w:rPr>
        <w:fldChar w:fldCharType="separate"/>
      </w:r>
      <w:r>
        <w:rPr>
          <w:noProof/>
        </w:rPr>
        <w:t>120</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D.2:</w:t>
      </w:r>
      <w:r w:rsidRPr="008216CA">
        <w:rPr>
          <w:noProof/>
        </w:rPr>
        <w:t xml:space="preserve"> Mezinárodní srovnání investic rizikového kapitálu jako % HDP</w:t>
      </w:r>
      <w:r>
        <w:rPr>
          <w:noProof/>
        </w:rPr>
        <w:tab/>
      </w:r>
      <w:r>
        <w:rPr>
          <w:noProof/>
        </w:rPr>
        <w:fldChar w:fldCharType="begin"/>
      </w:r>
      <w:r>
        <w:rPr>
          <w:noProof/>
        </w:rPr>
        <w:instrText xml:space="preserve"> PAGEREF _Toc369092068 \h </w:instrText>
      </w:r>
      <w:r>
        <w:rPr>
          <w:noProof/>
        </w:rPr>
      </w:r>
      <w:r>
        <w:rPr>
          <w:noProof/>
        </w:rPr>
        <w:fldChar w:fldCharType="separate"/>
      </w:r>
      <w:r>
        <w:rPr>
          <w:noProof/>
        </w:rPr>
        <w:t>121</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D.3: Inovační podniky podle typu inovace (2008-2010)</w:t>
      </w:r>
      <w:r>
        <w:rPr>
          <w:noProof/>
        </w:rPr>
        <w:tab/>
      </w:r>
      <w:r>
        <w:rPr>
          <w:noProof/>
        </w:rPr>
        <w:fldChar w:fldCharType="begin"/>
      </w:r>
      <w:r>
        <w:rPr>
          <w:noProof/>
        </w:rPr>
        <w:instrText xml:space="preserve"> PAGEREF _Toc369092069 \h </w:instrText>
      </w:r>
      <w:r>
        <w:rPr>
          <w:noProof/>
        </w:rPr>
      </w:r>
      <w:r>
        <w:rPr>
          <w:noProof/>
        </w:rPr>
        <w:fldChar w:fldCharType="separate"/>
      </w:r>
      <w:r>
        <w:rPr>
          <w:noProof/>
        </w:rPr>
        <w:t>122</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D.4: Typy partnerů inovujících podniků pro produktové a procesní inovace (2008-2010)</w:t>
      </w:r>
      <w:r>
        <w:rPr>
          <w:noProof/>
        </w:rPr>
        <w:tab/>
      </w:r>
      <w:r>
        <w:rPr>
          <w:noProof/>
        </w:rPr>
        <w:fldChar w:fldCharType="begin"/>
      </w:r>
      <w:r>
        <w:rPr>
          <w:noProof/>
        </w:rPr>
        <w:instrText xml:space="preserve"> PAGEREF _Toc369092070 \h </w:instrText>
      </w:r>
      <w:r>
        <w:rPr>
          <w:noProof/>
        </w:rPr>
      </w:r>
      <w:r>
        <w:rPr>
          <w:noProof/>
        </w:rPr>
        <w:fldChar w:fldCharType="separate"/>
      </w:r>
      <w:r>
        <w:rPr>
          <w:noProof/>
        </w:rPr>
        <w:t>123</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D.5: Vnímání bariér inovačních aktivit (2008-2010)</w:t>
      </w:r>
      <w:r>
        <w:rPr>
          <w:noProof/>
        </w:rPr>
        <w:tab/>
      </w:r>
      <w:r>
        <w:rPr>
          <w:noProof/>
        </w:rPr>
        <w:fldChar w:fldCharType="begin"/>
      </w:r>
      <w:r>
        <w:rPr>
          <w:noProof/>
        </w:rPr>
        <w:instrText xml:space="preserve"> PAGEREF _Toc369092071 \h </w:instrText>
      </w:r>
      <w:r>
        <w:rPr>
          <w:noProof/>
        </w:rPr>
      </w:r>
      <w:r>
        <w:rPr>
          <w:noProof/>
        </w:rPr>
        <w:fldChar w:fldCharType="separate"/>
      </w:r>
      <w:r>
        <w:rPr>
          <w:noProof/>
        </w:rPr>
        <w:t>124</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D.6: Vývoz high-tech zboží z Česka podle klasifikace SITC (1993-2012)</w:t>
      </w:r>
      <w:r>
        <w:rPr>
          <w:noProof/>
        </w:rPr>
        <w:tab/>
      </w:r>
      <w:r>
        <w:rPr>
          <w:noProof/>
        </w:rPr>
        <w:fldChar w:fldCharType="begin"/>
      </w:r>
      <w:r>
        <w:rPr>
          <w:noProof/>
        </w:rPr>
        <w:instrText xml:space="preserve"> PAGEREF _Toc369092072 \h </w:instrText>
      </w:r>
      <w:r>
        <w:rPr>
          <w:noProof/>
        </w:rPr>
      </w:r>
      <w:r>
        <w:rPr>
          <w:noProof/>
        </w:rPr>
        <w:fldChar w:fldCharType="separate"/>
      </w:r>
      <w:r>
        <w:rPr>
          <w:noProof/>
        </w:rPr>
        <w:t>125</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D.7: Podíl vývozu high-tech zboží na celkovém exportu zboží země v roce 2012</w:t>
      </w:r>
      <w:r>
        <w:rPr>
          <w:noProof/>
        </w:rPr>
        <w:tab/>
      </w:r>
      <w:r>
        <w:rPr>
          <w:noProof/>
        </w:rPr>
        <w:fldChar w:fldCharType="begin"/>
      </w:r>
      <w:r>
        <w:rPr>
          <w:noProof/>
        </w:rPr>
        <w:instrText xml:space="preserve"> PAGEREF _Toc369092073 \h </w:instrText>
      </w:r>
      <w:r>
        <w:rPr>
          <w:noProof/>
        </w:rPr>
      </w:r>
      <w:r>
        <w:rPr>
          <w:noProof/>
        </w:rPr>
        <w:fldChar w:fldCharType="separate"/>
      </w:r>
      <w:r>
        <w:rPr>
          <w:noProof/>
        </w:rPr>
        <w:t>125</w:t>
      </w:r>
      <w:r>
        <w:rPr>
          <w:noProof/>
        </w:rPr>
        <w:fldChar w:fldCharType="end"/>
      </w:r>
    </w:p>
    <w:p w:rsidR="009D46E6" w:rsidRDefault="009D46E6" w:rsidP="00BD48B2">
      <w:pPr>
        <w:pStyle w:val="TableofFigures"/>
        <w:ind w:left="851" w:hanging="851"/>
        <w:rPr>
          <w:rFonts w:ascii="Calibri" w:hAnsi="Calibri" w:cs="Times New Roman"/>
          <w:noProof/>
          <w:sz w:val="22"/>
          <w:szCs w:val="22"/>
          <w:lang w:eastAsia="cs-CZ"/>
        </w:rPr>
      </w:pPr>
      <w:r>
        <w:rPr>
          <w:noProof/>
        </w:rPr>
        <w:t>Graf D.8: Přidaná hodnota vytvořená v high-tech odvětvích zpracovatelského průmyslu jako podíl na zpracovatelském průmyslu</w:t>
      </w:r>
      <w:r>
        <w:rPr>
          <w:noProof/>
        </w:rPr>
        <w:tab/>
      </w:r>
      <w:r>
        <w:rPr>
          <w:noProof/>
        </w:rPr>
        <w:fldChar w:fldCharType="begin"/>
      </w:r>
      <w:r>
        <w:rPr>
          <w:noProof/>
        </w:rPr>
        <w:instrText xml:space="preserve"> PAGEREF _Toc369092074 \h </w:instrText>
      </w:r>
      <w:r>
        <w:rPr>
          <w:noProof/>
        </w:rPr>
      </w:r>
      <w:r>
        <w:rPr>
          <w:noProof/>
        </w:rPr>
        <w:fldChar w:fldCharType="separate"/>
      </w:r>
      <w:r>
        <w:rPr>
          <w:noProof/>
        </w:rPr>
        <w:t>126</w:t>
      </w:r>
      <w:r>
        <w:rPr>
          <w:noProof/>
        </w:rPr>
        <w:fldChar w:fldCharType="end"/>
      </w:r>
    </w:p>
    <w:p w:rsidR="009D46E6" w:rsidRDefault="009D46E6" w:rsidP="00BD48B2">
      <w:pPr>
        <w:pStyle w:val="TableofFigures"/>
        <w:ind w:left="851" w:hanging="851"/>
        <w:rPr>
          <w:rFonts w:ascii="Calibri" w:hAnsi="Calibri" w:cs="Times New Roman"/>
          <w:noProof/>
          <w:sz w:val="22"/>
          <w:szCs w:val="22"/>
          <w:lang w:eastAsia="cs-CZ"/>
        </w:rPr>
      </w:pPr>
      <w:r>
        <w:rPr>
          <w:noProof/>
        </w:rPr>
        <w:t xml:space="preserve">Graf D.9: </w:t>
      </w:r>
      <w:r w:rsidRPr="008216CA">
        <w:rPr>
          <w:noProof/>
        </w:rPr>
        <w:t>Přidaná hodnota vytvořená ve zpracovatelském průmyslu podle jeho technologické náročnosti</w:t>
      </w:r>
      <w:r>
        <w:rPr>
          <w:noProof/>
        </w:rPr>
        <w:tab/>
      </w:r>
      <w:r>
        <w:rPr>
          <w:noProof/>
        </w:rPr>
        <w:fldChar w:fldCharType="begin"/>
      </w:r>
      <w:r>
        <w:rPr>
          <w:noProof/>
        </w:rPr>
        <w:instrText xml:space="preserve"> PAGEREF _Toc369092075 \h </w:instrText>
      </w:r>
      <w:r>
        <w:rPr>
          <w:noProof/>
        </w:rPr>
      </w:r>
      <w:r>
        <w:rPr>
          <w:noProof/>
        </w:rPr>
        <w:fldChar w:fldCharType="separate"/>
      </w:r>
      <w:r>
        <w:rPr>
          <w:noProof/>
        </w:rPr>
        <w:t>127</w:t>
      </w:r>
      <w:r>
        <w:rPr>
          <w:noProof/>
        </w:rPr>
        <w:fldChar w:fldCharType="end"/>
      </w:r>
    </w:p>
    <w:p w:rsidR="009D46E6" w:rsidRDefault="009D46E6" w:rsidP="00BD48B2">
      <w:pPr>
        <w:pStyle w:val="TableofFigures"/>
        <w:ind w:left="851" w:hanging="851"/>
        <w:rPr>
          <w:rFonts w:ascii="Calibri" w:hAnsi="Calibri" w:cs="Times New Roman"/>
          <w:noProof/>
          <w:sz w:val="22"/>
          <w:szCs w:val="22"/>
          <w:lang w:eastAsia="cs-CZ"/>
        </w:rPr>
      </w:pPr>
      <w:r w:rsidRPr="008216CA">
        <w:rPr>
          <w:noProof/>
        </w:rPr>
        <w:t>Graf D.10: Podíl podniků v high-tech odvětvích zpracovatelského průmyslu na celkovém počtu podniků ve zpracovatelském průmyslu země</w:t>
      </w:r>
      <w:r>
        <w:rPr>
          <w:noProof/>
        </w:rPr>
        <w:tab/>
      </w:r>
      <w:r>
        <w:rPr>
          <w:noProof/>
        </w:rPr>
        <w:fldChar w:fldCharType="begin"/>
      </w:r>
      <w:r>
        <w:rPr>
          <w:noProof/>
        </w:rPr>
        <w:instrText xml:space="preserve"> PAGEREF _Toc369092076 \h </w:instrText>
      </w:r>
      <w:r>
        <w:rPr>
          <w:noProof/>
        </w:rPr>
      </w:r>
      <w:r>
        <w:rPr>
          <w:noProof/>
        </w:rPr>
        <w:fldChar w:fldCharType="separate"/>
      </w:r>
      <w:r>
        <w:rPr>
          <w:noProof/>
        </w:rPr>
        <w:t>127</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D.11: Výdaje high-tech sektoru na výzkum a vývoj (podle OKEČ klasifikace, v mil. Kč)</w:t>
      </w:r>
      <w:r>
        <w:rPr>
          <w:noProof/>
        </w:rPr>
        <w:tab/>
      </w:r>
      <w:r>
        <w:rPr>
          <w:noProof/>
        </w:rPr>
        <w:fldChar w:fldCharType="begin"/>
      </w:r>
      <w:r>
        <w:rPr>
          <w:noProof/>
        </w:rPr>
        <w:instrText xml:space="preserve"> PAGEREF _Toc369092077 \h </w:instrText>
      </w:r>
      <w:r>
        <w:rPr>
          <w:noProof/>
        </w:rPr>
      </w:r>
      <w:r>
        <w:rPr>
          <w:noProof/>
        </w:rPr>
        <w:fldChar w:fldCharType="separate"/>
      </w:r>
      <w:r>
        <w:rPr>
          <w:noProof/>
        </w:rPr>
        <w:t>128</w:t>
      </w:r>
      <w:r>
        <w:rPr>
          <w:noProof/>
        </w:rPr>
        <w:fldChar w:fldCharType="end"/>
      </w:r>
    </w:p>
    <w:p w:rsidR="009D46E6" w:rsidRDefault="009D46E6">
      <w:pPr>
        <w:pStyle w:val="TableofFigures"/>
        <w:rPr>
          <w:rFonts w:ascii="Calibri" w:hAnsi="Calibri" w:cs="Times New Roman"/>
          <w:noProof/>
          <w:sz w:val="22"/>
          <w:szCs w:val="22"/>
          <w:lang w:eastAsia="cs-CZ"/>
        </w:rPr>
      </w:pPr>
      <w:r w:rsidRPr="008216CA">
        <w:rPr>
          <w:noProof/>
        </w:rPr>
        <w:t>Graf D.12: Technologická platební bilance krajů Česka 2011 (v mil. Kč)</w:t>
      </w:r>
      <w:r>
        <w:rPr>
          <w:noProof/>
        </w:rPr>
        <w:tab/>
      </w:r>
      <w:r>
        <w:rPr>
          <w:noProof/>
        </w:rPr>
        <w:fldChar w:fldCharType="begin"/>
      </w:r>
      <w:r>
        <w:rPr>
          <w:noProof/>
        </w:rPr>
        <w:instrText xml:space="preserve"> PAGEREF _Toc369092078 \h </w:instrText>
      </w:r>
      <w:r>
        <w:rPr>
          <w:noProof/>
        </w:rPr>
      </w:r>
      <w:r>
        <w:rPr>
          <w:noProof/>
        </w:rPr>
        <w:fldChar w:fldCharType="separate"/>
      </w:r>
      <w:r>
        <w:rPr>
          <w:noProof/>
        </w:rPr>
        <w:t>129</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E.1: Počet účastí a úspěšnost států EU v 7. RP</w:t>
      </w:r>
      <w:r>
        <w:rPr>
          <w:noProof/>
        </w:rPr>
        <w:tab/>
      </w:r>
      <w:r>
        <w:rPr>
          <w:noProof/>
        </w:rPr>
        <w:fldChar w:fldCharType="begin"/>
      </w:r>
      <w:r>
        <w:rPr>
          <w:noProof/>
        </w:rPr>
        <w:instrText xml:space="preserve"> PAGEREF _Toc369092079 \h </w:instrText>
      </w:r>
      <w:r>
        <w:rPr>
          <w:noProof/>
        </w:rPr>
      </w:r>
      <w:r>
        <w:rPr>
          <w:noProof/>
        </w:rPr>
        <w:fldChar w:fldCharType="separate"/>
      </w:r>
      <w:r>
        <w:rPr>
          <w:noProof/>
        </w:rPr>
        <w:t>131</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E.2: Relativní aktivita států EU v zapojení do 7. RP</w:t>
      </w:r>
      <w:r>
        <w:rPr>
          <w:noProof/>
        </w:rPr>
        <w:tab/>
      </w:r>
      <w:r>
        <w:rPr>
          <w:noProof/>
        </w:rPr>
        <w:fldChar w:fldCharType="begin"/>
      </w:r>
      <w:r>
        <w:rPr>
          <w:noProof/>
        </w:rPr>
        <w:instrText xml:space="preserve"> PAGEREF _Toc369092080 \h </w:instrText>
      </w:r>
      <w:r>
        <w:rPr>
          <w:noProof/>
        </w:rPr>
      </w:r>
      <w:r>
        <w:rPr>
          <w:noProof/>
        </w:rPr>
        <w:fldChar w:fldCharType="separate"/>
      </w:r>
      <w:r>
        <w:rPr>
          <w:noProof/>
        </w:rPr>
        <w:t>132</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E.3: Počet realizovaných projektů 7. RP ve státech EU</w:t>
      </w:r>
      <w:r>
        <w:rPr>
          <w:noProof/>
        </w:rPr>
        <w:tab/>
      </w:r>
      <w:r>
        <w:rPr>
          <w:noProof/>
        </w:rPr>
        <w:fldChar w:fldCharType="begin"/>
      </w:r>
      <w:r>
        <w:rPr>
          <w:noProof/>
        </w:rPr>
        <w:instrText xml:space="preserve"> PAGEREF _Toc369092081 \h </w:instrText>
      </w:r>
      <w:r>
        <w:rPr>
          <w:noProof/>
        </w:rPr>
      </w:r>
      <w:r>
        <w:rPr>
          <w:noProof/>
        </w:rPr>
        <w:fldChar w:fldCharType="separate"/>
      </w:r>
      <w:r>
        <w:rPr>
          <w:noProof/>
        </w:rPr>
        <w:t>132</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E.4: Finanční ukazatele 7. RP dle států EU</w:t>
      </w:r>
      <w:r>
        <w:rPr>
          <w:noProof/>
        </w:rPr>
        <w:tab/>
      </w:r>
      <w:r>
        <w:rPr>
          <w:noProof/>
        </w:rPr>
        <w:fldChar w:fldCharType="begin"/>
      </w:r>
      <w:r>
        <w:rPr>
          <w:noProof/>
        </w:rPr>
        <w:instrText xml:space="preserve"> PAGEREF _Toc369092082 \h </w:instrText>
      </w:r>
      <w:r>
        <w:rPr>
          <w:noProof/>
        </w:rPr>
      </w:r>
      <w:r>
        <w:rPr>
          <w:noProof/>
        </w:rPr>
        <w:fldChar w:fldCharType="separate"/>
      </w:r>
      <w:r>
        <w:rPr>
          <w:noProof/>
        </w:rPr>
        <w:t>133</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E.5: Požadovaný příspěvek a finanční úspěšnost států EU</w:t>
      </w:r>
      <w:r>
        <w:rPr>
          <w:noProof/>
        </w:rPr>
        <w:tab/>
      </w:r>
      <w:r>
        <w:rPr>
          <w:noProof/>
        </w:rPr>
        <w:fldChar w:fldCharType="begin"/>
      </w:r>
      <w:r>
        <w:rPr>
          <w:noProof/>
        </w:rPr>
        <w:instrText xml:space="preserve"> PAGEREF _Toc369092083 \h </w:instrText>
      </w:r>
      <w:r>
        <w:rPr>
          <w:noProof/>
        </w:rPr>
      </w:r>
      <w:r>
        <w:rPr>
          <w:noProof/>
        </w:rPr>
        <w:fldChar w:fldCharType="separate"/>
      </w:r>
      <w:r>
        <w:rPr>
          <w:noProof/>
        </w:rPr>
        <w:t>133</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E.6: Účast českých týmů a příspěvek EU českým týmům dle sektorů</w:t>
      </w:r>
      <w:r>
        <w:rPr>
          <w:noProof/>
        </w:rPr>
        <w:tab/>
      </w:r>
      <w:r>
        <w:rPr>
          <w:noProof/>
        </w:rPr>
        <w:fldChar w:fldCharType="begin"/>
      </w:r>
      <w:r>
        <w:rPr>
          <w:noProof/>
        </w:rPr>
        <w:instrText xml:space="preserve"> PAGEREF _Toc369092084 \h </w:instrText>
      </w:r>
      <w:r>
        <w:rPr>
          <w:noProof/>
        </w:rPr>
      </w:r>
      <w:r>
        <w:rPr>
          <w:noProof/>
        </w:rPr>
        <w:fldChar w:fldCharType="separate"/>
      </w:r>
      <w:r>
        <w:rPr>
          <w:noProof/>
        </w:rPr>
        <w:t>134</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E.7: Účast českých týmů a příspěvek EU v jednotlivých prioritách 7. RP</w:t>
      </w:r>
      <w:r>
        <w:rPr>
          <w:noProof/>
        </w:rPr>
        <w:tab/>
      </w:r>
      <w:r>
        <w:rPr>
          <w:noProof/>
        </w:rPr>
        <w:fldChar w:fldCharType="begin"/>
      </w:r>
      <w:r>
        <w:rPr>
          <w:noProof/>
        </w:rPr>
        <w:instrText xml:space="preserve"> PAGEREF _Toc369092085 \h </w:instrText>
      </w:r>
      <w:r>
        <w:rPr>
          <w:noProof/>
        </w:rPr>
      </w:r>
      <w:r>
        <w:rPr>
          <w:noProof/>
        </w:rPr>
        <w:fldChar w:fldCharType="separate"/>
      </w:r>
      <w:r>
        <w:rPr>
          <w:noProof/>
        </w:rPr>
        <w:t>134</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E.8: Účast týmů ze států EU v grantech ERC (specifický program Myšlenky)</w:t>
      </w:r>
      <w:r>
        <w:rPr>
          <w:noProof/>
        </w:rPr>
        <w:tab/>
      </w:r>
      <w:r>
        <w:rPr>
          <w:noProof/>
        </w:rPr>
        <w:fldChar w:fldCharType="begin"/>
      </w:r>
      <w:r>
        <w:rPr>
          <w:noProof/>
        </w:rPr>
        <w:instrText xml:space="preserve"> PAGEREF _Toc369092086 \h </w:instrText>
      </w:r>
      <w:r>
        <w:rPr>
          <w:noProof/>
        </w:rPr>
      </w:r>
      <w:r>
        <w:rPr>
          <w:noProof/>
        </w:rPr>
        <w:fldChar w:fldCharType="separate"/>
      </w:r>
      <w:r>
        <w:rPr>
          <w:noProof/>
        </w:rPr>
        <w:t>135</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E.9: Objem podpořených projektů v programech mzn. spolupráce (2007-2013; mil. Kč)</w:t>
      </w:r>
      <w:r>
        <w:rPr>
          <w:noProof/>
        </w:rPr>
        <w:tab/>
      </w:r>
      <w:r>
        <w:rPr>
          <w:noProof/>
        </w:rPr>
        <w:fldChar w:fldCharType="begin"/>
      </w:r>
      <w:r>
        <w:rPr>
          <w:noProof/>
        </w:rPr>
        <w:instrText xml:space="preserve"> PAGEREF _Toc369092087 \h </w:instrText>
      </w:r>
      <w:r>
        <w:rPr>
          <w:noProof/>
        </w:rPr>
      </w:r>
      <w:r>
        <w:rPr>
          <w:noProof/>
        </w:rPr>
        <w:fldChar w:fldCharType="separate"/>
      </w:r>
      <w:r>
        <w:rPr>
          <w:noProof/>
        </w:rPr>
        <w:t>140</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E.10: Srovnání počtu doručených návrhů a podpořených projektů (2007-2013)</w:t>
      </w:r>
      <w:r>
        <w:rPr>
          <w:noProof/>
        </w:rPr>
        <w:tab/>
      </w:r>
      <w:r>
        <w:rPr>
          <w:noProof/>
        </w:rPr>
        <w:fldChar w:fldCharType="begin"/>
      </w:r>
      <w:r>
        <w:rPr>
          <w:noProof/>
        </w:rPr>
        <w:instrText xml:space="preserve"> PAGEREF _Toc369092088 \h </w:instrText>
      </w:r>
      <w:r>
        <w:rPr>
          <w:noProof/>
        </w:rPr>
      </w:r>
      <w:r>
        <w:rPr>
          <w:noProof/>
        </w:rPr>
        <w:fldChar w:fldCharType="separate"/>
      </w:r>
      <w:r>
        <w:rPr>
          <w:noProof/>
        </w:rPr>
        <w:t>140</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F.1: Výdaje na VaV ze zahraničních zdrojů (Česko; 2007-2012; mld. Kč)</w:t>
      </w:r>
      <w:r>
        <w:rPr>
          <w:noProof/>
        </w:rPr>
        <w:tab/>
      </w:r>
      <w:r>
        <w:rPr>
          <w:noProof/>
        </w:rPr>
        <w:fldChar w:fldCharType="begin"/>
      </w:r>
      <w:r>
        <w:rPr>
          <w:noProof/>
        </w:rPr>
        <w:instrText xml:space="preserve"> PAGEREF _Toc369092089 \h </w:instrText>
      </w:r>
      <w:r>
        <w:rPr>
          <w:noProof/>
        </w:rPr>
      </w:r>
      <w:r>
        <w:rPr>
          <w:noProof/>
        </w:rPr>
        <w:fldChar w:fldCharType="separate"/>
      </w:r>
      <w:r>
        <w:rPr>
          <w:noProof/>
        </w:rPr>
        <w:t>142</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F.2: Podíl výdajů na VaV ze zahraničních zdrojů na HDP a GERD (země EU; 2007-2011)</w:t>
      </w:r>
      <w:r>
        <w:rPr>
          <w:noProof/>
        </w:rPr>
        <w:tab/>
      </w:r>
      <w:r>
        <w:rPr>
          <w:noProof/>
        </w:rPr>
        <w:fldChar w:fldCharType="begin"/>
      </w:r>
      <w:r>
        <w:rPr>
          <w:noProof/>
        </w:rPr>
        <w:instrText xml:space="preserve"> PAGEREF _Toc369092090 \h </w:instrText>
      </w:r>
      <w:r>
        <w:rPr>
          <w:noProof/>
        </w:rPr>
      </w:r>
      <w:r>
        <w:rPr>
          <w:noProof/>
        </w:rPr>
        <w:fldChar w:fldCharType="separate"/>
      </w:r>
      <w:r>
        <w:rPr>
          <w:noProof/>
        </w:rPr>
        <w:t>143</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F.3: Operační programy podporující VaVaI a jejich struktura (období 2007-2013)</w:t>
      </w:r>
      <w:r>
        <w:rPr>
          <w:noProof/>
        </w:rPr>
        <w:tab/>
      </w:r>
      <w:r>
        <w:rPr>
          <w:noProof/>
        </w:rPr>
        <w:fldChar w:fldCharType="begin"/>
      </w:r>
      <w:r>
        <w:rPr>
          <w:noProof/>
        </w:rPr>
        <w:instrText xml:space="preserve"> PAGEREF _Toc369092091 \h </w:instrText>
      </w:r>
      <w:r>
        <w:rPr>
          <w:noProof/>
        </w:rPr>
      </w:r>
      <w:r>
        <w:rPr>
          <w:noProof/>
        </w:rPr>
        <w:fldChar w:fldCharType="separate"/>
      </w:r>
      <w:r>
        <w:rPr>
          <w:noProof/>
        </w:rPr>
        <w:t>144</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F.4: Schéma průběhu čerpání finančních prostředků</w:t>
      </w:r>
      <w:r>
        <w:rPr>
          <w:noProof/>
        </w:rPr>
        <w:tab/>
      </w:r>
      <w:r>
        <w:rPr>
          <w:noProof/>
        </w:rPr>
        <w:fldChar w:fldCharType="begin"/>
      </w:r>
      <w:r>
        <w:rPr>
          <w:noProof/>
        </w:rPr>
        <w:instrText xml:space="preserve"> PAGEREF _Toc369092092 \h </w:instrText>
      </w:r>
      <w:r>
        <w:rPr>
          <w:noProof/>
        </w:rPr>
      </w:r>
      <w:r>
        <w:rPr>
          <w:noProof/>
        </w:rPr>
        <w:fldChar w:fldCharType="separate"/>
      </w:r>
      <w:r>
        <w:rPr>
          <w:noProof/>
        </w:rPr>
        <w:t>145</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F.5: Výše podpory dle OP a sídla příjemce (okresy ČR; 2008-2013)</w:t>
      </w:r>
      <w:r>
        <w:rPr>
          <w:noProof/>
        </w:rPr>
        <w:tab/>
      </w:r>
      <w:r>
        <w:rPr>
          <w:noProof/>
        </w:rPr>
        <w:fldChar w:fldCharType="begin"/>
      </w:r>
      <w:r>
        <w:rPr>
          <w:noProof/>
        </w:rPr>
        <w:instrText xml:space="preserve"> PAGEREF _Toc369092093 \h </w:instrText>
      </w:r>
      <w:r>
        <w:rPr>
          <w:noProof/>
        </w:rPr>
      </w:r>
      <w:r>
        <w:rPr>
          <w:noProof/>
        </w:rPr>
        <w:fldChar w:fldCharType="separate"/>
      </w:r>
      <w:r>
        <w:rPr>
          <w:noProof/>
        </w:rPr>
        <w:t>146</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F.6: Proplaceno dle OP a sídla příjemce (okresy ČR; 2008-2013)</w:t>
      </w:r>
      <w:r>
        <w:rPr>
          <w:noProof/>
        </w:rPr>
        <w:tab/>
      </w:r>
      <w:r>
        <w:rPr>
          <w:noProof/>
        </w:rPr>
        <w:fldChar w:fldCharType="begin"/>
      </w:r>
      <w:r>
        <w:rPr>
          <w:noProof/>
        </w:rPr>
        <w:instrText xml:space="preserve"> PAGEREF _Toc369092094 \h </w:instrText>
      </w:r>
      <w:r>
        <w:rPr>
          <w:noProof/>
        </w:rPr>
      </w:r>
      <w:r>
        <w:rPr>
          <w:noProof/>
        </w:rPr>
        <w:fldChar w:fldCharType="separate"/>
      </w:r>
      <w:r>
        <w:rPr>
          <w:noProof/>
        </w:rPr>
        <w:t>146</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F.7: Výše podpory dle oblasti podpory a místa realizace (kraje ČR; 2008-2013)</w:t>
      </w:r>
      <w:r>
        <w:rPr>
          <w:noProof/>
        </w:rPr>
        <w:tab/>
      </w:r>
      <w:r>
        <w:rPr>
          <w:noProof/>
        </w:rPr>
        <w:fldChar w:fldCharType="begin"/>
      </w:r>
      <w:r>
        <w:rPr>
          <w:noProof/>
        </w:rPr>
        <w:instrText xml:space="preserve"> PAGEREF _Toc369092095 \h </w:instrText>
      </w:r>
      <w:r>
        <w:rPr>
          <w:noProof/>
        </w:rPr>
      </w:r>
      <w:r>
        <w:rPr>
          <w:noProof/>
        </w:rPr>
        <w:fldChar w:fldCharType="separate"/>
      </w:r>
      <w:r>
        <w:rPr>
          <w:noProof/>
        </w:rPr>
        <w:t>147</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F.8: (Kumulativní) výše podpory dle data rozhodnutí (ČR; 2008-2013)</w:t>
      </w:r>
      <w:r>
        <w:rPr>
          <w:noProof/>
        </w:rPr>
        <w:tab/>
      </w:r>
      <w:r>
        <w:rPr>
          <w:noProof/>
        </w:rPr>
        <w:fldChar w:fldCharType="begin"/>
      </w:r>
      <w:r>
        <w:rPr>
          <w:noProof/>
        </w:rPr>
        <w:instrText xml:space="preserve"> PAGEREF _Toc369092096 \h </w:instrText>
      </w:r>
      <w:r>
        <w:rPr>
          <w:noProof/>
        </w:rPr>
      </w:r>
      <w:r>
        <w:rPr>
          <w:noProof/>
        </w:rPr>
        <w:fldChar w:fldCharType="separate"/>
      </w:r>
      <w:r>
        <w:rPr>
          <w:noProof/>
        </w:rPr>
        <w:t>148</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F.9: (Proplacená) podpora OP VaVpI dle sídla příjemce (obce ČR; 2008-2013, mld. Kč)</w:t>
      </w:r>
      <w:r>
        <w:rPr>
          <w:noProof/>
        </w:rPr>
        <w:tab/>
      </w:r>
      <w:r>
        <w:rPr>
          <w:noProof/>
        </w:rPr>
        <w:fldChar w:fldCharType="begin"/>
      </w:r>
      <w:r>
        <w:rPr>
          <w:noProof/>
        </w:rPr>
        <w:instrText xml:space="preserve"> PAGEREF _Toc369092097 \h </w:instrText>
      </w:r>
      <w:r>
        <w:rPr>
          <w:noProof/>
        </w:rPr>
      </w:r>
      <w:r>
        <w:rPr>
          <w:noProof/>
        </w:rPr>
        <w:fldChar w:fldCharType="separate"/>
      </w:r>
      <w:r>
        <w:rPr>
          <w:noProof/>
        </w:rPr>
        <w:t>150</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F.10: (Proplacená) podpora OPVK dle sídla příjemce (obce ČR; 2008-2013, mld. Kč)</w:t>
      </w:r>
      <w:r>
        <w:rPr>
          <w:noProof/>
        </w:rPr>
        <w:tab/>
      </w:r>
      <w:r>
        <w:rPr>
          <w:noProof/>
        </w:rPr>
        <w:fldChar w:fldCharType="begin"/>
      </w:r>
      <w:r>
        <w:rPr>
          <w:noProof/>
        </w:rPr>
        <w:instrText xml:space="preserve"> PAGEREF _Toc369092098 \h </w:instrText>
      </w:r>
      <w:r>
        <w:rPr>
          <w:noProof/>
        </w:rPr>
      </w:r>
      <w:r>
        <w:rPr>
          <w:noProof/>
        </w:rPr>
        <w:fldChar w:fldCharType="separate"/>
      </w:r>
      <w:r>
        <w:rPr>
          <w:noProof/>
        </w:rPr>
        <w:t>151</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F.11: (Proplacená) podpora OPPI dle sídla příjemce (obce ČR; 2008-2013, mld. Kč)</w:t>
      </w:r>
      <w:r>
        <w:rPr>
          <w:noProof/>
        </w:rPr>
        <w:tab/>
      </w:r>
      <w:r>
        <w:rPr>
          <w:noProof/>
        </w:rPr>
        <w:fldChar w:fldCharType="begin"/>
      </w:r>
      <w:r>
        <w:rPr>
          <w:noProof/>
        </w:rPr>
        <w:instrText xml:space="preserve"> PAGEREF _Toc369092099 \h </w:instrText>
      </w:r>
      <w:r>
        <w:rPr>
          <w:noProof/>
        </w:rPr>
      </w:r>
      <w:r>
        <w:rPr>
          <w:noProof/>
        </w:rPr>
        <w:fldChar w:fldCharType="separate"/>
      </w:r>
      <w:r>
        <w:rPr>
          <w:noProof/>
        </w:rPr>
        <w:t>153</w:t>
      </w:r>
      <w:r>
        <w:rPr>
          <w:noProof/>
        </w:rPr>
        <w:fldChar w:fldCharType="end"/>
      </w:r>
    </w:p>
    <w:p w:rsidR="009D46E6" w:rsidRDefault="009D46E6">
      <w:pPr>
        <w:pStyle w:val="TableofFigures"/>
        <w:rPr>
          <w:rFonts w:ascii="Calibri" w:hAnsi="Calibri" w:cs="Times New Roman"/>
          <w:noProof/>
          <w:sz w:val="22"/>
          <w:szCs w:val="22"/>
          <w:lang w:eastAsia="cs-CZ"/>
        </w:rPr>
      </w:pPr>
      <w:r>
        <w:rPr>
          <w:noProof/>
        </w:rPr>
        <w:t>Graf F.12: Počty zaměstnanců ve VaV v krajích ČR (z toho v centrech)</w:t>
      </w:r>
      <w:r>
        <w:rPr>
          <w:noProof/>
        </w:rPr>
        <w:tab/>
      </w:r>
      <w:r>
        <w:rPr>
          <w:noProof/>
        </w:rPr>
        <w:fldChar w:fldCharType="begin"/>
      </w:r>
      <w:r>
        <w:rPr>
          <w:noProof/>
        </w:rPr>
        <w:instrText xml:space="preserve"> PAGEREF _Toc369092100 \h </w:instrText>
      </w:r>
      <w:r>
        <w:rPr>
          <w:noProof/>
        </w:rPr>
      </w:r>
      <w:r>
        <w:rPr>
          <w:noProof/>
        </w:rPr>
        <w:fldChar w:fldCharType="separate"/>
      </w:r>
      <w:r>
        <w:rPr>
          <w:noProof/>
        </w:rPr>
        <w:t>156</w:t>
      </w:r>
      <w:r>
        <w:rPr>
          <w:noProof/>
        </w:rPr>
        <w:fldChar w:fldCharType="end"/>
      </w:r>
    </w:p>
    <w:p w:rsidR="009D46E6" w:rsidRPr="00F92755" w:rsidRDefault="009D46E6" w:rsidP="00635E1B">
      <w:pPr>
        <w:ind w:left="993" w:hanging="993"/>
      </w:pPr>
      <w:r w:rsidRPr="00F92755">
        <w:fldChar w:fldCharType="end"/>
      </w:r>
    </w:p>
    <w:p w:rsidR="009D46E6" w:rsidRDefault="009D46E6">
      <w:pPr>
        <w:spacing w:before="200" w:after="200" w:line="276" w:lineRule="auto"/>
        <w:jc w:val="left"/>
        <w:rPr>
          <w:b/>
          <w:sz w:val="24"/>
          <w:szCs w:val="22"/>
        </w:rPr>
      </w:pPr>
      <w:r>
        <w:br w:type="page"/>
      </w:r>
    </w:p>
    <w:p w:rsidR="009D46E6" w:rsidRDefault="009D46E6" w:rsidP="00C22BAB">
      <w:pPr>
        <w:pStyle w:val="Nadpis2nonumber"/>
      </w:pPr>
      <w:bookmarkStart w:id="12" w:name="_Toc369091863"/>
      <w:r>
        <w:t>Seznam zkratek</w:t>
      </w:r>
      <w:bookmarkEnd w:id="12"/>
    </w:p>
    <w:p w:rsidR="009D46E6" w:rsidRPr="00767BC2" w:rsidRDefault="009D46E6" w:rsidP="0063114B">
      <w:pPr>
        <w:spacing w:after="0"/>
        <w:jc w:val="left"/>
      </w:pPr>
      <w:r w:rsidRPr="00767BC2">
        <w:t>6. RP</w:t>
      </w:r>
      <w:r>
        <w:tab/>
      </w:r>
      <w:r w:rsidRPr="00767BC2">
        <w:tab/>
      </w:r>
      <w:r>
        <w:tab/>
      </w:r>
      <w:r w:rsidRPr="00767BC2">
        <w:t>6. rámcový program Evropské unie pro výzkum a technologický rozvoj</w:t>
      </w:r>
    </w:p>
    <w:p w:rsidR="009D46E6" w:rsidRPr="00767BC2" w:rsidRDefault="009D46E6" w:rsidP="0063114B">
      <w:pPr>
        <w:spacing w:after="0"/>
        <w:jc w:val="left"/>
      </w:pPr>
      <w:r w:rsidRPr="00767BC2">
        <w:t>7. RP</w:t>
      </w:r>
      <w:r w:rsidRPr="00767BC2">
        <w:tab/>
      </w:r>
      <w:r>
        <w:tab/>
      </w:r>
      <w:r>
        <w:tab/>
      </w:r>
      <w:r w:rsidRPr="00767BC2">
        <w:t>7. rámcový program Evropské unie pro výzkum a technologický rozvoj</w:t>
      </w:r>
    </w:p>
    <w:p w:rsidR="009D46E6" w:rsidRPr="00767BC2" w:rsidRDefault="009D46E6" w:rsidP="0063114B">
      <w:pPr>
        <w:spacing w:after="0"/>
        <w:jc w:val="left"/>
      </w:pPr>
      <w:r w:rsidRPr="00767BC2">
        <w:t>AIP ČR</w:t>
      </w:r>
      <w:r w:rsidRPr="00767BC2">
        <w:tab/>
      </w:r>
      <w:r>
        <w:tab/>
      </w:r>
      <w:r w:rsidRPr="00767BC2">
        <w:t xml:space="preserve">Asociace inovačního podnikání České republiky </w:t>
      </w:r>
    </w:p>
    <w:p w:rsidR="009D46E6" w:rsidRPr="00767BC2" w:rsidRDefault="009D46E6" w:rsidP="0063114B">
      <w:pPr>
        <w:spacing w:after="0"/>
        <w:jc w:val="left"/>
      </w:pPr>
      <w:r w:rsidRPr="00767BC2">
        <w:t>AV ČR</w:t>
      </w:r>
      <w:r w:rsidRPr="00767BC2">
        <w:tab/>
      </w:r>
      <w:r>
        <w:tab/>
      </w:r>
      <w:r>
        <w:tab/>
      </w:r>
      <w:r w:rsidRPr="00767BC2">
        <w:t>Akademie věd České republiky</w:t>
      </w:r>
    </w:p>
    <w:p w:rsidR="009D46E6" w:rsidRPr="00767BC2" w:rsidRDefault="009D46E6" w:rsidP="0063114B">
      <w:pPr>
        <w:spacing w:after="0"/>
        <w:jc w:val="left"/>
      </w:pPr>
      <w:r w:rsidRPr="00767BC2">
        <w:t>BERD</w:t>
      </w:r>
      <w:r w:rsidRPr="00767BC2">
        <w:tab/>
      </w:r>
      <w:r>
        <w:tab/>
      </w:r>
      <w:r>
        <w:tab/>
      </w:r>
      <w:r w:rsidRPr="00767BC2">
        <w:t>Business Enterprise Expenditure on R&amp;D – výdaje na VaV v podnikatelském sektoru</w:t>
      </w:r>
    </w:p>
    <w:p w:rsidR="009D46E6" w:rsidRPr="00767BC2" w:rsidRDefault="009D46E6" w:rsidP="0063114B">
      <w:pPr>
        <w:spacing w:after="0"/>
        <w:jc w:val="left"/>
      </w:pPr>
      <w:r w:rsidRPr="00767BC2">
        <w:t>CEP</w:t>
      </w:r>
      <w:r>
        <w:tab/>
      </w:r>
      <w:r w:rsidRPr="00767BC2">
        <w:tab/>
      </w:r>
      <w:r>
        <w:tab/>
      </w:r>
      <w:r w:rsidRPr="00767BC2">
        <w:t>Centrální evidence projektů výzkumu, experimentálního vývoje a inovací</w:t>
      </w:r>
    </w:p>
    <w:p w:rsidR="009D46E6" w:rsidRPr="00767BC2" w:rsidRDefault="009D46E6" w:rsidP="0063114B">
      <w:pPr>
        <w:spacing w:after="0"/>
        <w:jc w:val="left"/>
      </w:pPr>
      <w:r w:rsidRPr="00767BC2">
        <w:t xml:space="preserve">CEZ </w:t>
      </w:r>
      <w:r>
        <w:tab/>
      </w:r>
      <w:r w:rsidRPr="00767BC2">
        <w:tab/>
      </w:r>
      <w:r>
        <w:tab/>
      </w:r>
      <w:r w:rsidRPr="00767BC2">
        <w:t>Centrální evidence výzkumných záměrů</w:t>
      </w:r>
    </w:p>
    <w:p w:rsidR="009D46E6" w:rsidRPr="00767BC2" w:rsidRDefault="009D46E6" w:rsidP="0063114B">
      <w:pPr>
        <w:spacing w:after="0"/>
        <w:jc w:val="left"/>
      </w:pPr>
      <w:r w:rsidRPr="00767BC2">
        <w:t>CIP</w:t>
      </w:r>
      <w:r w:rsidRPr="00767BC2">
        <w:tab/>
      </w:r>
      <w:r>
        <w:tab/>
      </w:r>
      <w:r>
        <w:tab/>
      </w:r>
      <w:r w:rsidRPr="00767BC2">
        <w:t>Rámcový program EU pro konkurenceschopnost a inovace</w:t>
      </w:r>
    </w:p>
    <w:p w:rsidR="009D46E6" w:rsidRPr="00767BC2" w:rsidRDefault="009D46E6" w:rsidP="0063114B">
      <w:pPr>
        <w:spacing w:after="0"/>
        <w:jc w:val="left"/>
      </w:pPr>
      <w:r w:rsidRPr="00767BC2">
        <w:t>CIS</w:t>
      </w:r>
      <w:r w:rsidRPr="00767BC2">
        <w:tab/>
      </w:r>
      <w:r>
        <w:tab/>
      </w:r>
      <w:r>
        <w:tab/>
      </w:r>
      <w:r w:rsidRPr="00767BC2">
        <w:t>Community Innovation Survey</w:t>
      </w:r>
    </w:p>
    <w:p w:rsidR="009D46E6" w:rsidRPr="00767BC2" w:rsidRDefault="009D46E6" w:rsidP="0063114B">
      <w:pPr>
        <w:spacing w:after="0"/>
        <w:jc w:val="left"/>
      </w:pPr>
      <w:r w:rsidRPr="00767BC2">
        <w:t>ČSÚ</w:t>
      </w:r>
      <w:r>
        <w:tab/>
      </w:r>
      <w:r w:rsidRPr="00767BC2">
        <w:tab/>
      </w:r>
      <w:r>
        <w:tab/>
      </w:r>
      <w:r w:rsidRPr="00767BC2">
        <w:t>Český statistický úřad</w:t>
      </w:r>
    </w:p>
    <w:p w:rsidR="009D46E6" w:rsidRPr="00767BC2" w:rsidRDefault="009D46E6" w:rsidP="0063114B">
      <w:pPr>
        <w:spacing w:after="0"/>
        <w:jc w:val="left"/>
      </w:pPr>
      <w:r w:rsidRPr="00767BC2">
        <w:t>CZ-NACE</w:t>
      </w:r>
      <w:r w:rsidRPr="00767BC2">
        <w:tab/>
      </w:r>
      <w:r>
        <w:tab/>
      </w:r>
      <w:r w:rsidRPr="00767BC2">
        <w:t>Klasifikace ekonomických činností</w:t>
      </w:r>
    </w:p>
    <w:p w:rsidR="009D46E6" w:rsidRPr="00767BC2" w:rsidRDefault="009D46E6" w:rsidP="0063114B">
      <w:pPr>
        <w:spacing w:after="0"/>
        <w:jc w:val="left"/>
      </w:pPr>
      <w:r w:rsidRPr="00767BC2">
        <w:t>EFTA</w:t>
      </w:r>
      <w:r>
        <w:tab/>
      </w:r>
      <w:r w:rsidRPr="00767BC2">
        <w:tab/>
      </w:r>
      <w:r>
        <w:tab/>
      </w:r>
      <w:r w:rsidRPr="00767BC2">
        <w:t>Evropské sdružení volného obchodu (Island, Lichtenštejnsko, Norsko a Švýcarsko)</w:t>
      </w:r>
    </w:p>
    <w:p w:rsidR="009D46E6" w:rsidRPr="00767BC2" w:rsidRDefault="009D46E6" w:rsidP="0063114B">
      <w:pPr>
        <w:spacing w:after="0"/>
        <w:jc w:val="left"/>
      </w:pPr>
      <w:r w:rsidRPr="00767BC2">
        <w:t>EK</w:t>
      </w:r>
      <w:r>
        <w:tab/>
      </w:r>
      <w:r>
        <w:tab/>
      </w:r>
      <w:r w:rsidRPr="00767BC2">
        <w:tab/>
      </w:r>
      <w:r>
        <w:tab/>
      </w:r>
      <w:r w:rsidRPr="00767BC2">
        <w:t>Evropské komise / European Commission</w:t>
      </w:r>
    </w:p>
    <w:p w:rsidR="009D46E6" w:rsidRPr="00767BC2" w:rsidRDefault="009D46E6" w:rsidP="0063114B">
      <w:pPr>
        <w:spacing w:after="0"/>
        <w:jc w:val="left"/>
      </w:pPr>
      <w:r w:rsidRPr="00767BC2">
        <w:t>EPO</w:t>
      </w:r>
      <w:r w:rsidRPr="00767BC2">
        <w:tab/>
      </w:r>
      <w:r>
        <w:tab/>
      </w:r>
      <w:r>
        <w:tab/>
      </w:r>
      <w:r w:rsidRPr="00767BC2">
        <w:t xml:space="preserve">Evropský patentový úřad </w:t>
      </w:r>
    </w:p>
    <w:p w:rsidR="009D46E6" w:rsidRPr="00767BC2" w:rsidRDefault="009D46E6" w:rsidP="0063114B">
      <w:pPr>
        <w:spacing w:after="0"/>
        <w:jc w:val="left"/>
      </w:pPr>
      <w:r w:rsidRPr="00767BC2">
        <w:t>ERA</w:t>
      </w:r>
      <w:r w:rsidRPr="00767BC2">
        <w:tab/>
      </w:r>
      <w:r>
        <w:tab/>
      </w:r>
      <w:r>
        <w:tab/>
      </w:r>
      <w:r w:rsidRPr="00767BC2">
        <w:t xml:space="preserve">Evropského výzkumného prostoru / European Research Area </w:t>
      </w:r>
    </w:p>
    <w:p w:rsidR="009D46E6" w:rsidRPr="00767BC2" w:rsidRDefault="009D46E6" w:rsidP="0063114B">
      <w:pPr>
        <w:spacing w:after="0"/>
        <w:jc w:val="left"/>
      </w:pPr>
      <w:r w:rsidRPr="00767BC2">
        <w:t>ERC</w:t>
      </w:r>
      <w:r w:rsidRPr="00767BC2">
        <w:tab/>
      </w:r>
      <w:r>
        <w:tab/>
      </w:r>
      <w:r>
        <w:tab/>
      </w:r>
      <w:r w:rsidRPr="00767BC2">
        <w:t>Evropská výzkumná rada / European Research Council</w:t>
      </w:r>
    </w:p>
    <w:p w:rsidR="009D46E6" w:rsidRPr="00767BC2" w:rsidRDefault="009D46E6" w:rsidP="0063114B">
      <w:pPr>
        <w:spacing w:after="0"/>
        <w:jc w:val="left"/>
      </w:pPr>
      <w:r w:rsidRPr="00767BC2">
        <w:t>EU</w:t>
      </w:r>
      <w:r w:rsidRPr="00767BC2">
        <w:tab/>
      </w:r>
      <w:r>
        <w:tab/>
      </w:r>
      <w:r>
        <w:tab/>
      </w:r>
      <w:r>
        <w:tab/>
      </w:r>
      <w:r w:rsidRPr="00767BC2">
        <w:t>Evropská unie</w:t>
      </w:r>
    </w:p>
    <w:p w:rsidR="009D46E6" w:rsidRPr="00767BC2" w:rsidRDefault="009D46E6" w:rsidP="0063114B">
      <w:pPr>
        <w:spacing w:after="0"/>
        <w:ind w:left="1134" w:hanging="1134"/>
        <w:jc w:val="left"/>
      </w:pPr>
      <w:r>
        <w:t>EU</w:t>
      </w:r>
      <w:r w:rsidRPr="00767BC2">
        <w:t>15</w:t>
      </w:r>
      <w:r w:rsidRPr="00767BC2">
        <w:tab/>
      </w:r>
      <w:r>
        <w:tab/>
        <w:t>S</w:t>
      </w:r>
      <w:r w:rsidRPr="00767BC2">
        <w:t>táty EU – Rakousko, Belgie, Dánsko, Finsko, Francie, Německo, Irsko, Itálie, Lucembursko, Nizozemsko, Portugalsko, Španělsko, Švédsko, Velká Británie, Řecko</w:t>
      </w:r>
    </w:p>
    <w:p w:rsidR="009D46E6" w:rsidRPr="00767BC2" w:rsidRDefault="009D46E6" w:rsidP="0063114B">
      <w:pPr>
        <w:spacing w:after="0"/>
        <w:ind w:left="1134" w:hanging="1134"/>
        <w:jc w:val="left"/>
      </w:pPr>
      <w:r>
        <w:t>EU</w:t>
      </w:r>
      <w:r w:rsidRPr="00767BC2">
        <w:t>25</w:t>
      </w:r>
      <w:r>
        <w:tab/>
      </w:r>
      <w:r w:rsidRPr="00767BC2">
        <w:tab/>
      </w:r>
      <w:r>
        <w:t>EU</w:t>
      </w:r>
      <w:r w:rsidRPr="00767BC2">
        <w:t>15</w:t>
      </w:r>
      <w:r>
        <w:t xml:space="preserve"> </w:t>
      </w:r>
      <w:r w:rsidRPr="00767BC2">
        <w:t>+</w:t>
      </w:r>
      <w:r>
        <w:t xml:space="preserve"> </w:t>
      </w:r>
      <w:r w:rsidRPr="00767BC2">
        <w:t>Česko, Estonsko, Kypr, Litva, Lotyšsko, Maďarsko, Malta, Polsko, Slovensko a Slovinsko</w:t>
      </w:r>
    </w:p>
    <w:p w:rsidR="009D46E6" w:rsidRDefault="009D46E6" w:rsidP="0063114B">
      <w:pPr>
        <w:spacing w:after="0"/>
        <w:jc w:val="left"/>
      </w:pPr>
      <w:r w:rsidRPr="00767BC2">
        <w:t>EU27</w:t>
      </w:r>
      <w:r w:rsidRPr="00767BC2">
        <w:tab/>
      </w:r>
      <w:r>
        <w:tab/>
      </w:r>
      <w:r>
        <w:tab/>
        <w:t>V</w:t>
      </w:r>
      <w:r w:rsidRPr="00767BC2">
        <w:t xml:space="preserve">šechny členské státy EU </w:t>
      </w:r>
      <w:r>
        <w:t>do června 2013</w:t>
      </w:r>
      <w:r w:rsidRPr="00767BC2">
        <w:t>(EU25</w:t>
      </w:r>
      <w:r>
        <w:t xml:space="preserve"> </w:t>
      </w:r>
      <w:r w:rsidRPr="00767BC2">
        <w:t>+</w:t>
      </w:r>
      <w:r>
        <w:t xml:space="preserve"> </w:t>
      </w:r>
      <w:r w:rsidRPr="00767BC2">
        <w:t>Bulharsko a Rumunsko)</w:t>
      </w:r>
    </w:p>
    <w:p w:rsidR="009D46E6" w:rsidRPr="00767BC2" w:rsidRDefault="009D46E6" w:rsidP="0063114B">
      <w:pPr>
        <w:spacing w:after="0"/>
        <w:jc w:val="left"/>
      </w:pPr>
      <w:r>
        <w:t>EU28</w:t>
      </w:r>
      <w:r>
        <w:tab/>
      </w:r>
      <w:r>
        <w:tab/>
      </w:r>
      <w:r>
        <w:tab/>
        <w:t>V</w:t>
      </w:r>
      <w:r w:rsidRPr="00767BC2">
        <w:t>šechny členské státy EU</w:t>
      </w:r>
      <w:r>
        <w:t xml:space="preserve"> od července 2013 (včetně Chorvatska)</w:t>
      </w:r>
    </w:p>
    <w:p w:rsidR="009D46E6" w:rsidRPr="00767BC2" w:rsidRDefault="009D46E6" w:rsidP="0063114B">
      <w:pPr>
        <w:spacing w:after="0"/>
        <w:jc w:val="left"/>
      </w:pPr>
      <w:r w:rsidRPr="00767BC2">
        <w:t>Eurostat</w:t>
      </w:r>
      <w:r w:rsidRPr="00767BC2">
        <w:tab/>
      </w:r>
      <w:r>
        <w:tab/>
      </w:r>
      <w:r w:rsidRPr="00767BC2">
        <w:t>Evropský statistický úřad</w:t>
      </w:r>
    </w:p>
    <w:p w:rsidR="009D46E6" w:rsidRPr="00767BC2" w:rsidRDefault="009D46E6" w:rsidP="0063114B">
      <w:pPr>
        <w:spacing w:after="0"/>
        <w:jc w:val="left"/>
      </w:pPr>
      <w:r w:rsidRPr="00767BC2">
        <w:t>FTE</w:t>
      </w:r>
      <w:r>
        <w:tab/>
      </w:r>
      <w:r w:rsidRPr="00767BC2">
        <w:tab/>
      </w:r>
      <w:r>
        <w:tab/>
      </w:r>
      <w:r w:rsidRPr="00767BC2">
        <w:t>Full time equivalent</w:t>
      </w:r>
    </w:p>
    <w:p w:rsidR="009D46E6" w:rsidRPr="00767BC2" w:rsidRDefault="009D46E6" w:rsidP="0063114B">
      <w:pPr>
        <w:spacing w:after="0"/>
        <w:jc w:val="left"/>
      </w:pPr>
      <w:r w:rsidRPr="00767BC2">
        <w:t xml:space="preserve">GA ČR </w:t>
      </w:r>
      <w:r w:rsidRPr="00767BC2">
        <w:tab/>
      </w:r>
      <w:r>
        <w:tab/>
      </w:r>
      <w:r w:rsidRPr="00767BC2">
        <w:t>Grantová agentura České republiky</w:t>
      </w:r>
    </w:p>
    <w:p w:rsidR="009D46E6" w:rsidRPr="00767BC2" w:rsidRDefault="009D46E6" w:rsidP="0063114B">
      <w:pPr>
        <w:spacing w:after="0"/>
        <w:ind w:left="1134" w:hanging="1134"/>
        <w:jc w:val="left"/>
      </w:pPr>
      <w:r w:rsidRPr="00767BC2">
        <w:t>GBAORD</w:t>
      </w:r>
      <w:r w:rsidRPr="00767BC2">
        <w:tab/>
      </w:r>
      <w:r>
        <w:tab/>
      </w:r>
      <w:r w:rsidRPr="00767BC2">
        <w:t>Government Budget Appropriations and Outlays for R&amp;D – Státní rozpočtové výdaje a dotace na VaV</w:t>
      </w:r>
    </w:p>
    <w:p w:rsidR="009D46E6" w:rsidRPr="00767BC2" w:rsidRDefault="009D46E6" w:rsidP="0063114B">
      <w:pPr>
        <w:spacing w:after="0"/>
        <w:jc w:val="left"/>
      </w:pPr>
      <w:r w:rsidRPr="00767BC2">
        <w:t>GERD</w:t>
      </w:r>
      <w:r w:rsidRPr="00767BC2">
        <w:tab/>
      </w:r>
      <w:r>
        <w:tab/>
      </w:r>
      <w:r>
        <w:tab/>
      </w:r>
      <w:r w:rsidRPr="00767BC2">
        <w:t xml:space="preserve">Gross Expenditure on R&amp;D – celkové (hrubé) výdaje na VaV </w:t>
      </w:r>
    </w:p>
    <w:p w:rsidR="009D46E6" w:rsidRPr="00767BC2" w:rsidRDefault="009D46E6" w:rsidP="0063114B">
      <w:pPr>
        <w:spacing w:after="0"/>
        <w:jc w:val="left"/>
      </w:pPr>
      <w:r w:rsidRPr="00767BC2">
        <w:t>GOVERD</w:t>
      </w:r>
      <w:r w:rsidRPr="00767BC2">
        <w:tab/>
      </w:r>
      <w:r>
        <w:tab/>
      </w:r>
      <w:r w:rsidRPr="00767BC2">
        <w:t>Government Expenditure on R&amp;D – výdaje na VaV ve vládním sektoru</w:t>
      </w:r>
    </w:p>
    <w:p w:rsidR="009D46E6" w:rsidRPr="00767BC2" w:rsidRDefault="009D46E6" w:rsidP="0063114B">
      <w:pPr>
        <w:spacing w:after="0"/>
        <w:jc w:val="left"/>
      </w:pPr>
      <w:r w:rsidRPr="00767BC2">
        <w:t xml:space="preserve">HDP </w:t>
      </w:r>
      <w:r w:rsidRPr="00767BC2">
        <w:tab/>
      </w:r>
      <w:r>
        <w:tab/>
      </w:r>
      <w:r>
        <w:tab/>
        <w:t>H</w:t>
      </w:r>
      <w:r w:rsidRPr="00767BC2">
        <w:t>rubý domácí produkt</w:t>
      </w:r>
    </w:p>
    <w:p w:rsidR="009D46E6" w:rsidRPr="00767BC2" w:rsidRDefault="009D46E6" w:rsidP="0063114B">
      <w:pPr>
        <w:spacing w:after="0"/>
        <w:jc w:val="left"/>
      </w:pPr>
      <w:r w:rsidRPr="00767BC2">
        <w:t>HERD</w:t>
      </w:r>
      <w:r>
        <w:tab/>
      </w:r>
      <w:r w:rsidRPr="00767BC2">
        <w:tab/>
      </w:r>
      <w:r>
        <w:tab/>
      </w:r>
      <w:r w:rsidRPr="00767BC2">
        <w:t>Expenditure on R&amp;D in Higher Education Sector – výdaje na VaV ve vysokoškolském sektoru</w:t>
      </w:r>
    </w:p>
    <w:p w:rsidR="009D46E6" w:rsidRPr="00767BC2" w:rsidRDefault="009D46E6" w:rsidP="0063114B">
      <w:pPr>
        <w:spacing w:after="0"/>
        <w:jc w:val="left"/>
      </w:pPr>
      <w:r w:rsidRPr="00767BC2">
        <w:t>ICT</w:t>
      </w:r>
      <w:r w:rsidRPr="00767BC2">
        <w:tab/>
      </w:r>
      <w:r>
        <w:tab/>
      </w:r>
      <w:r>
        <w:tab/>
      </w:r>
      <w:r w:rsidRPr="00767BC2">
        <w:t>Informační a komunikační technologie</w:t>
      </w:r>
    </w:p>
    <w:p w:rsidR="009D46E6" w:rsidRPr="00767BC2" w:rsidRDefault="009D46E6" w:rsidP="0063114B">
      <w:pPr>
        <w:spacing w:after="0"/>
        <w:jc w:val="left"/>
      </w:pPr>
      <w:r w:rsidRPr="00767BC2">
        <w:t>IPC</w:t>
      </w:r>
      <w:r>
        <w:tab/>
      </w:r>
      <w:r w:rsidRPr="00767BC2">
        <w:tab/>
      </w:r>
      <w:r>
        <w:tab/>
      </w:r>
      <w:r w:rsidRPr="00767BC2">
        <w:t>Mezinárodní patentové třídění</w:t>
      </w:r>
    </w:p>
    <w:p w:rsidR="009D46E6" w:rsidRPr="00767BC2" w:rsidRDefault="009D46E6" w:rsidP="0063114B">
      <w:pPr>
        <w:spacing w:after="0"/>
        <w:ind w:left="1134" w:hanging="1134"/>
        <w:jc w:val="left"/>
      </w:pPr>
      <w:r w:rsidRPr="00767BC2">
        <w:t>ISCED</w:t>
      </w:r>
      <w:r w:rsidRPr="00767BC2">
        <w:tab/>
      </w:r>
      <w:r>
        <w:tab/>
      </w:r>
      <w:r w:rsidRPr="00767BC2">
        <w:t>International Standard Classification of Education – Mezinárodní standardní klasifikace vzdělávání</w:t>
      </w:r>
    </w:p>
    <w:p w:rsidR="009D46E6" w:rsidRPr="00767BC2" w:rsidRDefault="009D46E6" w:rsidP="0063114B">
      <w:pPr>
        <w:spacing w:after="0"/>
        <w:jc w:val="left"/>
      </w:pPr>
      <w:r w:rsidRPr="00767BC2">
        <w:t>IS VaVaI</w:t>
      </w:r>
      <w:r w:rsidRPr="00767BC2">
        <w:tab/>
      </w:r>
      <w:r>
        <w:tab/>
      </w:r>
      <w:r w:rsidRPr="00767BC2">
        <w:t>Informační systém výzkumu, experimentálního vývoje a inovací</w:t>
      </w:r>
    </w:p>
    <w:p w:rsidR="009D46E6" w:rsidRDefault="009D46E6" w:rsidP="0063114B">
      <w:pPr>
        <w:spacing w:after="0"/>
        <w:jc w:val="left"/>
      </w:pPr>
      <w:r w:rsidRPr="00767BC2">
        <w:t>JRC</w:t>
      </w:r>
      <w:r>
        <w:tab/>
      </w:r>
      <w:r w:rsidRPr="00767BC2">
        <w:tab/>
      </w:r>
      <w:r>
        <w:tab/>
      </w:r>
      <w:r w:rsidRPr="00767BC2">
        <w:t>Joint Research Centre</w:t>
      </w:r>
    </w:p>
    <w:p w:rsidR="009D46E6" w:rsidRPr="004C7998" w:rsidRDefault="009D46E6" w:rsidP="0063114B">
      <w:pPr>
        <w:spacing w:after="0"/>
        <w:jc w:val="left"/>
      </w:pPr>
      <w:r>
        <w:t>Kgoe</w:t>
      </w:r>
      <w:r>
        <w:tab/>
      </w:r>
      <w:r>
        <w:tab/>
      </w:r>
      <w:r>
        <w:tab/>
        <w:t>Kilogram(s) of oil equivalent / ekvivalentní kilogram(y) ropy</w:t>
      </w:r>
    </w:p>
    <w:p w:rsidR="009D46E6" w:rsidRPr="00767BC2" w:rsidRDefault="009D46E6" w:rsidP="0063114B">
      <w:pPr>
        <w:spacing w:after="0"/>
        <w:jc w:val="left"/>
      </w:pPr>
      <w:r w:rsidRPr="00767BC2">
        <w:t>Lic 5-01</w:t>
      </w:r>
      <w:r w:rsidRPr="00767BC2">
        <w:tab/>
      </w:r>
      <w:r>
        <w:tab/>
        <w:t>Š</w:t>
      </w:r>
      <w:r w:rsidRPr="00767BC2">
        <w:t>etření ČSÚ Roční výkaz o licencích</w:t>
      </w:r>
    </w:p>
    <w:p w:rsidR="009D46E6" w:rsidRPr="00767BC2" w:rsidRDefault="009D46E6" w:rsidP="0063114B">
      <w:pPr>
        <w:spacing w:after="0"/>
        <w:jc w:val="left"/>
      </w:pPr>
      <w:r w:rsidRPr="00767BC2">
        <w:t>MPO</w:t>
      </w:r>
      <w:r w:rsidRPr="00767BC2">
        <w:tab/>
      </w:r>
      <w:r>
        <w:tab/>
      </w:r>
      <w:r>
        <w:tab/>
      </w:r>
      <w:r w:rsidRPr="00767BC2">
        <w:t>Ministerstvo průmyslu a obchodu</w:t>
      </w:r>
    </w:p>
    <w:p w:rsidR="009D46E6" w:rsidRPr="00767BC2" w:rsidRDefault="009D46E6" w:rsidP="0063114B">
      <w:pPr>
        <w:spacing w:after="0"/>
        <w:jc w:val="left"/>
      </w:pPr>
      <w:r w:rsidRPr="00767BC2">
        <w:t>MPT</w:t>
      </w:r>
      <w:r w:rsidRPr="00767BC2">
        <w:tab/>
      </w:r>
      <w:r>
        <w:tab/>
      </w:r>
      <w:r>
        <w:tab/>
      </w:r>
      <w:r w:rsidRPr="00767BC2">
        <w:t>Mezinárodní patentové třídění</w:t>
      </w:r>
    </w:p>
    <w:p w:rsidR="009D46E6" w:rsidRPr="00767BC2" w:rsidRDefault="009D46E6" w:rsidP="0063114B">
      <w:pPr>
        <w:spacing w:after="0"/>
        <w:jc w:val="left"/>
      </w:pPr>
      <w:r w:rsidRPr="00767BC2">
        <w:t>MSP</w:t>
      </w:r>
      <w:r w:rsidRPr="00767BC2">
        <w:tab/>
      </w:r>
      <w:r>
        <w:tab/>
      </w:r>
      <w:r>
        <w:tab/>
      </w:r>
      <w:r w:rsidRPr="00767BC2">
        <w:t>Malý a střední podnik</w:t>
      </w:r>
    </w:p>
    <w:p w:rsidR="009D46E6" w:rsidRPr="00767BC2" w:rsidRDefault="009D46E6" w:rsidP="0063114B">
      <w:pPr>
        <w:spacing w:after="0"/>
        <w:jc w:val="left"/>
      </w:pPr>
      <w:r w:rsidRPr="00767BC2">
        <w:t>MSTI</w:t>
      </w:r>
      <w:r w:rsidRPr="00767BC2">
        <w:tab/>
      </w:r>
      <w:r>
        <w:tab/>
      </w:r>
      <w:r>
        <w:tab/>
      </w:r>
      <w:r w:rsidRPr="00767BC2">
        <w:t>Main Science and Technology Indicators, OECD</w:t>
      </w:r>
    </w:p>
    <w:p w:rsidR="009D46E6" w:rsidRPr="00767BC2" w:rsidRDefault="009D46E6" w:rsidP="0063114B">
      <w:pPr>
        <w:spacing w:after="0"/>
        <w:jc w:val="left"/>
      </w:pPr>
      <w:r w:rsidRPr="00767BC2">
        <w:t xml:space="preserve">MŠMT </w:t>
      </w:r>
      <w:r w:rsidRPr="00767BC2">
        <w:tab/>
      </w:r>
      <w:r>
        <w:tab/>
      </w:r>
      <w:r w:rsidRPr="00767BC2">
        <w:t>Ministerstvo školství, mládeže a tělovýchovy</w:t>
      </w:r>
    </w:p>
    <w:p w:rsidR="009D46E6" w:rsidRPr="00767BC2" w:rsidRDefault="009D46E6" w:rsidP="0063114B">
      <w:pPr>
        <w:spacing w:after="0"/>
        <w:jc w:val="left"/>
      </w:pPr>
      <w:r w:rsidRPr="00767BC2">
        <w:t>MV</w:t>
      </w:r>
      <w:r w:rsidRPr="00767BC2">
        <w:tab/>
      </w:r>
      <w:r>
        <w:tab/>
      </w:r>
      <w:r>
        <w:tab/>
      </w:r>
      <w:r>
        <w:tab/>
      </w:r>
      <w:r w:rsidRPr="00767BC2">
        <w:t xml:space="preserve">Ministerstvo vnitra </w:t>
      </w:r>
    </w:p>
    <w:p w:rsidR="009D46E6" w:rsidRPr="00767BC2" w:rsidRDefault="009D46E6" w:rsidP="0063114B">
      <w:pPr>
        <w:spacing w:after="0"/>
        <w:jc w:val="left"/>
      </w:pPr>
      <w:r w:rsidRPr="00767BC2">
        <w:t>MZ</w:t>
      </w:r>
      <w:r w:rsidRPr="00767BC2">
        <w:tab/>
      </w:r>
      <w:r>
        <w:tab/>
      </w:r>
      <w:r>
        <w:tab/>
      </w:r>
      <w:r>
        <w:tab/>
      </w:r>
      <w:r w:rsidRPr="00767BC2">
        <w:t>Ministerstvo zdravotnictví</w:t>
      </w:r>
    </w:p>
    <w:p w:rsidR="009D46E6" w:rsidRPr="00767BC2" w:rsidRDefault="009D46E6" w:rsidP="0063114B">
      <w:pPr>
        <w:spacing w:after="0"/>
        <w:jc w:val="left"/>
      </w:pPr>
      <w:r w:rsidRPr="00767BC2">
        <w:t>M</w:t>
      </w:r>
      <w:r>
        <w:t>Z</w:t>
      </w:r>
      <w:r w:rsidRPr="00767BC2">
        <w:t>e</w:t>
      </w:r>
      <w:r w:rsidRPr="00767BC2">
        <w:tab/>
      </w:r>
      <w:r>
        <w:tab/>
      </w:r>
      <w:r>
        <w:tab/>
      </w:r>
      <w:r w:rsidRPr="00767BC2">
        <w:t>Ministerstvo zemědělství</w:t>
      </w:r>
    </w:p>
    <w:p w:rsidR="009D46E6" w:rsidRPr="00767BC2" w:rsidRDefault="009D46E6" w:rsidP="0063114B">
      <w:pPr>
        <w:spacing w:after="0"/>
        <w:jc w:val="left"/>
      </w:pPr>
      <w:r w:rsidRPr="00767BC2">
        <w:t>OECD</w:t>
      </w:r>
      <w:r w:rsidRPr="00767BC2">
        <w:tab/>
      </w:r>
      <w:r>
        <w:tab/>
      </w:r>
      <w:r>
        <w:tab/>
      </w:r>
      <w:r w:rsidRPr="00767BC2">
        <w:t xml:space="preserve">Organizace pro ekonomickou spolupráci a rozvoj </w:t>
      </w:r>
    </w:p>
    <w:p w:rsidR="009D46E6" w:rsidRPr="00767BC2" w:rsidRDefault="009D46E6" w:rsidP="0063114B">
      <w:pPr>
        <w:spacing w:after="0"/>
        <w:jc w:val="left"/>
      </w:pPr>
      <w:r w:rsidRPr="00767BC2">
        <w:t>OP</w:t>
      </w:r>
      <w:r w:rsidRPr="00767BC2">
        <w:tab/>
      </w:r>
      <w:r>
        <w:tab/>
      </w:r>
      <w:r>
        <w:tab/>
      </w:r>
      <w:r>
        <w:tab/>
        <w:t>O</w:t>
      </w:r>
      <w:r w:rsidRPr="00767BC2">
        <w:t>perační program</w:t>
      </w:r>
    </w:p>
    <w:p w:rsidR="009D46E6" w:rsidRDefault="009D46E6" w:rsidP="0063114B">
      <w:pPr>
        <w:spacing w:after="0"/>
        <w:jc w:val="left"/>
      </w:pPr>
      <w:r>
        <w:t xml:space="preserve">OP VaVpI </w:t>
      </w:r>
      <w:r>
        <w:tab/>
        <w:t>Operační program Výzkum a vývoj pro inovace</w:t>
      </w:r>
    </w:p>
    <w:p w:rsidR="009D46E6" w:rsidRPr="00767BC2" w:rsidRDefault="009D46E6" w:rsidP="0063114B">
      <w:pPr>
        <w:spacing w:after="0"/>
        <w:jc w:val="left"/>
      </w:pPr>
      <w:r w:rsidRPr="00767BC2">
        <w:t>PFO</w:t>
      </w:r>
      <w:r w:rsidRPr="00767BC2">
        <w:tab/>
      </w:r>
      <w:r>
        <w:tab/>
      </w:r>
      <w:r>
        <w:tab/>
      </w:r>
      <w:r w:rsidRPr="00767BC2">
        <w:t>Právnické a fyzické osoby</w:t>
      </w:r>
    </w:p>
    <w:p w:rsidR="009D46E6" w:rsidRPr="00767BC2" w:rsidRDefault="009D46E6" w:rsidP="0063114B">
      <w:pPr>
        <w:spacing w:after="0"/>
        <w:jc w:val="left"/>
      </w:pPr>
      <w:r w:rsidRPr="00767BC2">
        <w:t>PCT</w:t>
      </w:r>
      <w:r w:rsidRPr="00767BC2">
        <w:tab/>
      </w:r>
      <w:r>
        <w:tab/>
      </w:r>
      <w:r>
        <w:tab/>
      </w:r>
      <w:r w:rsidRPr="00767BC2">
        <w:t xml:space="preserve">Smlouva o patentové spolupráci / Patent Cooperation Treaty </w:t>
      </w:r>
    </w:p>
    <w:p w:rsidR="009D46E6" w:rsidRPr="00767BC2" w:rsidRDefault="009D46E6" w:rsidP="0063114B">
      <w:pPr>
        <w:spacing w:after="0"/>
        <w:ind w:left="1134" w:hanging="1134"/>
        <w:jc w:val="left"/>
      </w:pPr>
      <w:r>
        <w:t>PPS</w:t>
      </w:r>
      <w:r>
        <w:tab/>
      </w:r>
      <w:r>
        <w:tab/>
      </w:r>
      <w:r w:rsidRPr="00767BC2">
        <w:t xml:space="preserve">Purchasing Power </w:t>
      </w:r>
      <w:r>
        <w:t>Standard</w:t>
      </w:r>
      <w:r w:rsidRPr="00767BC2">
        <w:t xml:space="preserve"> - standard kupní síly; jednotka pro měření kupní síly příslušné měnové jednotky </w:t>
      </w:r>
    </w:p>
    <w:p w:rsidR="009D46E6" w:rsidRPr="00767BC2" w:rsidRDefault="009D46E6" w:rsidP="0063114B">
      <w:pPr>
        <w:spacing w:after="0"/>
        <w:jc w:val="left"/>
      </w:pPr>
      <w:r w:rsidRPr="00767BC2">
        <w:t>RCI</w:t>
      </w:r>
      <w:r>
        <w:tab/>
      </w:r>
      <w:r w:rsidRPr="00767BC2">
        <w:tab/>
      </w:r>
      <w:r>
        <w:tab/>
      </w:r>
      <w:r w:rsidRPr="00767BC2">
        <w:t xml:space="preserve">Relativní citační index </w:t>
      </w:r>
    </w:p>
    <w:p w:rsidR="009D46E6" w:rsidRPr="00767BC2" w:rsidRDefault="009D46E6" w:rsidP="0063114B">
      <w:pPr>
        <w:spacing w:after="0"/>
        <w:jc w:val="left"/>
      </w:pPr>
      <w:r w:rsidRPr="00767BC2">
        <w:t>RCIO</w:t>
      </w:r>
      <w:r w:rsidRPr="00767BC2">
        <w:tab/>
      </w:r>
      <w:r>
        <w:tab/>
      </w:r>
      <w:r>
        <w:tab/>
      </w:r>
      <w:r w:rsidRPr="00767BC2">
        <w:t>Relativní citační index vědního oboru RIV</w:t>
      </w:r>
      <w:r w:rsidRPr="00767BC2">
        <w:tab/>
        <w:t>Rejstřík informací o výsledcích</w:t>
      </w:r>
    </w:p>
    <w:p w:rsidR="009D46E6" w:rsidRPr="00767BC2" w:rsidRDefault="009D46E6" w:rsidP="0063114B">
      <w:pPr>
        <w:spacing w:after="0"/>
        <w:jc w:val="left"/>
      </w:pPr>
      <w:r w:rsidRPr="00767BC2">
        <w:t>RP</w:t>
      </w:r>
      <w:r>
        <w:tab/>
      </w:r>
      <w:r>
        <w:tab/>
      </w:r>
      <w:r w:rsidRPr="00767BC2">
        <w:tab/>
      </w:r>
      <w:r>
        <w:tab/>
      </w:r>
      <w:r w:rsidRPr="00767BC2">
        <w:t>Rámcové programy EU pro výzkum a technologický rozvoj</w:t>
      </w:r>
    </w:p>
    <w:p w:rsidR="009D46E6" w:rsidRPr="00767BC2" w:rsidRDefault="009D46E6" w:rsidP="0063114B">
      <w:pPr>
        <w:spacing w:after="0"/>
        <w:jc w:val="left"/>
      </w:pPr>
      <w:r w:rsidRPr="00767BC2">
        <w:t>RVVI</w:t>
      </w:r>
      <w:r w:rsidRPr="00767BC2">
        <w:tab/>
      </w:r>
      <w:r>
        <w:tab/>
      </w:r>
      <w:r>
        <w:tab/>
      </w:r>
      <w:r w:rsidRPr="00767BC2">
        <w:t>Rada pro výzkum, vývoj a inovace</w:t>
      </w:r>
    </w:p>
    <w:p w:rsidR="009D46E6" w:rsidRPr="00767BC2" w:rsidRDefault="009D46E6" w:rsidP="0063114B">
      <w:pPr>
        <w:spacing w:after="0"/>
        <w:jc w:val="left"/>
      </w:pPr>
      <w:r w:rsidRPr="00767BC2">
        <w:t>SIMS</w:t>
      </w:r>
      <w:r w:rsidRPr="00767BC2">
        <w:tab/>
      </w:r>
      <w:r>
        <w:tab/>
      </w:r>
      <w:r>
        <w:tab/>
      </w:r>
      <w:r w:rsidRPr="00767BC2">
        <w:t>Sdružené Informace Matrik Studentů</w:t>
      </w:r>
    </w:p>
    <w:p w:rsidR="009D46E6" w:rsidRPr="00767BC2" w:rsidRDefault="009D46E6" w:rsidP="0063114B">
      <w:pPr>
        <w:spacing w:after="0"/>
        <w:jc w:val="left"/>
      </w:pPr>
      <w:r w:rsidRPr="00767BC2">
        <w:t>TI</w:t>
      </w:r>
      <w:r>
        <w:tab/>
      </w:r>
      <w:r>
        <w:tab/>
      </w:r>
      <w:r>
        <w:tab/>
      </w:r>
      <w:r w:rsidRPr="00767BC2">
        <w:tab/>
        <w:t>Šetření ČSÚ o inovacích v podnikatelském sektoru</w:t>
      </w:r>
    </w:p>
    <w:p w:rsidR="009D46E6" w:rsidRPr="00767BC2" w:rsidRDefault="009D46E6" w:rsidP="0063114B">
      <w:pPr>
        <w:spacing w:after="0"/>
        <w:jc w:val="left"/>
      </w:pPr>
      <w:r w:rsidRPr="00767BC2">
        <w:t>TC AV</w:t>
      </w:r>
      <w:r w:rsidRPr="00767BC2">
        <w:tab/>
      </w:r>
      <w:r>
        <w:tab/>
      </w:r>
      <w:r>
        <w:tab/>
      </w:r>
      <w:r w:rsidRPr="00767BC2">
        <w:t>Technologické centrum Akademie věd České republiky</w:t>
      </w:r>
    </w:p>
    <w:p w:rsidR="009D46E6" w:rsidRPr="00767BC2" w:rsidRDefault="009D46E6" w:rsidP="0063114B">
      <w:pPr>
        <w:spacing w:after="0"/>
        <w:jc w:val="left"/>
      </w:pPr>
      <w:r w:rsidRPr="00767BC2">
        <w:t>TR</w:t>
      </w:r>
      <w:r>
        <w:tab/>
      </w:r>
      <w:r>
        <w:tab/>
      </w:r>
      <w:r>
        <w:tab/>
      </w:r>
      <w:r w:rsidRPr="00767BC2">
        <w:tab/>
        <w:t>Thomson Reuters</w:t>
      </w:r>
    </w:p>
    <w:p w:rsidR="009D46E6" w:rsidRPr="00767BC2" w:rsidRDefault="009D46E6" w:rsidP="0063114B">
      <w:pPr>
        <w:spacing w:after="0"/>
        <w:jc w:val="left"/>
      </w:pPr>
      <w:r w:rsidRPr="00767BC2">
        <w:t>ÚIV</w:t>
      </w:r>
      <w:r>
        <w:tab/>
      </w:r>
      <w:r w:rsidRPr="00767BC2">
        <w:tab/>
      </w:r>
      <w:r>
        <w:tab/>
      </w:r>
      <w:r w:rsidRPr="00767BC2">
        <w:t>Ústav pro informace ve vzdělávání</w:t>
      </w:r>
    </w:p>
    <w:p w:rsidR="009D46E6" w:rsidRPr="00767BC2" w:rsidRDefault="009D46E6" w:rsidP="0063114B">
      <w:pPr>
        <w:spacing w:after="0"/>
        <w:jc w:val="left"/>
      </w:pPr>
      <w:r w:rsidRPr="00767BC2">
        <w:t>ÚPV ČR</w:t>
      </w:r>
      <w:r w:rsidRPr="00767BC2">
        <w:tab/>
      </w:r>
      <w:r>
        <w:tab/>
      </w:r>
      <w:r w:rsidRPr="00767BC2">
        <w:t>Úřad průmyslového vlastnictví České republiky</w:t>
      </w:r>
    </w:p>
    <w:p w:rsidR="009D46E6" w:rsidRPr="00767BC2" w:rsidRDefault="009D46E6" w:rsidP="0063114B">
      <w:pPr>
        <w:spacing w:after="0"/>
        <w:jc w:val="left"/>
      </w:pPr>
      <w:r w:rsidRPr="00767BC2">
        <w:t>USPTO</w:t>
      </w:r>
      <w:r>
        <w:tab/>
      </w:r>
      <w:r w:rsidRPr="00767BC2">
        <w:tab/>
        <w:t xml:space="preserve">Úřad pro patenty a ochranné známky USA </w:t>
      </w:r>
    </w:p>
    <w:p w:rsidR="009D46E6" w:rsidRPr="00767BC2" w:rsidRDefault="009D46E6" w:rsidP="0063114B">
      <w:pPr>
        <w:spacing w:after="0"/>
        <w:jc w:val="left"/>
      </w:pPr>
      <w:r w:rsidRPr="00767BC2">
        <w:t>VaT</w:t>
      </w:r>
      <w:r w:rsidRPr="00767BC2">
        <w:tab/>
      </w:r>
      <w:r>
        <w:tab/>
      </w:r>
      <w:r>
        <w:tab/>
      </w:r>
      <w:r w:rsidRPr="00767BC2">
        <w:t>Věda a technologie</w:t>
      </w:r>
    </w:p>
    <w:p w:rsidR="009D46E6" w:rsidRPr="00767BC2" w:rsidRDefault="009D46E6" w:rsidP="0063114B">
      <w:pPr>
        <w:spacing w:after="0"/>
        <w:jc w:val="left"/>
      </w:pPr>
      <w:r w:rsidRPr="00767BC2">
        <w:t>VaV</w:t>
      </w:r>
      <w:r w:rsidRPr="00767BC2">
        <w:tab/>
      </w:r>
      <w:r>
        <w:tab/>
      </w:r>
      <w:r>
        <w:tab/>
        <w:t>V</w:t>
      </w:r>
      <w:r w:rsidRPr="00767BC2">
        <w:t>ýzkum a vývoj</w:t>
      </w:r>
    </w:p>
    <w:p w:rsidR="009D46E6" w:rsidRPr="00767BC2" w:rsidRDefault="009D46E6" w:rsidP="0063114B">
      <w:pPr>
        <w:spacing w:after="0"/>
        <w:jc w:val="left"/>
      </w:pPr>
      <w:r w:rsidRPr="00767BC2">
        <w:t>VaVaI</w:t>
      </w:r>
      <w:r w:rsidRPr="00767BC2">
        <w:tab/>
      </w:r>
      <w:r>
        <w:tab/>
      </w:r>
      <w:r>
        <w:tab/>
      </w:r>
      <w:r w:rsidRPr="00767BC2">
        <w:t>Výzkum, experimentální vývoj a inovace</w:t>
      </w:r>
    </w:p>
    <w:p w:rsidR="009D46E6" w:rsidRPr="00767BC2" w:rsidRDefault="009D46E6" w:rsidP="0063114B">
      <w:pPr>
        <w:spacing w:after="0"/>
        <w:jc w:val="left"/>
      </w:pPr>
      <w:r w:rsidRPr="00767BC2">
        <w:t>VŠ</w:t>
      </w:r>
      <w:r>
        <w:tab/>
      </w:r>
      <w:r>
        <w:tab/>
      </w:r>
      <w:r>
        <w:tab/>
      </w:r>
      <w:r w:rsidRPr="00767BC2">
        <w:tab/>
      </w:r>
      <w:r>
        <w:t>V</w:t>
      </w:r>
      <w:r w:rsidRPr="00767BC2">
        <w:t>ysoká škola (státní, veřejná, soukromá, obchodní společnost)</w:t>
      </w:r>
    </w:p>
    <w:p w:rsidR="009D46E6" w:rsidRPr="00767BC2" w:rsidRDefault="009D46E6" w:rsidP="0063114B">
      <w:pPr>
        <w:spacing w:after="0"/>
        <w:jc w:val="left"/>
      </w:pPr>
      <w:r w:rsidRPr="00767BC2">
        <w:t>VTI</w:t>
      </w:r>
      <w:r w:rsidRPr="00767BC2">
        <w:tab/>
      </w:r>
      <w:r>
        <w:tab/>
      </w:r>
      <w:r>
        <w:tab/>
      </w:r>
      <w:r w:rsidRPr="00767BC2">
        <w:t>Věda, technologie a inovace</w:t>
      </w:r>
    </w:p>
    <w:p w:rsidR="009D46E6" w:rsidRPr="00767BC2" w:rsidRDefault="009D46E6" w:rsidP="0063114B">
      <w:pPr>
        <w:spacing w:after="0"/>
        <w:jc w:val="left"/>
      </w:pPr>
      <w:r w:rsidRPr="00767BC2">
        <w:t>VTR 5-01</w:t>
      </w:r>
      <w:r>
        <w:t xml:space="preserve"> </w:t>
      </w:r>
      <w:r>
        <w:tab/>
        <w:t>Š</w:t>
      </w:r>
      <w:r w:rsidRPr="00767BC2">
        <w:t>etření ČSÚ Roční výkaz o výzkumu a vývoji</w:t>
      </w:r>
    </w:p>
    <w:p w:rsidR="009D46E6" w:rsidRDefault="009D46E6" w:rsidP="0063114B">
      <w:pPr>
        <w:spacing w:after="0"/>
        <w:jc w:val="left"/>
      </w:pPr>
      <w:r>
        <w:t>VVŠ</w:t>
      </w:r>
      <w:r>
        <w:tab/>
      </w:r>
      <w:r>
        <w:tab/>
      </w:r>
      <w:r>
        <w:tab/>
        <w:t>Veřejná nebo státní vysoká škola</w:t>
      </w:r>
    </w:p>
    <w:p w:rsidR="009D46E6" w:rsidRPr="00DF12A5" w:rsidRDefault="009D46E6" w:rsidP="00DF12A5"/>
    <w:p w:rsidR="009D46E6" w:rsidRPr="00DF12A5" w:rsidRDefault="009D46E6" w:rsidP="00DF12A5"/>
    <w:p w:rsidR="009D46E6" w:rsidRPr="00DF12A5" w:rsidRDefault="009D46E6" w:rsidP="00DF12A5">
      <w:pPr>
        <w:sectPr w:rsidR="009D46E6" w:rsidRPr="00DF12A5" w:rsidSect="00FD3E45">
          <w:headerReference w:type="even" r:id="rId12"/>
          <w:headerReference w:type="default" r:id="rId13"/>
          <w:pgSz w:w="11906" w:h="16838" w:code="9"/>
          <w:pgMar w:top="1134" w:right="1134" w:bottom="1134" w:left="1134" w:header="737" w:footer="567" w:gutter="0"/>
          <w:cols w:space="567"/>
          <w:docGrid w:linePitch="360"/>
        </w:sectPr>
      </w:pPr>
    </w:p>
    <w:p w:rsidR="009D46E6" w:rsidRPr="00563019" w:rsidRDefault="009D46E6" w:rsidP="007F58B9">
      <w:pPr>
        <w:pStyle w:val="Nadpis1nonumber"/>
        <w:rPr>
          <w:rFonts w:cs="Tahoma"/>
        </w:rPr>
      </w:pPr>
      <w:bookmarkStart w:id="13" w:name="_Toc338399589"/>
      <w:bookmarkStart w:id="14" w:name="_Toc369091864"/>
      <w:bookmarkStart w:id="15" w:name="_Toc336000250"/>
      <w:r w:rsidRPr="00563019">
        <w:rPr>
          <w:rFonts w:cs="Tahoma"/>
        </w:rPr>
        <w:t>Makroekonomický rámec analýzy výzkumu, vývoje a inovací</w:t>
      </w:r>
      <w:bookmarkEnd w:id="13"/>
      <w:bookmarkEnd w:id="14"/>
    </w:p>
    <w:p w:rsidR="009D46E6" w:rsidRPr="00563019" w:rsidRDefault="009D46E6" w:rsidP="007F58B9">
      <w:pPr>
        <w:rPr>
          <w:rFonts w:cs="Tahoma"/>
        </w:rPr>
      </w:pPr>
      <w:r w:rsidRPr="00563019">
        <w:rPr>
          <w:rFonts w:cs="Tahoma"/>
        </w:rPr>
        <w:t>Úroveň a intenzita výzkumu, vývoje a inovací jsou úzce spjaty s ekonomickou vyspělostí země, dynamikou hospodářského vývoje i strukturou tvorby přidané hodnoty a zaměstnanosti. Proto je v této úvodní kapitole poskytnut základní ekonomický rámec navazující analýzy VaVaI, ve kterém jsou shrnuty současné hlavní vývojové trendy české ekonomiky a strukturální aspekty tohoto vývoje, včetně mezinárodního srovnání.</w:t>
      </w:r>
    </w:p>
    <w:p w:rsidR="009D46E6" w:rsidRPr="00536E36" w:rsidRDefault="009D46E6" w:rsidP="00750D9B">
      <w:pPr>
        <w:pStyle w:val="Caption"/>
      </w:pPr>
      <w:bookmarkStart w:id="16" w:name="_Toc338318388"/>
      <w:bookmarkStart w:id="17" w:name="_Toc369091921"/>
      <w:r>
        <w:t xml:space="preserve">Tabulka </w:t>
      </w:r>
      <w:fldSimple w:instr=" SEQ Tabulka \* ARABIC \s 1 ">
        <w:r>
          <w:rPr>
            <w:noProof/>
          </w:rPr>
          <w:t>3</w:t>
        </w:r>
      </w:fldSimple>
      <w:r w:rsidRPr="00BC1D05">
        <w:t>:</w:t>
      </w:r>
      <w:r>
        <w:t xml:space="preserve"> Z</w:t>
      </w:r>
      <w:r w:rsidRPr="00536E36">
        <w:t>ákladní ukazatele makroekonomického vývoje ČR</w:t>
      </w:r>
      <w:bookmarkEnd w:id="16"/>
      <w:bookmarkEnd w:id="17"/>
    </w:p>
    <w:tbl>
      <w:tblPr>
        <w:tblW w:w="9639" w:type="dxa"/>
        <w:jc w:val="center"/>
        <w:tblBorders>
          <w:top w:val="single" w:sz="8" w:space="0" w:color="C0504D"/>
          <w:bottom w:val="single" w:sz="8" w:space="0" w:color="C0504D"/>
        </w:tblBorders>
        <w:tblLayout w:type="fixed"/>
        <w:tblLook w:val="00A0"/>
      </w:tblPr>
      <w:tblGrid>
        <w:gridCol w:w="3193"/>
        <w:gridCol w:w="718"/>
        <w:gridCol w:w="717"/>
        <w:gridCol w:w="717"/>
        <w:gridCol w:w="717"/>
        <w:gridCol w:w="717"/>
        <w:gridCol w:w="717"/>
        <w:gridCol w:w="717"/>
        <w:gridCol w:w="717"/>
        <w:gridCol w:w="709"/>
      </w:tblGrid>
      <w:tr w:rsidR="009D46E6" w:rsidRPr="00DB1559" w:rsidTr="00DB1559">
        <w:trPr>
          <w:trHeight w:val="340"/>
          <w:jc w:val="center"/>
        </w:trPr>
        <w:tc>
          <w:tcPr>
            <w:tcW w:w="1656" w:type="pct"/>
            <w:tcBorders>
              <w:top w:val="nil"/>
              <w:bottom w:val="single" w:sz="8" w:space="0" w:color="C0504D"/>
            </w:tcBorders>
            <w:noWrap/>
            <w:vAlign w:val="center"/>
          </w:tcPr>
          <w:p w:rsidR="009D46E6" w:rsidRPr="00DB1559" w:rsidRDefault="009D46E6" w:rsidP="00DB1559">
            <w:pPr>
              <w:spacing w:line="240" w:lineRule="auto"/>
              <w:jc w:val="left"/>
              <w:rPr>
                <w:rFonts w:cs="Tahoma"/>
                <w:b/>
                <w:bCs/>
                <w:sz w:val="16"/>
                <w:szCs w:val="16"/>
                <w:lang w:eastAsia="cs-CZ"/>
              </w:rPr>
            </w:pPr>
          </w:p>
        </w:tc>
        <w:tc>
          <w:tcPr>
            <w:tcW w:w="372" w:type="pct"/>
            <w:tcBorders>
              <w:top w:val="nil"/>
              <w:bottom w:val="single" w:sz="8" w:space="0" w:color="C0504D"/>
            </w:tcBorders>
            <w:noWrap/>
            <w:vAlign w:val="center"/>
          </w:tcPr>
          <w:p w:rsidR="009D46E6" w:rsidRPr="00DB1559" w:rsidRDefault="009D46E6" w:rsidP="00DB1559">
            <w:pPr>
              <w:spacing w:line="240" w:lineRule="auto"/>
              <w:jc w:val="center"/>
              <w:rPr>
                <w:rFonts w:cs="Tahoma"/>
                <w:b/>
                <w:bCs/>
                <w:sz w:val="16"/>
                <w:szCs w:val="16"/>
                <w:lang w:eastAsia="cs-CZ"/>
              </w:rPr>
            </w:pPr>
            <w:r w:rsidRPr="00DB1559">
              <w:rPr>
                <w:rFonts w:cs="Tahoma"/>
                <w:b/>
                <w:bCs/>
                <w:sz w:val="16"/>
                <w:szCs w:val="16"/>
                <w:lang w:eastAsia="cs-CZ"/>
              </w:rPr>
              <w:t>1995</w:t>
            </w:r>
          </w:p>
        </w:tc>
        <w:tc>
          <w:tcPr>
            <w:tcW w:w="372" w:type="pct"/>
            <w:tcBorders>
              <w:top w:val="nil"/>
              <w:bottom w:val="single" w:sz="8" w:space="0" w:color="C0504D"/>
            </w:tcBorders>
            <w:noWrap/>
            <w:vAlign w:val="center"/>
          </w:tcPr>
          <w:p w:rsidR="009D46E6" w:rsidRPr="00DB1559" w:rsidRDefault="009D46E6" w:rsidP="00DB1559">
            <w:pPr>
              <w:spacing w:line="240" w:lineRule="auto"/>
              <w:jc w:val="center"/>
              <w:rPr>
                <w:rFonts w:cs="Tahoma"/>
                <w:b/>
                <w:bCs/>
                <w:sz w:val="16"/>
                <w:szCs w:val="16"/>
                <w:lang w:eastAsia="cs-CZ"/>
              </w:rPr>
            </w:pPr>
            <w:r w:rsidRPr="00DB1559">
              <w:rPr>
                <w:rFonts w:cs="Tahoma"/>
                <w:b/>
                <w:bCs/>
                <w:sz w:val="16"/>
                <w:szCs w:val="16"/>
                <w:lang w:eastAsia="cs-CZ"/>
              </w:rPr>
              <w:t>2000</w:t>
            </w:r>
          </w:p>
        </w:tc>
        <w:tc>
          <w:tcPr>
            <w:tcW w:w="372" w:type="pct"/>
            <w:tcBorders>
              <w:top w:val="nil"/>
              <w:bottom w:val="single" w:sz="8" w:space="0" w:color="C0504D"/>
            </w:tcBorders>
            <w:noWrap/>
            <w:vAlign w:val="center"/>
          </w:tcPr>
          <w:p w:rsidR="009D46E6" w:rsidRPr="00DB1559" w:rsidRDefault="009D46E6" w:rsidP="00DB1559">
            <w:pPr>
              <w:spacing w:line="240" w:lineRule="auto"/>
              <w:jc w:val="center"/>
              <w:rPr>
                <w:rFonts w:cs="Tahoma"/>
                <w:b/>
                <w:bCs/>
                <w:sz w:val="16"/>
                <w:szCs w:val="16"/>
                <w:lang w:eastAsia="cs-CZ"/>
              </w:rPr>
            </w:pPr>
            <w:r w:rsidRPr="00DB1559">
              <w:rPr>
                <w:rFonts w:cs="Tahoma"/>
                <w:b/>
                <w:bCs/>
                <w:sz w:val="16"/>
                <w:szCs w:val="16"/>
                <w:lang w:eastAsia="cs-CZ"/>
              </w:rPr>
              <w:t>2005</w:t>
            </w:r>
          </w:p>
        </w:tc>
        <w:tc>
          <w:tcPr>
            <w:tcW w:w="372" w:type="pct"/>
            <w:tcBorders>
              <w:top w:val="nil"/>
              <w:bottom w:val="single" w:sz="8" w:space="0" w:color="C0504D"/>
            </w:tcBorders>
            <w:noWrap/>
            <w:vAlign w:val="center"/>
          </w:tcPr>
          <w:p w:rsidR="009D46E6" w:rsidRPr="00DB1559" w:rsidRDefault="009D46E6" w:rsidP="00DB1559">
            <w:pPr>
              <w:spacing w:line="240" w:lineRule="auto"/>
              <w:jc w:val="center"/>
              <w:rPr>
                <w:rFonts w:cs="Tahoma"/>
                <w:b/>
                <w:bCs/>
                <w:sz w:val="16"/>
                <w:szCs w:val="16"/>
                <w:lang w:eastAsia="cs-CZ"/>
              </w:rPr>
            </w:pPr>
            <w:r w:rsidRPr="00DB1559">
              <w:rPr>
                <w:rFonts w:cs="Tahoma"/>
                <w:b/>
                <w:bCs/>
                <w:sz w:val="16"/>
                <w:szCs w:val="16"/>
                <w:lang w:eastAsia="cs-CZ"/>
              </w:rPr>
              <w:t>2007</w:t>
            </w:r>
          </w:p>
        </w:tc>
        <w:tc>
          <w:tcPr>
            <w:tcW w:w="372" w:type="pct"/>
            <w:tcBorders>
              <w:top w:val="nil"/>
              <w:bottom w:val="single" w:sz="8" w:space="0" w:color="C0504D"/>
            </w:tcBorders>
            <w:noWrap/>
            <w:vAlign w:val="center"/>
          </w:tcPr>
          <w:p w:rsidR="009D46E6" w:rsidRPr="00DB1559" w:rsidRDefault="009D46E6" w:rsidP="00DB1559">
            <w:pPr>
              <w:spacing w:line="240" w:lineRule="auto"/>
              <w:jc w:val="center"/>
              <w:rPr>
                <w:rFonts w:cs="Tahoma"/>
                <w:b/>
                <w:bCs/>
                <w:sz w:val="16"/>
                <w:szCs w:val="16"/>
                <w:lang w:eastAsia="cs-CZ"/>
              </w:rPr>
            </w:pPr>
            <w:r w:rsidRPr="00DB1559">
              <w:rPr>
                <w:rFonts w:cs="Tahoma"/>
                <w:b/>
                <w:bCs/>
                <w:sz w:val="16"/>
                <w:szCs w:val="16"/>
                <w:lang w:eastAsia="cs-CZ"/>
              </w:rPr>
              <w:t>2009</w:t>
            </w:r>
          </w:p>
        </w:tc>
        <w:tc>
          <w:tcPr>
            <w:tcW w:w="372" w:type="pct"/>
            <w:tcBorders>
              <w:top w:val="nil"/>
              <w:bottom w:val="single" w:sz="8" w:space="0" w:color="C0504D"/>
            </w:tcBorders>
            <w:noWrap/>
            <w:vAlign w:val="center"/>
          </w:tcPr>
          <w:p w:rsidR="009D46E6" w:rsidRPr="00DB1559" w:rsidRDefault="009D46E6" w:rsidP="00DB1559">
            <w:pPr>
              <w:spacing w:line="240" w:lineRule="auto"/>
              <w:jc w:val="center"/>
              <w:rPr>
                <w:rFonts w:cs="Tahoma"/>
                <w:b/>
                <w:bCs/>
                <w:sz w:val="16"/>
                <w:szCs w:val="16"/>
                <w:lang w:eastAsia="cs-CZ"/>
              </w:rPr>
            </w:pPr>
            <w:r w:rsidRPr="00DB1559">
              <w:rPr>
                <w:rFonts w:cs="Tahoma"/>
                <w:b/>
                <w:bCs/>
                <w:sz w:val="16"/>
                <w:szCs w:val="16"/>
                <w:lang w:eastAsia="cs-CZ"/>
              </w:rPr>
              <w:t>2010</w:t>
            </w:r>
          </w:p>
        </w:tc>
        <w:tc>
          <w:tcPr>
            <w:tcW w:w="372" w:type="pct"/>
            <w:tcBorders>
              <w:top w:val="nil"/>
              <w:bottom w:val="single" w:sz="8" w:space="0" w:color="C0504D"/>
            </w:tcBorders>
            <w:noWrap/>
            <w:vAlign w:val="center"/>
          </w:tcPr>
          <w:p w:rsidR="009D46E6" w:rsidRPr="00DB1559" w:rsidRDefault="009D46E6" w:rsidP="00DB1559">
            <w:pPr>
              <w:spacing w:line="240" w:lineRule="auto"/>
              <w:jc w:val="center"/>
              <w:rPr>
                <w:rFonts w:cs="Tahoma"/>
                <w:b/>
                <w:bCs/>
                <w:sz w:val="16"/>
                <w:szCs w:val="16"/>
                <w:lang w:eastAsia="cs-CZ"/>
              </w:rPr>
            </w:pPr>
            <w:r w:rsidRPr="00DB1559">
              <w:rPr>
                <w:rFonts w:cs="Tahoma"/>
                <w:b/>
                <w:bCs/>
                <w:sz w:val="16"/>
                <w:szCs w:val="16"/>
                <w:lang w:eastAsia="cs-CZ"/>
              </w:rPr>
              <w:t>2011</w:t>
            </w:r>
          </w:p>
        </w:tc>
        <w:tc>
          <w:tcPr>
            <w:tcW w:w="372" w:type="pct"/>
            <w:tcBorders>
              <w:top w:val="nil"/>
              <w:bottom w:val="single" w:sz="8" w:space="0" w:color="C0504D"/>
              <w:right w:val="single" w:sz="8" w:space="0" w:color="C0504D"/>
            </w:tcBorders>
            <w:noWrap/>
            <w:vAlign w:val="center"/>
          </w:tcPr>
          <w:p w:rsidR="009D46E6" w:rsidRPr="00DB1559" w:rsidRDefault="009D46E6" w:rsidP="00DB1559">
            <w:pPr>
              <w:spacing w:line="240" w:lineRule="auto"/>
              <w:jc w:val="center"/>
              <w:rPr>
                <w:rFonts w:cs="Tahoma"/>
                <w:b/>
                <w:bCs/>
                <w:sz w:val="16"/>
                <w:szCs w:val="16"/>
                <w:lang w:eastAsia="cs-CZ"/>
              </w:rPr>
            </w:pPr>
            <w:r w:rsidRPr="00DB1559">
              <w:rPr>
                <w:rFonts w:cs="Tahoma"/>
                <w:b/>
                <w:bCs/>
                <w:sz w:val="16"/>
                <w:szCs w:val="16"/>
                <w:lang w:eastAsia="cs-CZ"/>
              </w:rPr>
              <w:t>2012</w:t>
            </w:r>
          </w:p>
        </w:tc>
        <w:tc>
          <w:tcPr>
            <w:tcW w:w="368" w:type="pct"/>
            <w:tcBorders>
              <w:top w:val="nil"/>
              <w:left w:val="single" w:sz="8" w:space="0" w:color="C0504D"/>
              <w:bottom w:val="single" w:sz="8" w:space="0" w:color="C0504D"/>
            </w:tcBorders>
            <w:noWrap/>
            <w:vAlign w:val="center"/>
          </w:tcPr>
          <w:p w:rsidR="009D46E6" w:rsidRPr="00DB1559" w:rsidRDefault="009D46E6" w:rsidP="00DB1559">
            <w:pPr>
              <w:spacing w:line="240" w:lineRule="auto"/>
              <w:jc w:val="center"/>
              <w:rPr>
                <w:rFonts w:cs="Tahoma"/>
                <w:b/>
                <w:bCs/>
                <w:sz w:val="16"/>
                <w:szCs w:val="16"/>
                <w:lang w:eastAsia="cs-CZ"/>
              </w:rPr>
            </w:pPr>
            <w:r w:rsidRPr="00DB1559">
              <w:rPr>
                <w:rFonts w:cs="Tahoma"/>
                <w:b/>
                <w:bCs/>
                <w:sz w:val="16"/>
                <w:szCs w:val="16"/>
                <w:lang w:eastAsia="cs-CZ"/>
              </w:rPr>
              <w:t xml:space="preserve">EU28 </w:t>
            </w:r>
            <w:r w:rsidRPr="00DB1559">
              <w:rPr>
                <w:rFonts w:cs="Tahoma"/>
                <w:b/>
                <w:bCs/>
                <w:sz w:val="12"/>
                <w:szCs w:val="10"/>
                <w:lang w:eastAsia="cs-CZ"/>
              </w:rPr>
              <w:t>(2012)</w:t>
            </w:r>
          </w:p>
        </w:tc>
      </w:tr>
      <w:tr w:rsidR="009D46E6" w:rsidRPr="00DB1559" w:rsidTr="00DB1559">
        <w:trPr>
          <w:trHeight w:val="340"/>
          <w:jc w:val="center"/>
        </w:trPr>
        <w:tc>
          <w:tcPr>
            <w:tcW w:w="1656" w:type="pct"/>
            <w:shd w:val="clear" w:color="auto" w:fill="EFD3D2"/>
            <w:noWrap/>
            <w:vAlign w:val="center"/>
          </w:tcPr>
          <w:p w:rsidR="009D46E6" w:rsidRPr="00DB1559" w:rsidRDefault="009D46E6" w:rsidP="00DB1559">
            <w:pPr>
              <w:spacing w:line="240" w:lineRule="auto"/>
              <w:jc w:val="left"/>
              <w:rPr>
                <w:rFonts w:cs="Tahoma"/>
                <w:b/>
                <w:bCs/>
                <w:sz w:val="16"/>
                <w:szCs w:val="16"/>
                <w:lang w:eastAsia="cs-CZ"/>
              </w:rPr>
            </w:pPr>
            <w:r w:rsidRPr="00DB1559">
              <w:rPr>
                <w:rFonts w:cs="Tahoma"/>
                <w:bCs/>
                <w:sz w:val="16"/>
                <w:szCs w:val="16"/>
                <w:lang w:eastAsia="cs-CZ"/>
              </w:rPr>
              <w:t>HDP na 1 obyvatele v PPS (EU28=100)</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77,0</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71,0</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79,0</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83,0</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83,0</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80,0</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80,0</w:t>
            </w:r>
          </w:p>
        </w:tc>
        <w:tc>
          <w:tcPr>
            <w:tcW w:w="372" w:type="pct"/>
            <w:tcBorders>
              <w:right w:val="single" w:sz="8" w:space="0" w:color="C0504D"/>
            </w:tcBorders>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79,0</w:t>
            </w:r>
          </w:p>
        </w:tc>
        <w:tc>
          <w:tcPr>
            <w:tcW w:w="368" w:type="pct"/>
            <w:tcBorders>
              <w:left w:val="single" w:sz="8" w:space="0" w:color="C0504D"/>
            </w:tcBorders>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100,0</w:t>
            </w:r>
          </w:p>
        </w:tc>
      </w:tr>
      <w:tr w:rsidR="009D46E6" w:rsidRPr="00DB1559" w:rsidTr="00DB1559">
        <w:trPr>
          <w:trHeight w:val="567"/>
          <w:jc w:val="center"/>
        </w:trPr>
        <w:tc>
          <w:tcPr>
            <w:tcW w:w="1656" w:type="pct"/>
            <w:noWrap/>
            <w:vAlign w:val="center"/>
          </w:tcPr>
          <w:p w:rsidR="009D46E6" w:rsidRPr="00DB1559" w:rsidRDefault="009D46E6" w:rsidP="00DB1559">
            <w:pPr>
              <w:spacing w:line="240" w:lineRule="auto"/>
              <w:jc w:val="left"/>
              <w:rPr>
                <w:rFonts w:cs="Tahoma"/>
                <w:b/>
                <w:bCs/>
                <w:sz w:val="16"/>
                <w:szCs w:val="16"/>
                <w:lang w:eastAsia="cs-CZ"/>
              </w:rPr>
            </w:pPr>
            <w:r w:rsidRPr="00DB1559">
              <w:rPr>
                <w:rFonts w:cs="Tahoma"/>
                <w:bCs/>
                <w:sz w:val="16"/>
                <w:szCs w:val="16"/>
                <w:lang w:eastAsia="cs-CZ"/>
              </w:rPr>
              <w:t>Míra růstu reálného HDP (v %; v cenách předchozího roku)</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6,2</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4,2</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6,8</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5,7</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-4,5</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2,5</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1,9</w:t>
            </w:r>
          </w:p>
        </w:tc>
        <w:tc>
          <w:tcPr>
            <w:tcW w:w="372" w:type="pct"/>
            <w:tcBorders>
              <w:right w:val="single" w:sz="8" w:space="0" w:color="C0504D"/>
            </w:tcBorders>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-1,3</w:t>
            </w:r>
          </w:p>
        </w:tc>
        <w:tc>
          <w:tcPr>
            <w:tcW w:w="368" w:type="pct"/>
            <w:tcBorders>
              <w:left w:val="single" w:sz="8" w:space="0" w:color="C0504D"/>
            </w:tcBorders>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-0,4</w:t>
            </w:r>
          </w:p>
        </w:tc>
      </w:tr>
      <w:tr w:rsidR="009D46E6" w:rsidRPr="00DB1559" w:rsidTr="00DB1559">
        <w:trPr>
          <w:trHeight w:val="567"/>
          <w:jc w:val="center"/>
        </w:trPr>
        <w:tc>
          <w:tcPr>
            <w:tcW w:w="1656" w:type="pct"/>
            <w:shd w:val="clear" w:color="auto" w:fill="EFD3D2"/>
            <w:noWrap/>
            <w:vAlign w:val="center"/>
          </w:tcPr>
          <w:p w:rsidR="009D46E6" w:rsidRPr="00DB1559" w:rsidRDefault="009D46E6" w:rsidP="00DB1559">
            <w:pPr>
              <w:spacing w:line="240" w:lineRule="auto"/>
              <w:jc w:val="left"/>
              <w:rPr>
                <w:rFonts w:cs="Tahoma"/>
                <w:b/>
                <w:bCs/>
                <w:sz w:val="16"/>
                <w:szCs w:val="16"/>
                <w:lang w:eastAsia="cs-CZ"/>
              </w:rPr>
            </w:pPr>
            <w:r w:rsidRPr="00DB1559">
              <w:rPr>
                <w:rFonts w:cs="Tahoma"/>
                <w:bCs/>
                <w:sz w:val="16"/>
                <w:szCs w:val="16"/>
                <w:lang w:eastAsia="cs-CZ"/>
              </w:rPr>
              <w:t>Produktivita práce na 1 zaměstnanou osobu (PPS; EU28=99,9)</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64,4</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65,6</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72,9</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76,2</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75,8</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73,5</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73,8</w:t>
            </w:r>
          </w:p>
        </w:tc>
        <w:tc>
          <w:tcPr>
            <w:tcW w:w="372" w:type="pct"/>
            <w:tcBorders>
              <w:right w:val="single" w:sz="8" w:space="0" w:color="C0504D"/>
            </w:tcBorders>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72,0</w:t>
            </w:r>
          </w:p>
        </w:tc>
        <w:tc>
          <w:tcPr>
            <w:tcW w:w="368" w:type="pct"/>
            <w:tcBorders>
              <w:left w:val="single" w:sz="8" w:space="0" w:color="C0504D"/>
            </w:tcBorders>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99,9</w:t>
            </w:r>
          </w:p>
        </w:tc>
      </w:tr>
      <w:tr w:rsidR="009D46E6" w:rsidRPr="00DB1559" w:rsidTr="00DB1559">
        <w:trPr>
          <w:trHeight w:val="340"/>
          <w:jc w:val="center"/>
        </w:trPr>
        <w:tc>
          <w:tcPr>
            <w:tcW w:w="1656" w:type="pct"/>
            <w:noWrap/>
            <w:vAlign w:val="center"/>
          </w:tcPr>
          <w:p w:rsidR="009D46E6" w:rsidRPr="00DB1559" w:rsidRDefault="009D46E6" w:rsidP="00DB1559">
            <w:pPr>
              <w:spacing w:line="240" w:lineRule="auto"/>
              <w:jc w:val="left"/>
              <w:rPr>
                <w:rFonts w:cs="Tahoma"/>
                <w:b/>
                <w:bCs/>
                <w:sz w:val="16"/>
                <w:szCs w:val="16"/>
                <w:lang w:eastAsia="cs-CZ"/>
              </w:rPr>
            </w:pPr>
            <w:r w:rsidRPr="00DB1559">
              <w:rPr>
                <w:rFonts w:cs="Tahoma"/>
                <w:bCs/>
                <w:sz w:val="16"/>
                <w:szCs w:val="16"/>
                <w:lang w:eastAsia="cs-CZ"/>
              </w:rPr>
              <w:t>Celkový vládní dluh (v % HDP)</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14,0</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17,8</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28,4</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27,9</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34,2</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37,8</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40,8</w:t>
            </w:r>
          </w:p>
        </w:tc>
        <w:tc>
          <w:tcPr>
            <w:tcW w:w="372" w:type="pct"/>
            <w:tcBorders>
              <w:right w:val="single" w:sz="8" w:space="0" w:color="C0504D"/>
            </w:tcBorders>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45,8</w:t>
            </w:r>
          </w:p>
        </w:tc>
        <w:tc>
          <w:tcPr>
            <w:tcW w:w="368" w:type="pct"/>
            <w:tcBorders>
              <w:left w:val="single" w:sz="8" w:space="0" w:color="C0504D"/>
            </w:tcBorders>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85,3</w:t>
            </w:r>
          </w:p>
        </w:tc>
      </w:tr>
      <w:tr w:rsidR="009D46E6" w:rsidRPr="00DB1559" w:rsidTr="00DB1559">
        <w:trPr>
          <w:trHeight w:val="340"/>
          <w:jc w:val="center"/>
        </w:trPr>
        <w:tc>
          <w:tcPr>
            <w:tcW w:w="1656" w:type="pct"/>
            <w:shd w:val="clear" w:color="auto" w:fill="EFD3D2"/>
            <w:noWrap/>
            <w:vAlign w:val="center"/>
          </w:tcPr>
          <w:p w:rsidR="009D46E6" w:rsidRPr="00DB1559" w:rsidRDefault="009D46E6" w:rsidP="00DB1559">
            <w:pPr>
              <w:spacing w:line="240" w:lineRule="auto"/>
              <w:jc w:val="left"/>
              <w:rPr>
                <w:rFonts w:cs="Tahoma"/>
                <w:b/>
                <w:bCs/>
                <w:color w:val="000000"/>
                <w:sz w:val="16"/>
                <w:szCs w:val="16"/>
                <w:lang w:eastAsia="cs-CZ"/>
              </w:rPr>
            </w:pPr>
            <w:r w:rsidRPr="00DB1559">
              <w:rPr>
                <w:rFonts w:cs="Tahoma"/>
                <w:bCs/>
                <w:color w:val="000000"/>
                <w:sz w:val="16"/>
                <w:szCs w:val="16"/>
                <w:lang w:eastAsia="cs-CZ"/>
              </w:rPr>
              <w:t>Přímé zahraniční investice (v % HDP)</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4,4</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4,3</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4,5</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3,3</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1,0</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2,1</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1,5</w:t>
            </w:r>
          </w:p>
        </w:tc>
        <w:tc>
          <w:tcPr>
            <w:tcW w:w="372" w:type="pct"/>
            <w:tcBorders>
              <w:right w:val="single" w:sz="8" w:space="0" w:color="C0504D"/>
            </w:tcBorders>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5,4</w:t>
            </w:r>
          </w:p>
        </w:tc>
        <w:tc>
          <w:tcPr>
            <w:tcW w:w="368" w:type="pct"/>
            <w:tcBorders>
              <w:left w:val="single" w:sz="8" w:space="0" w:color="C0504D"/>
            </w:tcBorders>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2,4</w:t>
            </w:r>
          </w:p>
          <w:p w:rsidR="009D46E6" w:rsidRPr="00DB1559" w:rsidRDefault="009D46E6" w:rsidP="00DB1559">
            <w:pPr>
              <w:jc w:val="center"/>
              <w:rPr>
                <w:rFonts w:cs="Tahoma"/>
                <w:color w:val="000000"/>
                <w:sz w:val="16"/>
                <w:szCs w:val="16"/>
              </w:rPr>
            </w:pPr>
            <w:r w:rsidRPr="00DB1559">
              <w:rPr>
                <w:rFonts w:cs="Tahoma"/>
                <w:sz w:val="12"/>
                <w:szCs w:val="16"/>
                <w:lang w:eastAsia="cs-CZ"/>
              </w:rPr>
              <w:t>(2011)</w:t>
            </w:r>
          </w:p>
        </w:tc>
      </w:tr>
      <w:tr w:rsidR="009D46E6" w:rsidRPr="00DB1559" w:rsidTr="00DB1559">
        <w:trPr>
          <w:trHeight w:val="340"/>
          <w:jc w:val="center"/>
        </w:trPr>
        <w:tc>
          <w:tcPr>
            <w:tcW w:w="1656" w:type="pct"/>
            <w:noWrap/>
            <w:vAlign w:val="center"/>
          </w:tcPr>
          <w:p w:rsidR="009D46E6" w:rsidRPr="00DB1559" w:rsidRDefault="009D46E6" w:rsidP="00DB1559">
            <w:pPr>
              <w:spacing w:line="240" w:lineRule="auto"/>
              <w:jc w:val="left"/>
              <w:rPr>
                <w:rFonts w:cs="Tahoma"/>
                <w:b/>
                <w:bCs/>
                <w:sz w:val="16"/>
                <w:szCs w:val="16"/>
                <w:lang w:eastAsia="cs-CZ"/>
              </w:rPr>
            </w:pPr>
            <w:r w:rsidRPr="00DB1559">
              <w:rPr>
                <w:rFonts w:cs="Tahoma"/>
                <w:bCs/>
                <w:sz w:val="16"/>
                <w:szCs w:val="16"/>
                <w:lang w:eastAsia="cs-CZ"/>
              </w:rPr>
              <w:t>Míra inflace (v %)</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9,1</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3,9</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1,6</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3,0</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0,6</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1,2</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2,1</w:t>
            </w:r>
          </w:p>
        </w:tc>
        <w:tc>
          <w:tcPr>
            <w:tcW w:w="372" w:type="pct"/>
            <w:tcBorders>
              <w:right w:val="single" w:sz="8" w:space="0" w:color="C0504D"/>
            </w:tcBorders>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3,5</w:t>
            </w:r>
          </w:p>
        </w:tc>
        <w:tc>
          <w:tcPr>
            <w:tcW w:w="368" w:type="pct"/>
            <w:tcBorders>
              <w:left w:val="single" w:sz="8" w:space="0" w:color="C0504D"/>
            </w:tcBorders>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2,6</w:t>
            </w:r>
          </w:p>
        </w:tc>
      </w:tr>
      <w:tr w:rsidR="009D46E6" w:rsidRPr="00DB1559" w:rsidTr="00DB1559">
        <w:trPr>
          <w:trHeight w:val="340"/>
          <w:jc w:val="center"/>
        </w:trPr>
        <w:tc>
          <w:tcPr>
            <w:tcW w:w="1656" w:type="pct"/>
            <w:shd w:val="clear" w:color="auto" w:fill="EFD3D2"/>
            <w:noWrap/>
            <w:vAlign w:val="center"/>
          </w:tcPr>
          <w:p w:rsidR="009D46E6" w:rsidRPr="00DB1559" w:rsidRDefault="009D46E6" w:rsidP="00DB1559">
            <w:pPr>
              <w:spacing w:line="240" w:lineRule="auto"/>
              <w:jc w:val="left"/>
              <w:rPr>
                <w:rFonts w:cs="Tahoma"/>
                <w:b/>
                <w:bCs/>
                <w:sz w:val="16"/>
                <w:szCs w:val="16"/>
                <w:lang w:eastAsia="cs-CZ"/>
              </w:rPr>
            </w:pPr>
            <w:r w:rsidRPr="00DB1559">
              <w:rPr>
                <w:rFonts w:cs="Tahoma"/>
                <w:bCs/>
                <w:sz w:val="16"/>
                <w:szCs w:val="16"/>
                <w:lang w:eastAsia="cs-CZ"/>
              </w:rPr>
              <w:t>Komparativní cenová úroveň (EU28=99,9)</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38,1</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48,1</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58,2</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62,4</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73,1</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75,2</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76,7</w:t>
            </w:r>
          </w:p>
        </w:tc>
        <w:tc>
          <w:tcPr>
            <w:tcW w:w="372" w:type="pct"/>
            <w:tcBorders>
              <w:right w:val="single" w:sz="8" w:space="0" w:color="C0504D"/>
            </w:tcBorders>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74,5</w:t>
            </w:r>
          </w:p>
        </w:tc>
        <w:tc>
          <w:tcPr>
            <w:tcW w:w="368" w:type="pct"/>
            <w:tcBorders>
              <w:left w:val="single" w:sz="8" w:space="0" w:color="C0504D"/>
            </w:tcBorders>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99,9</w:t>
            </w:r>
          </w:p>
        </w:tc>
      </w:tr>
      <w:tr w:rsidR="009D46E6" w:rsidRPr="00DB1559" w:rsidTr="00DB1559">
        <w:trPr>
          <w:trHeight w:val="340"/>
          <w:jc w:val="center"/>
        </w:trPr>
        <w:tc>
          <w:tcPr>
            <w:tcW w:w="1656" w:type="pct"/>
            <w:noWrap/>
            <w:vAlign w:val="center"/>
          </w:tcPr>
          <w:p w:rsidR="009D46E6" w:rsidRPr="00DB1559" w:rsidRDefault="009D46E6" w:rsidP="00DB1559">
            <w:pPr>
              <w:spacing w:line="240" w:lineRule="auto"/>
              <w:jc w:val="left"/>
              <w:rPr>
                <w:rFonts w:cs="Tahoma"/>
                <w:b/>
                <w:bCs/>
                <w:sz w:val="16"/>
                <w:szCs w:val="16"/>
                <w:lang w:eastAsia="cs-CZ"/>
              </w:rPr>
            </w:pPr>
            <w:r w:rsidRPr="00DB1559">
              <w:rPr>
                <w:rFonts w:cs="Tahoma"/>
                <w:bCs/>
                <w:sz w:val="16"/>
                <w:szCs w:val="16"/>
                <w:lang w:eastAsia="cs-CZ"/>
              </w:rPr>
              <w:t>Míra zaměstnanosti (v %)</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69,4</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65,0</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64,8</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66,1</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65,4</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65,0</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65,7</w:t>
            </w:r>
          </w:p>
        </w:tc>
        <w:tc>
          <w:tcPr>
            <w:tcW w:w="372" w:type="pct"/>
            <w:tcBorders>
              <w:right w:val="single" w:sz="8" w:space="0" w:color="C0504D"/>
            </w:tcBorders>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66,5</w:t>
            </w:r>
          </w:p>
        </w:tc>
        <w:tc>
          <w:tcPr>
            <w:tcW w:w="368" w:type="pct"/>
            <w:tcBorders>
              <w:left w:val="single" w:sz="8" w:space="0" w:color="C0504D"/>
            </w:tcBorders>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64,1</w:t>
            </w:r>
          </w:p>
        </w:tc>
      </w:tr>
      <w:tr w:rsidR="009D46E6" w:rsidRPr="00DB1559" w:rsidTr="00DB1559">
        <w:trPr>
          <w:trHeight w:val="340"/>
          <w:jc w:val="center"/>
        </w:trPr>
        <w:tc>
          <w:tcPr>
            <w:tcW w:w="1656" w:type="pct"/>
            <w:shd w:val="clear" w:color="auto" w:fill="EFD3D2"/>
            <w:noWrap/>
            <w:vAlign w:val="center"/>
          </w:tcPr>
          <w:p w:rsidR="009D46E6" w:rsidRPr="00DB1559" w:rsidRDefault="009D46E6" w:rsidP="00DB1559">
            <w:pPr>
              <w:spacing w:line="240" w:lineRule="auto"/>
              <w:jc w:val="left"/>
              <w:rPr>
                <w:rFonts w:cs="Tahoma"/>
                <w:b/>
                <w:bCs/>
                <w:sz w:val="16"/>
                <w:szCs w:val="16"/>
                <w:lang w:eastAsia="cs-CZ"/>
              </w:rPr>
            </w:pPr>
            <w:r w:rsidRPr="00DB1559">
              <w:rPr>
                <w:rFonts w:cs="Tahoma"/>
                <w:bCs/>
                <w:sz w:val="16"/>
                <w:szCs w:val="16"/>
                <w:lang w:eastAsia="cs-CZ"/>
              </w:rPr>
              <w:t>Míra nezaměstnanosti (v %)</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4,0</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8,8</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7,9</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5,3</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6,7</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7,3</w:t>
            </w:r>
          </w:p>
        </w:tc>
        <w:tc>
          <w:tcPr>
            <w:tcW w:w="372" w:type="pct"/>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6,7</w:t>
            </w:r>
          </w:p>
        </w:tc>
        <w:tc>
          <w:tcPr>
            <w:tcW w:w="372" w:type="pct"/>
            <w:tcBorders>
              <w:right w:val="single" w:sz="8" w:space="0" w:color="C0504D"/>
            </w:tcBorders>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7,0</w:t>
            </w:r>
          </w:p>
        </w:tc>
        <w:tc>
          <w:tcPr>
            <w:tcW w:w="368" w:type="pct"/>
            <w:tcBorders>
              <w:left w:val="single" w:sz="8" w:space="0" w:color="C0504D"/>
            </w:tcBorders>
            <w:shd w:val="clear" w:color="auto" w:fill="EFD3D2"/>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10,5</w:t>
            </w:r>
          </w:p>
        </w:tc>
      </w:tr>
      <w:tr w:rsidR="009D46E6" w:rsidRPr="00DB1559" w:rsidTr="00DB1559">
        <w:trPr>
          <w:trHeight w:val="340"/>
          <w:jc w:val="center"/>
        </w:trPr>
        <w:tc>
          <w:tcPr>
            <w:tcW w:w="1656" w:type="pct"/>
            <w:noWrap/>
            <w:vAlign w:val="center"/>
          </w:tcPr>
          <w:p w:rsidR="009D46E6" w:rsidRPr="00DB1559" w:rsidRDefault="009D46E6" w:rsidP="00DB1559">
            <w:pPr>
              <w:spacing w:line="240" w:lineRule="auto"/>
              <w:jc w:val="left"/>
              <w:rPr>
                <w:rFonts w:cs="Tahoma"/>
                <w:b/>
                <w:bCs/>
                <w:sz w:val="16"/>
                <w:szCs w:val="16"/>
                <w:lang w:eastAsia="cs-CZ"/>
              </w:rPr>
            </w:pPr>
            <w:r w:rsidRPr="00DB1559">
              <w:rPr>
                <w:rFonts w:cs="Tahoma"/>
                <w:bCs/>
                <w:sz w:val="16"/>
                <w:szCs w:val="16"/>
                <w:lang w:eastAsia="cs-CZ"/>
              </w:rPr>
              <w:t>Míra dlouhodobé nezaměstnanosti (v %)</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1,1</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4,3</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4,2</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2,8</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2,0</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3,0</w:t>
            </w:r>
          </w:p>
        </w:tc>
        <w:tc>
          <w:tcPr>
            <w:tcW w:w="372" w:type="pct"/>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2,7</w:t>
            </w:r>
          </w:p>
        </w:tc>
        <w:tc>
          <w:tcPr>
            <w:tcW w:w="372" w:type="pct"/>
            <w:tcBorders>
              <w:right w:val="single" w:sz="8" w:space="0" w:color="C0504D"/>
            </w:tcBorders>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3,0</w:t>
            </w:r>
          </w:p>
        </w:tc>
        <w:tc>
          <w:tcPr>
            <w:tcW w:w="368" w:type="pct"/>
            <w:tcBorders>
              <w:left w:val="single" w:sz="8" w:space="0" w:color="C0504D"/>
            </w:tcBorders>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4,7</w:t>
            </w:r>
          </w:p>
        </w:tc>
      </w:tr>
      <w:tr w:rsidR="009D46E6" w:rsidRPr="00DB1559" w:rsidTr="00DB1559">
        <w:trPr>
          <w:trHeight w:val="340"/>
          <w:jc w:val="center"/>
        </w:trPr>
        <w:tc>
          <w:tcPr>
            <w:tcW w:w="1656" w:type="pct"/>
            <w:shd w:val="clear" w:color="auto" w:fill="EFD3D2"/>
            <w:noWrap/>
            <w:vAlign w:val="center"/>
          </w:tcPr>
          <w:p w:rsidR="009D46E6" w:rsidRPr="00DB1559" w:rsidRDefault="009D46E6" w:rsidP="00DB1559">
            <w:pPr>
              <w:spacing w:line="240" w:lineRule="auto"/>
              <w:jc w:val="left"/>
              <w:rPr>
                <w:rFonts w:cs="Tahoma"/>
                <w:b/>
                <w:bCs/>
                <w:sz w:val="16"/>
                <w:szCs w:val="16"/>
                <w:lang w:eastAsia="cs-CZ"/>
              </w:rPr>
            </w:pPr>
            <w:r w:rsidRPr="00DB1559">
              <w:rPr>
                <w:rFonts w:cs="Tahoma"/>
                <w:bCs/>
                <w:sz w:val="16"/>
                <w:szCs w:val="16"/>
                <w:lang w:eastAsia="cs-CZ"/>
              </w:rPr>
              <w:t>Veřejné výdaje na vzdělávání (v % HDP)</w:t>
            </w:r>
          </w:p>
        </w:tc>
        <w:tc>
          <w:tcPr>
            <w:tcW w:w="372" w:type="pct"/>
            <w:shd w:val="clear" w:color="auto" w:fill="EFD3D2"/>
            <w:noWrap/>
            <w:vAlign w:val="center"/>
          </w:tcPr>
          <w:p w:rsidR="009D46E6" w:rsidRPr="00DB1559" w:rsidRDefault="009D46E6" w:rsidP="00DB1559">
            <w:pPr>
              <w:spacing w:line="240" w:lineRule="auto"/>
              <w:jc w:val="center"/>
              <w:rPr>
                <w:rFonts w:cs="Tahoma"/>
                <w:sz w:val="16"/>
                <w:szCs w:val="16"/>
                <w:lang w:eastAsia="cs-CZ"/>
              </w:rPr>
            </w:pPr>
            <w:r w:rsidRPr="00DB1559">
              <w:rPr>
                <w:rFonts w:cs="Tahoma"/>
                <w:sz w:val="16"/>
                <w:szCs w:val="16"/>
                <w:lang w:eastAsia="cs-CZ"/>
              </w:rPr>
              <w:t xml:space="preserve">4,7 </w:t>
            </w:r>
            <w:r w:rsidRPr="00DB1559">
              <w:rPr>
                <w:rFonts w:cs="Tahoma"/>
                <w:sz w:val="12"/>
                <w:szCs w:val="16"/>
                <w:lang w:eastAsia="cs-CZ"/>
              </w:rPr>
              <w:t>(1996)</w:t>
            </w:r>
          </w:p>
        </w:tc>
        <w:tc>
          <w:tcPr>
            <w:tcW w:w="372" w:type="pct"/>
            <w:shd w:val="clear" w:color="auto" w:fill="EFD3D2"/>
            <w:noWrap/>
            <w:vAlign w:val="center"/>
          </w:tcPr>
          <w:p w:rsidR="009D46E6" w:rsidRPr="00DB1559" w:rsidRDefault="009D46E6" w:rsidP="00DB1559">
            <w:pPr>
              <w:jc w:val="center"/>
              <w:rPr>
                <w:rFonts w:cs="Tahoma"/>
                <w:sz w:val="16"/>
                <w:szCs w:val="16"/>
              </w:rPr>
            </w:pPr>
            <w:r w:rsidRPr="00DB1559">
              <w:rPr>
                <w:rFonts w:cs="Tahoma"/>
                <w:sz w:val="16"/>
                <w:szCs w:val="16"/>
              </w:rPr>
              <w:t>4,0</w:t>
            </w:r>
          </w:p>
        </w:tc>
        <w:tc>
          <w:tcPr>
            <w:tcW w:w="372" w:type="pct"/>
            <w:shd w:val="clear" w:color="auto" w:fill="EFD3D2"/>
            <w:noWrap/>
            <w:vAlign w:val="center"/>
          </w:tcPr>
          <w:p w:rsidR="009D46E6" w:rsidRPr="00DB1559" w:rsidRDefault="009D46E6" w:rsidP="00DB1559">
            <w:pPr>
              <w:jc w:val="center"/>
              <w:rPr>
                <w:rFonts w:cs="Tahoma"/>
                <w:sz w:val="16"/>
                <w:szCs w:val="16"/>
              </w:rPr>
            </w:pPr>
            <w:r w:rsidRPr="00DB1559">
              <w:rPr>
                <w:rFonts w:cs="Tahoma"/>
                <w:sz w:val="16"/>
                <w:szCs w:val="16"/>
              </w:rPr>
              <w:t>4,1</w:t>
            </w:r>
          </w:p>
        </w:tc>
        <w:tc>
          <w:tcPr>
            <w:tcW w:w="372" w:type="pct"/>
            <w:shd w:val="clear" w:color="auto" w:fill="EFD3D2"/>
            <w:noWrap/>
            <w:vAlign w:val="center"/>
          </w:tcPr>
          <w:p w:rsidR="009D46E6" w:rsidRPr="00DB1559" w:rsidRDefault="009D46E6" w:rsidP="00DB1559">
            <w:pPr>
              <w:jc w:val="center"/>
              <w:rPr>
                <w:rFonts w:cs="Tahoma"/>
                <w:sz w:val="16"/>
                <w:szCs w:val="16"/>
              </w:rPr>
            </w:pPr>
            <w:r w:rsidRPr="00DB1559">
              <w:rPr>
                <w:rFonts w:cs="Tahoma"/>
                <w:sz w:val="16"/>
                <w:szCs w:val="16"/>
              </w:rPr>
              <w:t>4,1</w:t>
            </w:r>
          </w:p>
        </w:tc>
        <w:tc>
          <w:tcPr>
            <w:tcW w:w="372" w:type="pct"/>
            <w:shd w:val="clear" w:color="auto" w:fill="EFD3D2"/>
            <w:noWrap/>
            <w:vAlign w:val="center"/>
          </w:tcPr>
          <w:p w:rsidR="009D46E6" w:rsidRPr="00DB1559" w:rsidRDefault="009D46E6" w:rsidP="00DB1559">
            <w:pPr>
              <w:jc w:val="center"/>
              <w:rPr>
                <w:rFonts w:cs="Tahoma"/>
                <w:sz w:val="16"/>
                <w:szCs w:val="16"/>
              </w:rPr>
            </w:pPr>
            <w:r w:rsidRPr="00DB1559">
              <w:rPr>
                <w:rFonts w:cs="Tahoma"/>
                <w:sz w:val="16"/>
                <w:szCs w:val="16"/>
              </w:rPr>
              <w:t>4,4</w:t>
            </w:r>
          </w:p>
        </w:tc>
        <w:tc>
          <w:tcPr>
            <w:tcW w:w="372" w:type="pct"/>
            <w:shd w:val="clear" w:color="auto" w:fill="EFD3D2"/>
            <w:noWrap/>
            <w:vAlign w:val="center"/>
          </w:tcPr>
          <w:p w:rsidR="009D46E6" w:rsidRPr="00DB1559" w:rsidRDefault="009D46E6" w:rsidP="00DB1559">
            <w:pPr>
              <w:jc w:val="center"/>
              <w:rPr>
                <w:rFonts w:cs="Tahoma"/>
                <w:sz w:val="16"/>
                <w:szCs w:val="16"/>
              </w:rPr>
            </w:pPr>
            <w:r w:rsidRPr="00DB1559">
              <w:rPr>
                <w:rFonts w:cs="Tahoma"/>
                <w:sz w:val="16"/>
                <w:szCs w:val="16"/>
              </w:rPr>
              <w:t>4,2</w:t>
            </w:r>
          </w:p>
        </w:tc>
        <w:tc>
          <w:tcPr>
            <w:tcW w:w="372" w:type="pct"/>
            <w:shd w:val="clear" w:color="auto" w:fill="EFD3D2"/>
            <w:noWrap/>
            <w:vAlign w:val="center"/>
          </w:tcPr>
          <w:p w:rsidR="009D46E6" w:rsidRPr="00DB1559" w:rsidRDefault="009D46E6" w:rsidP="00DB1559">
            <w:pPr>
              <w:jc w:val="center"/>
              <w:rPr>
                <w:rFonts w:cs="Tahoma"/>
                <w:sz w:val="16"/>
                <w:szCs w:val="16"/>
              </w:rPr>
            </w:pPr>
            <w:r w:rsidRPr="00DB1559">
              <w:rPr>
                <w:rFonts w:cs="Tahoma"/>
                <w:sz w:val="16"/>
                <w:szCs w:val="16"/>
              </w:rPr>
              <w:t>:</w:t>
            </w:r>
          </w:p>
        </w:tc>
        <w:tc>
          <w:tcPr>
            <w:tcW w:w="372" w:type="pct"/>
            <w:tcBorders>
              <w:right w:val="single" w:sz="8" w:space="0" w:color="C0504D"/>
            </w:tcBorders>
            <w:shd w:val="clear" w:color="auto" w:fill="EFD3D2"/>
            <w:noWrap/>
            <w:vAlign w:val="center"/>
          </w:tcPr>
          <w:p w:rsidR="009D46E6" w:rsidRPr="00DB1559" w:rsidRDefault="009D46E6" w:rsidP="00DB1559">
            <w:pPr>
              <w:jc w:val="center"/>
              <w:rPr>
                <w:rFonts w:cs="Tahoma"/>
                <w:sz w:val="16"/>
                <w:szCs w:val="16"/>
              </w:rPr>
            </w:pPr>
            <w:r w:rsidRPr="00DB1559">
              <w:rPr>
                <w:rFonts w:cs="Tahoma"/>
                <w:sz w:val="16"/>
                <w:szCs w:val="16"/>
              </w:rPr>
              <w:t>:</w:t>
            </w:r>
          </w:p>
        </w:tc>
        <w:tc>
          <w:tcPr>
            <w:tcW w:w="368" w:type="pct"/>
            <w:tcBorders>
              <w:left w:val="single" w:sz="8" w:space="0" w:color="C0504D"/>
            </w:tcBorders>
            <w:shd w:val="clear" w:color="auto" w:fill="EFD3D2"/>
            <w:noWrap/>
            <w:vAlign w:val="center"/>
          </w:tcPr>
          <w:p w:rsidR="009D46E6" w:rsidRPr="00DB1559" w:rsidRDefault="009D46E6" w:rsidP="00DB1559">
            <w:pPr>
              <w:spacing w:line="240" w:lineRule="auto"/>
              <w:jc w:val="center"/>
              <w:rPr>
                <w:rFonts w:cs="Tahoma"/>
                <w:sz w:val="16"/>
                <w:szCs w:val="16"/>
                <w:lang w:eastAsia="cs-CZ"/>
              </w:rPr>
            </w:pPr>
            <w:r w:rsidRPr="00DB1559">
              <w:rPr>
                <w:rFonts w:cs="Tahoma"/>
                <w:sz w:val="16"/>
                <w:szCs w:val="16"/>
                <w:lang w:eastAsia="cs-CZ"/>
              </w:rPr>
              <w:t xml:space="preserve">5,4 </w:t>
            </w:r>
            <w:r w:rsidRPr="00DB1559">
              <w:rPr>
                <w:rFonts w:cs="Tahoma"/>
                <w:sz w:val="12"/>
                <w:szCs w:val="16"/>
                <w:lang w:eastAsia="cs-CZ"/>
              </w:rPr>
              <w:t>(2010)</w:t>
            </w:r>
          </w:p>
        </w:tc>
      </w:tr>
      <w:tr w:rsidR="009D46E6" w:rsidRPr="00DB1559" w:rsidTr="00DB1559">
        <w:trPr>
          <w:trHeight w:val="567"/>
          <w:jc w:val="center"/>
        </w:trPr>
        <w:tc>
          <w:tcPr>
            <w:tcW w:w="1656" w:type="pct"/>
            <w:tcBorders>
              <w:bottom w:val="single" w:sz="8" w:space="0" w:color="C0504D"/>
            </w:tcBorders>
            <w:noWrap/>
            <w:vAlign w:val="center"/>
          </w:tcPr>
          <w:p w:rsidR="009D46E6" w:rsidRPr="00DB1559" w:rsidRDefault="009D46E6" w:rsidP="00DB1559">
            <w:pPr>
              <w:spacing w:line="240" w:lineRule="auto"/>
              <w:jc w:val="left"/>
              <w:rPr>
                <w:rFonts w:cs="Tahoma"/>
                <w:b/>
                <w:bCs/>
                <w:sz w:val="16"/>
                <w:szCs w:val="16"/>
                <w:lang w:eastAsia="cs-CZ"/>
              </w:rPr>
            </w:pPr>
            <w:r w:rsidRPr="00DB1559">
              <w:rPr>
                <w:rFonts w:cs="Tahoma"/>
                <w:bCs/>
                <w:sz w:val="16"/>
                <w:szCs w:val="16"/>
                <w:lang w:eastAsia="cs-CZ"/>
              </w:rPr>
              <w:t>Energetická náročnost hospodářství (v Kgoe/tis. Eur)</w:t>
            </w:r>
          </w:p>
        </w:tc>
        <w:tc>
          <w:tcPr>
            <w:tcW w:w="372" w:type="pct"/>
            <w:tcBorders>
              <w:bottom w:val="single" w:sz="8" w:space="0" w:color="C0504D"/>
            </w:tcBorders>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533,4</w:t>
            </w:r>
          </w:p>
        </w:tc>
        <w:tc>
          <w:tcPr>
            <w:tcW w:w="372" w:type="pct"/>
            <w:tcBorders>
              <w:bottom w:val="single" w:sz="8" w:space="0" w:color="C0504D"/>
            </w:tcBorders>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481,9</w:t>
            </w:r>
          </w:p>
        </w:tc>
        <w:tc>
          <w:tcPr>
            <w:tcW w:w="372" w:type="pct"/>
            <w:tcBorders>
              <w:bottom w:val="single" w:sz="8" w:space="0" w:color="C0504D"/>
            </w:tcBorders>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432,7</w:t>
            </w:r>
          </w:p>
        </w:tc>
        <w:tc>
          <w:tcPr>
            <w:tcW w:w="372" w:type="pct"/>
            <w:tcBorders>
              <w:bottom w:val="single" w:sz="8" w:space="0" w:color="C0504D"/>
            </w:tcBorders>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390,9</w:t>
            </w:r>
          </w:p>
        </w:tc>
        <w:tc>
          <w:tcPr>
            <w:tcW w:w="372" w:type="pct"/>
            <w:tcBorders>
              <w:bottom w:val="single" w:sz="8" w:space="0" w:color="C0504D"/>
            </w:tcBorders>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363,9</w:t>
            </w:r>
          </w:p>
        </w:tc>
        <w:tc>
          <w:tcPr>
            <w:tcW w:w="372" w:type="pct"/>
            <w:tcBorders>
              <w:bottom w:val="single" w:sz="8" w:space="0" w:color="C0504D"/>
            </w:tcBorders>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374,9</w:t>
            </w:r>
          </w:p>
        </w:tc>
        <w:tc>
          <w:tcPr>
            <w:tcW w:w="372" w:type="pct"/>
            <w:tcBorders>
              <w:bottom w:val="single" w:sz="8" w:space="0" w:color="C0504D"/>
            </w:tcBorders>
            <w:noWrap/>
            <w:vAlign w:val="center"/>
          </w:tcPr>
          <w:p w:rsidR="009D46E6" w:rsidRPr="00DB1559" w:rsidRDefault="009D46E6" w:rsidP="00DB1559">
            <w:pPr>
              <w:jc w:val="center"/>
              <w:rPr>
                <w:rFonts w:cs="Tahoma"/>
                <w:color w:val="000000"/>
                <w:sz w:val="16"/>
                <w:szCs w:val="16"/>
              </w:rPr>
            </w:pPr>
            <w:r w:rsidRPr="00DB1559">
              <w:rPr>
                <w:rFonts w:cs="Tahoma"/>
                <w:color w:val="000000"/>
                <w:sz w:val="16"/>
                <w:szCs w:val="16"/>
              </w:rPr>
              <w:t>355,9</w:t>
            </w:r>
          </w:p>
        </w:tc>
        <w:tc>
          <w:tcPr>
            <w:tcW w:w="372" w:type="pct"/>
            <w:tcBorders>
              <w:bottom w:val="single" w:sz="8" w:space="0" w:color="C0504D"/>
              <w:right w:val="single" w:sz="8" w:space="0" w:color="C0504D"/>
            </w:tcBorders>
            <w:noWrap/>
            <w:vAlign w:val="center"/>
          </w:tcPr>
          <w:p w:rsidR="009D46E6" w:rsidRPr="00DB1559" w:rsidRDefault="009D46E6" w:rsidP="00DB1559">
            <w:pPr>
              <w:jc w:val="center"/>
              <w:rPr>
                <w:rFonts w:cs="Tahoma"/>
                <w:sz w:val="16"/>
                <w:szCs w:val="16"/>
              </w:rPr>
            </w:pPr>
            <w:r w:rsidRPr="00DB1559">
              <w:rPr>
                <w:rFonts w:cs="Tahoma"/>
                <w:sz w:val="16"/>
                <w:szCs w:val="16"/>
              </w:rPr>
              <w:t>:</w:t>
            </w:r>
          </w:p>
        </w:tc>
        <w:tc>
          <w:tcPr>
            <w:tcW w:w="368" w:type="pct"/>
            <w:tcBorders>
              <w:left w:val="single" w:sz="8" w:space="0" w:color="C0504D"/>
              <w:bottom w:val="single" w:sz="8" w:space="0" w:color="C0504D"/>
            </w:tcBorders>
            <w:noWrap/>
            <w:vAlign w:val="center"/>
          </w:tcPr>
          <w:p w:rsidR="009D46E6" w:rsidRPr="00DB1559" w:rsidRDefault="009D46E6" w:rsidP="00DB1559">
            <w:pPr>
              <w:spacing w:line="240" w:lineRule="auto"/>
              <w:jc w:val="center"/>
              <w:rPr>
                <w:rFonts w:cs="Tahoma"/>
                <w:sz w:val="16"/>
                <w:szCs w:val="16"/>
                <w:lang w:eastAsia="cs-CZ"/>
              </w:rPr>
            </w:pPr>
            <w:r w:rsidRPr="00DB1559">
              <w:rPr>
                <w:rFonts w:cs="Tahoma"/>
                <w:sz w:val="16"/>
                <w:szCs w:val="16"/>
                <w:lang w:eastAsia="cs-CZ"/>
              </w:rPr>
              <w:t xml:space="preserve">144,2 </w:t>
            </w:r>
            <w:r w:rsidRPr="00DB1559">
              <w:rPr>
                <w:rFonts w:cs="Tahoma"/>
                <w:sz w:val="12"/>
                <w:szCs w:val="16"/>
                <w:lang w:eastAsia="cs-CZ"/>
              </w:rPr>
              <w:t>(2011)</w:t>
            </w:r>
          </w:p>
        </w:tc>
      </w:tr>
    </w:tbl>
    <w:p w:rsidR="009D46E6" w:rsidRPr="00563019" w:rsidRDefault="009D46E6" w:rsidP="007F58B9">
      <w:pPr>
        <w:pStyle w:val="Zdroj"/>
        <w:rPr>
          <w:rFonts w:cs="Tahoma"/>
        </w:rPr>
      </w:pPr>
      <w:r w:rsidRPr="00563019">
        <w:rPr>
          <w:rFonts w:cs="Tahoma"/>
        </w:rPr>
        <w:t xml:space="preserve">Pozn.: Definice uvedených ukazatelů jsou uvedeny </w:t>
      </w:r>
      <w:r w:rsidRPr="00266E12">
        <w:rPr>
          <w:rFonts w:cs="Tahoma"/>
        </w:rPr>
        <w:t>v příloze G.1</w:t>
      </w:r>
      <w:r>
        <w:rPr>
          <w:rFonts w:cs="Tahoma"/>
        </w:rPr>
        <w:t xml:space="preserve">, </w:t>
      </w:r>
      <w:r w:rsidRPr="00563019">
        <w:rPr>
          <w:rFonts w:cs="Tahoma"/>
        </w:rPr>
        <w:t>Zdroj: ČSÚ, Eurostat</w:t>
      </w:r>
    </w:p>
    <w:p w:rsidR="009D46E6" w:rsidRPr="00563019" w:rsidRDefault="009D46E6" w:rsidP="00E3641C">
      <w:pPr>
        <w:spacing w:before="240"/>
        <w:rPr>
          <w:rFonts w:cs="Tahoma"/>
          <w:b/>
        </w:rPr>
      </w:pPr>
      <w:r w:rsidRPr="00563019">
        <w:rPr>
          <w:rFonts w:cs="Tahoma"/>
          <w:b/>
        </w:rPr>
        <w:t>Konkurenceschopnost</w:t>
      </w:r>
    </w:p>
    <w:p w:rsidR="009D46E6" w:rsidRPr="00563019" w:rsidRDefault="009D46E6" w:rsidP="007F58B9">
      <w:pPr>
        <w:rPr>
          <w:rFonts w:cs="Tahoma"/>
        </w:rPr>
      </w:pPr>
      <w:r w:rsidRPr="00563019">
        <w:rPr>
          <w:rFonts w:cs="Tahoma"/>
        </w:rPr>
        <w:t>Ekonomický vývoj na mikro i makro úrovni je determinován souborem politik, institucí a dalších faktorů, které ovlivňují úroveň produktivity výrobních faktorů v ekonomice, obecně charakterizovaných jako konkurenceschopnost země</w:t>
      </w:r>
      <w:r w:rsidRPr="00563019">
        <w:rPr>
          <w:rStyle w:val="FootnoteReference"/>
          <w:rFonts w:cs="Tahoma"/>
        </w:rPr>
        <w:footnoteReference w:id="2"/>
      </w:r>
      <w:r w:rsidRPr="00563019">
        <w:rPr>
          <w:rFonts w:cs="Tahoma"/>
        </w:rPr>
        <w:t xml:space="preserve">. S růstem ekonomické vyspělosti zemí dochází k postupným změnám v klíčových faktorech konkurenceschopnosti. Ekonomicky méně vyspělé země mohou dosahovat hospodářského růstu prostřednictvím investic do rozšiřování výrobních kapacit spojených s přebíráním moderních technologií vyvinutých v hospodářsky a technologicky rozvinutějších zemích. Vzhledem k tomu, že v ekonomicky rozvinutějších zemích jsou již tyto zdroje konkurenční výhody zpravidla vyčerpány, podmínkou pro udržení konkurenceschopnosti se stává posouvání technologických limitů produkce (tj. posouvání hranice produkčních možností), které je podmíněno zaváděním nových produktů, technologických postupů, změn v organizaci práce či zaváděním nových způsobů prodeje výrobků a služeb. Česká republika se podle ekonomické úrovně řadí právě mezi země, kde hlavním faktorem pro zajištění konkurenční výhody je schopnost podniků inovovat. </w:t>
      </w:r>
    </w:p>
    <w:p w:rsidR="009D46E6" w:rsidRPr="00563019" w:rsidRDefault="009D46E6" w:rsidP="007F58B9">
      <w:pPr>
        <w:rPr>
          <w:rFonts w:cs="Tahoma"/>
        </w:rPr>
      </w:pPr>
      <w:r w:rsidRPr="00563019">
        <w:rPr>
          <w:rFonts w:cs="Tahoma"/>
        </w:rPr>
        <w:t>Mezi nejkomplexnější a zároveň nejrespektovanější mezinárodní srovnání konkurenceschopnosti zemí a jednotlivých faktorů, které konkurenceschopnost zemí ovlivňují, patří Global Competitiveness Index sestavovaný Světovým ekonomickým fórem a IMD Index, publikovaný každoročně v</w:t>
      </w:r>
      <w:r>
        <w:rPr>
          <w:rFonts w:cs="Tahoma"/>
        </w:rPr>
        <w:t xml:space="preserve"> </w:t>
      </w:r>
      <w:r w:rsidRPr="00563019">
        <w:rPr>
          <w:rFonts w:cs="Tahoma"/>
        </w:rPr>
        <w:t>The World Competitiveness Yearbook. Úžeji se na inovační výkonnost jednotlivých (především evropských) zemí a na zhodnocení silných a slabých stránek výzkumných a inovačních systémů zaměřuje Innovation Union Scoreboard, publikovaný každoročně Evropskou komisí (DG Enterprise and Industry).</w:t>
      </w:r>
    </w:p>
    <w:p w:rsidR="009D46E6" w:rsidRPr="00563019" w:rsidRDefault="009D46E6" w:rsidP="007F58B9">
      <w:pPr>
        <w:rPr>
          <w:rFonts w:cs="Tahoma"/>
        </w:rPr>
      </w:pPr>
      <w:r w:rsidRPr="00563019">
        <w:rPr>
          <w:rFonts w:cs="Tahoma"/>
        </w:rPr>
        <w:t>Souhrnný index konkurenceschopnosti publikovaný každoročně Světovým ekonomickým fórem je složen z více než 110 kvantitativních a kvalitativních ukazatelů seskupených do 12 pilířů podle různých hledisek konkurenční výhody. V roce 2012 se Česká republika umístila na 39. místě ze 144 srovnávaných zemí, což znamenalo meziroční zhoršení o jednu příčku. Z hlediska jednotlivých skupin faktorů konkurenceschopnosti je v porovnání se skupinou ekonomicky nejvyspělejších zemí relativně dobrá pozice České republiky v oblasti stabilního makroekonomického prostředí, kvality vzdělávání a celkové technologické připravenosti (např. dostupnost a využívání internetu). Naopak relativně nejslabším místem růstu konkurenceschopnosti ČR je dlouhodobě institucionální prostředí (např. nízká efektivita a transparentnost veřejné správy, vysoká míra korupce, restriktivní regulace trhu práce).</w:t>
      </w:r>
    </w:p>
    <w:p w:rsidR="009D46E6" w:rsidRPr="00266E12" w:rsidRDefault="009D46E6" w:rsidP="00750D9B">
      <w:pPr>
        <w:pStyle w:val="Caption"/>
      </w:pPr>
      <w:bookmarkStart w:id="18" w:name="_Toc369091957"/>
      <w:r w:rsidRPr="00266E12">
        <w:t xml:space="preserve">Graf </w:t>
      </w:r>
      <w:fldSimple w:instr=" SEQ Graf \* ARABIC \s 1 ">
        <w:r>
          <w:rPr>
            <w:noProof/>
          </w:rPr>
          <w:t>1</w:t>
        </w:r>
      </w:fldSimple>
      <w:r w:rsidRPr="00266E12">
        <w:t>: Subindexy jednotlivých faktorů konkurenceschopnosti</w:t>
      </w:r>
      <w:bookmarkEnd w:id="18"/>
    </w:p>
    <w:p w:rsidR="009D46E6" w:rsidRPr="00563019" w:rsidRDefault="009D46E6" w:rsidP="007F58B9">
      <w:pPr>
        <w:rPr>
          <w:rFonts w:cs="Tahoma"/>
        </w:rPr>
      </w:pPr>
      <w:r w:rsidRPr="00DB1559">
        <w:rPr>
          <w:rFonts w:cs="Tahoma"/>
          <w:noProof/>
          <w:lang w:eastAsia="cs-CZ"/>
        </w:rPr>
        <w:pict>
          <v:shape id="Chart 1" o:spid="_x0000_i1026" type="#_x0000_t75" style="width:481.8pt;height:222.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LmSNE2wAAAAUBAAAPAAAAZHJzL2Rvd25y&#10;ZXYueG1sTI/NTsMwEITvSLyDtUi9UactDRDiVFUlLogLhQs3J94mUeN1ZDs/9OlZuMBlNatZzXyb&#10;72bbiRF9aB0pWC0TEEiVMy3VCj7en28fQISoyejOESr4wgC74voq15lxE73heIy14BAKmVbQxNhn&#10;UoaqQavD0vVI7J2ctzry6mtpvJ443HZynSSptLolbmh0j4cGq/NxsAo+LyuMWztPOLyO5/v1JS39&#10;6UWpxc28fwIRcY5/x/CDz+hQMFPpBjJBdAr4kfg72XtMNymIUsHdloUscvmfvvgG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">
            <v:imagedata r:id="rId14" o:title="" croptop="-427f" cropbottom="-765f" cropleft="-7215f" cropright="-12476f"/>
            <o:lock v:ext="edit" aspectratio="f"/>
          </v:shape>
        </w:pict>
      </w:r>
    </w:p>
    <w:p w:rsidR="009D46E6" w:rsidRPr="00563019" w:rsidRDefault="009D46E6" w:rsidP="007F58B9">
      <w:pPr>
        <w:pStyle w:val="Zdroj"/>
        <w:rPr>
          <w:rFonts w:cs="Tahoma"/>
        </w:rPr>
      </w:pPr>
      <w:r w:rsidRPr="00563019">
        <w:rPr>
          <w:rFonts w:cs="Tahoma"/>
        </w:rPr>
        <w:t>Zdroj: WEF (2012): The Global Competitiveness Report 2012 - 2013</w:t>
      </w:r>
    </w:p>
    <w:p w:rsidR="009D46E6" w:rsidRPr="00E3641C" w:rsidRDefault="009D46E6" w:rsidP="00E3641C">
      <w:pPr>
        <w:rPr>
          <w:rFonts w:cs="Tahoma"/>
        </w:rPr>
      </w:pPr>
    </w:p>
    <w:p w:rsidR="009D46E6" w:rsidRPr="00563019" w:rsidRDefault="009D46E6" w:rsidP="007F58B9">
      <w:pPr>
        <w:rPr>
          <w:rFonts w:cs="Tahoma"/>
        </w:rPr>
      </w:pPr>
      <w:r w:rsidRPr="00563019">
        <w:rPr>
          <w:rFonts w:cs="Tahoma"/>
        </w:rPr>
        <w:t>Stejně jako výše uvedená zpráva Světového ekonomického fóra zhoršení celkové konkurenceschopnosti ČR indikuje také IMD World Competitiveness Center ve své souhrnné zprávě (IMD World Competitiveness Yearbook) z roku 2013. Podle této zprávy si ČR v žebříčku konkurenceschopnosti zemí meziročně pohoršila o dvě příčky a poklesla na 35. místo z 60 srovnávaných zemí. Na poklesu celkové pozice se odrazilo především oslabení výkonnosti české ekonomiky a institucionální faktory jako je rozsah korupce ve veřejné správě a rigidní právní rámec pro rozvoj podnikání a pro zaměstnávání. Za zmínku stojí i rostoucí riziko realokace výzkumně-vývojových kapacit podnikového sektoru mimo Českou republiku. Naopak ke zlepšení došlo v přílivu přímých zahraničních investic do ČR, v pokrytí ICT infrastrukturou (zejména širokopásmým internetem) a v celkových výdajích na VaV. Mezi hlavní faktory, které zvyšují atraktivitu ČR pro rozvoj ekonomických aktivit, patří kvalifikovaná pracovní síla, spolehlivá infrastruktura, cenová konkurenceschopnost a vysoká úroveň vzdělávání. Z pohledu hlavních faktorů, které naopak brání rozvoji konkurenceschopnosti ČR se zpráva IMD do značné míry shoduje se zprávou Světového ekonomického fóra, když mezi nejvýznamnějšími nedostatky jmenuje institucionální prostředí pro zahájení a rozvoj podnikání a kvalitu veřejné správy. Z hlediska podmínek pro rozvoj výzkumných a inovační aktivit je pozitivní, že došlo k meziročnímu zlepšení pozice ČR v oblasti technologické infrastruktury (zejm. ICT) z 35. na 34. místo, v oblasti vědecko-výzkumné infrastruktury (zejm. finanční a lidské zdroje pro VaV a výsledky VaV) z 30. na 26. místo i v oblasti vzdělávání (základního, středoškolského i vysokoškolského) z 32. na 31. místo.</w:t>
      </w:r>
    </w:p>
    <w:p w:rsidR="009D46E6" w:rsidRPr="00563019" w:rsidRDefault="009D46E6" w:rsidP="007F58B9">
      <w:pPr>
        <w:rPr>
          <w:rFonts w:cs="Tahoma"/>
        </w:rPr>
      </w:pPr>
      <w:r w:rsidRPr="00563019">
        <w:rPr>
          <w:rFonts w:cs="Tahoma"/>
        </w:rPr>
        <w:t>Detailnější pohled na inovační výkonnost a její jednotlivé faktory poskytuje Innovation Union Scoreboard. Celková pozice ČR měřená pomocí souhrnného inovačního indexu (kompozitního indikátoru složeného z 25 dílčích ukazatelů) se meziročně zhoršila (ze 17. na 18. místo z 27 zemí EU) a ČR mezi evropskými zeměmi patří do třetí skupiny zemí (ze čtyř) vyznačujících se mírnou inovační aktivitou (</w:t>
      </w:r>
      <w:r w:rsidRPr="00563019">
        <w:rPr>
          <w:rFonts w:cs="Tahoma"/>
          <w:i/>
        </w:rPr>
        <w:t>moderate innovators</w:t>
      </w:r>
      <w:r w:rsidRPr="00563019">
        <w:rPr>
          <w:rFonts w:cs="Tahoma"/>
        </w:rPr>
        <w:t>). Z jednotlivých skupin faktorů ovlivňujících celkovou inovační výkonnost země, má ČR relativně slabší pozici v oblasti výzkumného systému (zahrnuje ukazatele kvality a otevřenosti veřejného výzkumu) a využívání duševního vlastnictví (zahrnuje přihlášky PCT patentů, komunitární ochranné známky a design). Naopak relativně srovnatelnou úroveň s průměrem zemí EU27 má ČR v oblasti lidských zdrojů (zahrnuje rozsah sekundárního a terciárního vzdělávání), podnikových investic do inovací a inovujících malých a středních podniků (zde ve skupině „Inovátoři“).</w:t>
      </w:r>
    </w:p>
    <w:p w:rsidR="009D46E6" w:rsidRPr="00266E12" w:rsidRDefault="009D46E6" w:rsidP="00750D9B">
      <w:pPr>
        <w:pStyle w:val="Caption"/>
      </w:pPr>
      <w:bookmarkStart w:id="19" w:name="_Toc369091958"/>
      <w:r w:rsidRPr="00266E12">
        <w:t xml:space="preserve">Graf </w:t>
      </w:r>
      <w:fldSimple w:instr=" SEQ Graf \* ARABIC \s 1 ">
        <w:r>
          <w:rPr>
            <w:noProof/>
          </w:rPr>
          <w:t>2</w:t>
        </w:r>
      </w:fldSimple>
      <w:r w:rsidRPr="00266E12">
        <w:t>: Dimenze inovační výkonnosti podle Innovation Union Scoreboard</w:t>
      </w:r>
      <w:bookmarkEnd w:id="19"/>
    </w:p>
    <w:p w:rsidR="009D46E6" w:rsidRPr="00563019" w:rsidRDefault="009D46E6" w:rsidP="007F58B9">
      <w:pPr>
        <w:rPr>
          <w:rFonts w:cs="Tahoma"/>
        </w:rPr>
      </w:pPr>
      <w:r w:rsidRPr="00DB1559">
        <w:rPr>
          <w:rFonts w:cs="Tahoma"/>
          <w:noProof/>
          <w:lang w:eastAsia="cs-CZ"/>
        </w:rPr>
        <w:pict>
          <v:shape id="Chart 2" o:spid="_x0000_i1027" type="#_x0000_t75" style="width:481.8pt;height:252.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0TPoe2gAAAAUBAAAPAAAAZHJzL2Rvd25y&#10;ZXYueG1sTI9BS8QwEIXvgv8hjODNTapY3G7TRRf0IghWvc82MSlNJqXJbrv/3ujFvQw83uO9b+rt&#10;4h076in2gSQUKwFMUxdUT0bC58fzzQOwmJAUukBawklH2DaXFzVWKsz0ro9tMiyXUKxQgk1prDiP&#10;ndUe4yqMmrL3HSaPKcvJcDXhnMu947dClNxjT3nB4qh3VndDe/ASyuVUOPPVWoMvc1Cvdnh62w1S&#10;Xl8tjxtgSS/pPwy/+Bkdmsy0DwdSkTkJ+ZH0d7O3Lu9KYHsJ94UQwJuan9M3PwA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">
            <v:imagedata r:id="rId15" o:title="" croptop="-4242f" cropbottom="-732f" cropleft="-23038f" cropright="-14648f"/>
            <o:lock v:ext="edit" aspectratio="f"/>
          </v:shape>
        </w:pict>
      </w:r>
    </w:p>
    <w:p w:rsidR="009D46E6" w:rsidRPr="00563019" w:rsidRDefault="009D46E6" w:rsidP="007F58B9">
      <w:pPr>
        <w:pStyle w:val="Zdroj"/>
        <w:rPr>
          <w:rFonts w:cs="Tahoma"/>
        </w:rPr>
      </w:pPr>
      <w:r w:rsidRPr="00563019">
        <w:rPr>
          <w:rFonts w:cs="Tahoma"/>
        </w:rPr>
        <w:t>Zdroj: EK (2013): Innovation Union Scoreboard 2013</w:t>
      </w:r>
    </w:p>
    <w:p w:rsidR="009D46E6" w:rsidRPr="00563019" w:rsidRDefault="009D46E6" w:rsidP="00E3641C">
      <w:pPr>
        <w:spacing w:before="240"/>
        <w:rPr>
          <w:rFonts w:cs="Tahoma"/>
          <w:b/>
        </w:rPr>
      </w:pPr>
      <w:r w:rsidRPr="00563019">
        <w:rPr>
          <w:rFonts w:cs="Tahoma"/>
          <w:b/>
        </w:rPr>
        <w:t>Ekonomická výkonnost</w:t>
      </w:r>
    </w:p>
    <w:p w:rsidR="009D46E6" w:rsidRPr="00563019" w:rsidRDefault="009D46E6" w:rsidP="007F58B9">
      <w:pPr>
        <w:rPr>
          <w:rFonts w:cs="Tahoma"/>
        </w:rPr>
      </w:pPr>
      <w:r w:rsidRPr="00563019">
        <w:rPr>
          <w:rFonts w:cs="Tahoma"/>
        </w:rPr>
        <w:t>Výkonnost české ekonomiky se po prudkém a hlubokém propadu v roce 2009 a následujícím mírném dvouletém oživení nevrátila k očekávanému rychlejšímu růstu, ale naopak v roce 2012 i v prvním čtvrtletí roku 2013 postupně oslabovala. Potvrdil se tak spíše scénář krizového a pokrizového vývoje charakterizovaný písmenem „W“ a výkonnost české ekonomiky měřená HDP se ani po více než třech letech po krizi nevrátila na úroveň předkrizového roku 2008. V kontextu hospodářského vývoje regionu střední Evropy tak ČR zaznamenává jeden z nejdelších a kumulativně nejhlubších poklesů ekonomické výkonnosti (společně s</w:t>
      </w:r>
      <w:r>
        <w:rPr>
          <w:rFonts w:cs="Tahoma"/>
        </w:rPr>
        <w:t xml:space="preserve"> </w:t>
      </w:r>
      <w:r w:rsidRPr="00563019">
        <w:rPr>
          <w:rFonts w:cs="Tahoma"/>
        </w:rPr>
        <w:t>Maďarskem). To se pochopitelně odráží i v zastavení procesu reálné konvergence české ekonomiky k evropskému průměru. Zatímco v letech 2004 – 2007 se česká ekonomika měřeno HDP na obyvatele ve standardu kupní síly (PPS) dostala ze 77 % na 83 % evropského průměru, v dalších letech postupně klesla až na 79 % evropského průměru v roce 2012. Ostatní země regionu i všechny pobaltské státy naproti tomu i po roce 2007 dále konvergovaly k průměrné ekonomické výkonnosti EU.</w:t>
      </w:r>
    </w:p>
    <w:p w:rsidR="009D46E6" w:rsidRPr="00563019" w:rsidRDefault="009D46E6" w:rsidP="00750D9B">
      <w:pPr>
        <w:pStyle w:val="Caption"/>
      </w:pPr>
      <w:bookmarkStart w:id="20" w:name="_Toc338318405"/>
      <w:bookmarkStart w:id="21" w:name="_Toc369091959"/>
      <w:r w:rsidRPr="00563019">
        <w:t xml:space="preserve">Graf </w:t>
      </w:r>
      <w:fldSimple w:instr=" SEQ Graf \* ARABIC \s 1 ">
        <w:r>
          <w:rPr>
            <w:noProof/>
          </w:rPr>
          <w:t>3</w:t>
        </w:r>
      </w:fldSimple>
      <w:r w:rsidRPr="00563019">
        <w:t>: Vývoj HDP a reálná konvergence ČR</w:t>
      </w:r>
      <w:bookmarkEnd w:id="20"/>
      <w:bookmarkEnd w:id="21"/>
    </w:p>
    <w:p w:rsidR="009D46E6" w:rsidRPr="00563019" w:rsidRDefault="009D46E6" w:rsidP="001D7F37">
      <w:pPr>
        <w:pStyle w:val="Objekt"/>
      </w:pPr>
      <w:r w:rsidRPr="001D1D98">
        <w:pict>
          <v:shape id="Chart 3" o:spid="_x0000_i1028" type="#_x0000_t75" style="width:481.8pt;height:213.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FF5ZV3gAAAAUBAAAPAAAAZHJzL2Rvd25y&#10;ZXYueG1sTI/NTsMwEITvSH0HaytxQdQhRSmEOBVC4gCHSv255ObG2ySqvQ6x2waenoULXEZazWrm&#10;m2I5OivOOITOk4K7WQICqfamo0bBbvt6+wAiRE1GW0+o4BMDLMvJVaFz4y+0xvMmNoJDKORaQRtj&#10;n0sZ6hadDjPfI7F38IPTkc+hkWbQFw53VqZJkkmnO+KGVvf40mJ93Jwcl1TRyNXhyx1X83fzkd1U&#10;dle9KXU9HZ+fQEQc498z/OAzOpTMtPcnMkFYBTwk/ip7j9k8A7FXcJ8uUpBlIf/Tl98A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">
            <v:imagedata r:id="rId16" o:title="" croptop="-3387f" cropbottom="-2784f" cropleft="-801f" cropright="-801f"/>
            <o:lock v:ext="edit" aspectratio="f"/>
          </v:shape>
        </w:pict>
      </w:r>
    </w:p>
    <w:p w:rsidR="009D46E6" w:rsidRPr="00563019" w:rsidRDefault="009D46E6" w:rsidP="007F58B9">
      <w:pPr>
        <w:pStyle w:val="Zdroj"/>
        <w:rPr>
          <w:rFonts w:cs="Tahoma"/>
        </w:rPr>
      </w:pPr>
      <w:r w:rsidRPr="00563019">
        <w:rPr>
          <w:rFonts w:cs="Tahoma"/>
        </w:rPr>
        <w:t>Zdroj: ČSÚ a Eurostat</w:t>
      </w:r>
    </w:p>
    <w:p w:rsidR="009D46E6" w:rsidRDefault="009D46E6">
      <w:pPr>
        <w:spacing w:before="200" w:after="200" w:line="276" w:lineRule="auto"/>
        <w:jc w:val="left"/>
        <w:rPr>
          <w:rFonts w:cs="Tahoma"/>
        </w:rPr>
      </w:pPr>
      <w:r>
        <w:rPr>
          <w:rFonts w:cs="Tahoma"/>
        </w:rPr>
        <w:br w:type="page"/>
      </w:r>
    </w:p>
    <w:p w:rsidR="009D46E6" w:rsidRPr="00563019" w:rsidRDefault="009D46E6" w:rsidP="00E3641C">
      <w:pPr>
        <w:rPr>
          <w:rFonts w:cs="Tahoma"/>
        </w:rPr>
      </w:pPr>
      <w:r w:rsidRPr="00563019">
        <w:rPr>
          <w:rFonts w:cs="Tahoma"/>
        </w:rPr>
        <w:t>Z výdajových složek HDP se na poklesu ekonomické výkonnosti nejvýznamněji podílel jak pokles výdajů domácností i vlády na konečnou spotřebu, tak i v pozdější době (konec roku 2012 a začátek roku 2013) pokles zahraniční poptávky po českém exportu. Také tvorba hrubého kapitálu přispívala k poklesu HDP, a to zejména v důsledku poklesu stavu zásob, nikoliv z důvodu poklesu investic podniků. To je také důvodem k určitému optimismu ohledně budoucího vývoje české ekonomiky. Skutečnost, že téměř dva roky trvající propad ekonomické výkonnosti ČR se zastavil, naznačují i údaje o vývoji HDP za druhé čtvrtletí roku 2013, který po delší době opět čtvrtletně vzrostl. Jedním z impulzů je i zlepšující se ekonomická situace v Evropě, zejména pak v Německu, které je naším nejvýznamnějším obchodním partnerem. Dlouhodobější udržitelnost ekonomického růstu však bude záviset i na celkové restrukturalizaci české ekonomiky směrem k posílení významu produkce s vyšší přidanou hodnotou, což úzce souvisí s posilováním významu inovačních aktivit – výzkumných i dalších aktivit založených na využívání nových znalostí.</w:t>
      </w:r>
    </w:p>
    <w:p w:rsidR="009D46E6" w:rsidRPr="00563019" w:rsidRDefault="009D46E6" w:rsidP="00E3641C">
      <w:pPr>
        <w:spacing w:before="120"/>
        <w:rPr>
          <w:rFonts w:cs="Tahoma"/>
          <w:b/>
        </w:rPr>
      </w:pPr>
      <w:r w:rsidRPr="00563019">
        <w:rPr>
          <w:rFonts w:cs="Tahoma"/>
          <w:b/>
        </w:rPr>
        <w:t>Produktivita práce</w:t>
      </w:r>
    </w:p>
    <w:p w:rsidR="009D46E6" w:rsidRPr="00563019" w:rsidRDefault="009D46E6" w:rsidP="007F58B9">
      <w:pPr>
        <w:rPr>
          <w:rFonts w:cs="Tahoma"/>
        </w:rPr>
      </w:pPr>
      <w:r w:rsidRPr="00563019">
        <w:rPr>
          <w:rFonts w:cs="Tahoma"/>
        </w:rPr>
        <w:t>Pokles ekonomické výkonnosti ČR se odrazil také ve vývoji souhrnné produktivity práce, která je významným ukazatelem výkonnosti a konkurenční schopnosti ekonomiky a nepřímo se odráží ve vývoji životní úrovně společnosti. Dlouhodobě se souhrnná produktivita práce v ČR (měřená HDP na 1 zaměstnaného) zvyšuje. Nejrychleji rostla v letech 2003 – 2007, kdy průměrné roční tempo růstu produktivity práce dosahovalo 4,7 %. Od roku 2008 se však v souvislosti s poklesem ekonomické výkonnosti tempo růstu produktivity práce zpomalilo na průměrných 0,3 % ročně. Významně se na tom podílel pokles souhrnné produktivity práce v roce 2009 (meziročně o 2,2 %) a v roce 2012 (meziročně o 1,4 %). V důsledku těchto meziročních poklesů došlo v roce 2012 k divergenci souhrnné produktivity práce v ČR od evropského průměru. Zatímco v předkrizovém roce 2007 dosahovala produktivita práce v ČR 76,2 % evropského průměru, do roku 2012 poklesla úroveň produktivity práce v ČR na 72,0 % průměru EU28. Také v porovnání se zeměmi středoevropského regionu dosahuje ČR relativně nízkou úroveň produktivity práce a je až za Slovenskem, Slovinskem, Polskem i nově přistoupivším Chorvatskem.</w:t>
      </w:r>
    </w:p>
    <w:p w:rsidR="009D46E6" w:rsidRPr="00563019" w:rsidRDefault="009D46E6" w:rsidP="00750D9B">
      <w:pPr>
        <w:pStyle w:val="Caption"/>
      </w:pPr>
      <w:bookmarkStart w:id="22" w:name="_Toc338318406"/>
      <w:bookmarkStart w:id="23" w:name="_Toc369091960"/>
      <w:r w:rsidRPr="00563019">
        <w:t xml:space="preserve">Graf </w:t>
      </w:r>
      <w:fldSimple w:instr=" SEQ Graf \* ARABIC \s 1 ">
        <w:r>
          <w:rPr>
            <w:noProof/>
          </w:rPr>
          <w:t>4</w:t>
        </w:r>
      </w:fldSimple>
      <w:r w:rsidRPr="00563019">
        <w:t>: Produktivita práce na jednu zaměstnanou osobu v PPS (EU28=99,9)</w:t>
      </w:r>
      <w:bookmarkEnd w:id="22"/>
      <w:bookmarkEnd w:id="23"/>
    </w:p>
    <w:p w:rsidR="009D46E6" w:rsidRPr="00563019" w:rsidRDefault="009D46E6" w:rsidP="001D7F37">
      <w:pPr>
        <w:pStyle w:val="Objekt"/>
        <w:rPr>
          <w:rFonts w:cs="Tahoma"/>
          <w:color w:val="A6A6A6"/>
        </w:rPr>
      </w:pPr>
      <w:r w:rsidRPr="001D1D98">
        <w:pict>
          <v:shape id="Graf 1" o:spid="_x0000_i1029" type="#_x0000_t75" style="width:481.8pt;height:211.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wGsnU3QAAAAUBAAAPAAAAZHJzL2Rvd25y&#10;ZXYueG1sTI9BT8MwDIXvSPyHyEhc0JZuoIqVptNUhAQHDhS0Xb0mNIXGqZpsC/8ewwUu1rOe9d7n&#10;cp3cII5mCr0nBYt5BsJQ63VPnYK314fZLYgQkTQOnoyCLxNgXZ2flVhof6IXc2xiJziEQoEKbIxj&#10;IWVorXEY5n40xN67nxxGXqdO6glPHO4GucyyXDrsiRssjqa2pv1sDk7BZvG4wm58fmq29y59pKtd&#10;XdudUpcXaXMHIpoU/47hB5/RoWKmvT+QDmJQwI/E38neKr/OQewV3CxZyKqU/+mrbw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">
            <v:imagedata r:id="rId17" o:title="" croptop="-662f" cropbottom="-7452f" cropleft="-603f" cropright="-1424f"/>
            <o:lock v:ext="edit" aspectratio="f"/>
          </v:shape>
        </w:pict>
      </w:r>
    </w:p>
    <w:p w:rsidR="009D46E6" w:rsidRPr="00563019" w:rsidRDefault="009D46E6" w:rsidP="007F58B9">
      <w:pPr>
        <w:pStyle w:val="Zdroj"/>
        <w:rPr>
          <w:rFonts w:cs="Tahoma"/>
        </w:rPr>
      </w:pPr>
      <w:r w:rsidRPr="00563019">
        <w:rPr>
          <w:rFonts w:cs="Tahoma"/>
        </w:rPr>
        <w:t>Zdroj: ČSÚ a Eurostat</w:t>
      </w:r>
    </w:p>
    <w:p w:rsidR="009D46E6" w:rsidRPr="00563019" w:rsidRDefault="009D46E6" w:rsidP="00E3641C">
      <w:pPr>
        <w:keepNext/>
        <w:spacing w:before="120"/>
        <w:rPr>
          <w:rFonts w:cs="Tahoma"/>
          <w:b/>
        </w:rPr>
      </w:pPr>
      <w:r w:rsidRPr="00563019">
        <w:rPr>
          <w:rFonts w:cs="Tahoma"/>
          <w:b/>
        </w:rPr>
        <w:t>Přímé zahraniční investice</w:t>
      </w:r>
    </w:p>
    <w:p w:rsidR="009D46E6" w:rsidRPr="00563019" w:rsidRDefault="009D46E6" w:rsidP="007F58B9">
      <w:pPr>
        <w:rPr>
          <w:rFonts w:cs="Tahoma"/>
        </w:rPr>
      </w:pPr>
      <w:r w:rsidRPr="00563019">
        <w:rPr>
          <w:rFonts w:cs="Tahoma"/>
        </w:rPr>
        <w:t>ČR je malou otevřenou ekonomikou, jejíž vývoj je značně závislý na schopnosti integrovat se do globálních produkčních sítí a využít příležitostí ekonomické globalizace. Jedním z ukazatelů ekonomické globalizace země je podíl toků přímých zahraničních investic do ekonomiky na HDP, který zároveň vypovídá o atraktivitě země pro zahraniční investory. ČR zaznamenala významný příliv přímých zahraničních investic především mezi roky 2000 a 2005, zejména v souvislosti s investicemi do finančních, telekomunikačních a logistických služeb a do automobilového průmyslu. V návaznosti na celosvětové finanční a hospodářské turbulence došlo po roce 2008 k poklesu přílivu přímých zahraničních investic do ČR. Vzhledem k tomu, že k poklesu přílivu přímých zahraničních investic došlo po roce 2008 i v dalších evropských zemích, podíl přílivu přímých zahraničních investic na HDP zůstává v ČR přibližně na průměru zemí středoevropského regionu. Velký příliv přímých zahraničních investic do ČR po roce 1999 významně ovlivnil strukturu české ekonomiky z hlediska typu vlastnictví. Zatímco v roce 1998 dosahoval podíl podniků pod zahraniční kontrolou na tvorbě hrubé přidané hodnoty necelých 9 %, do roku 2006 tento podíl vzrostl na téměř 29 %. V následujících letech zůstává podíl podniků pod zahraniční kontrolou na tvorbě přidané hodnoty stabilní okolo 30 %. Ještě významnější dynamiku tohoto ukazatele zaznamenal zpracovatelský průmysl, kde podniky pod zahraniční kontrolou vytvářejí přes 57 % hrubé přidané hodnoty (oproti 17 % v roce 1998).</w:t>
      </w:r>
    </w:p>
    <w:p w:rsidR="009D46E6" w:rsidRPr="00563019" w:rsidRDefault="009D46E6" w:rsidP="00E3641C">
      <w:pPr>
        <w:keepNext/>
        <w:spacing w:before="120"/>
        <w:rPr>
          <w:rFonts w:cs="Tahoma"/>
          <w:b/>
        </w:rPr>
      </w:pPr>
      <w:r w:rsidRPr="00563019">
        <w:rPr>
          <w:rFonts w:cs="Tahoma"/>
          <w:b/>
        </w:rPr>
        <w:t>Energetická náročnost</w:t>
      </w:r>
    </w:p>
    <w:p w:rsidR="009D46E6" w:rsidRPr="00563019" w:rsidRDefault="009D46E6" w:rsidP="007F58B9">
      <w:pPr>
        <w:rPr>
          <w:rFonts w:cs="Tahoma"/>
        </w:rPr>
      </w:pPr>
      <w:r w:rsidRPr="00563019">
        <w:rPr>
          <w:rFonts w:cs="Tahoma"/>
        </w:rPr>
        <w:t xml:space="preserve">V evropském srovnání dosahuje ČR společně s ostatními postkomunistickými zeměmi výrazně vyšší energetické náročnosti produkce. Podíl hrubé spotřeby energie na HDP ukazuje, že v ČR je na produkci jednotky HDP zapotřebí 2,5krát vyšší množství energie než je průměr EU-28. To ukazuje na skutečnost, že přidaná hodnota české ekonomiky je vytvářena v materiálově a energeticky relativně náročnějších odvětvích. Vývoj ukazatele energetické náročnosti však naznačuje, že efektivita transformace primárních energetických zdrojů na ekonomický výkon v ČR dlouhodobě roste. To ukazuje i na schopnost podnikového sektoru zavádět nové energeticky úspornější technologie a postupnou změnu struktury ekonomiky, kde se zvyšuje podíl sektoru služeb. Značné zaostávání ČR za evropským průměrem v energetické náročnosti tvorby HDP je však významným signálem pro zvýšení energetické účinnosti výroby a dosahování výraznějších energetických úspor v ekonomice. To potvrzuje i v porovnání energetické náročnosti produkce v ČR a v dalších zemích střední Evropy. Energetická náročnost výroby je v ČR vyšší než v Polsku, Maďarsku i na Slovensku. </w:t>
      </w:r>
    </w:p>
    <w:p w:rsidR="009D46E6" w:rsidRPr="00563019" w:rsidRDefault="009D46E6" w:rsidP="00E3641C">
      <w:pPr>
        <w:keepNext/>
        <w:spacing w:before="120"/>
        <w:rPr>
          <w:rFonts w:cs="Tahoma"/>
          <w:b/>
        </w:rPr>
      </w:pPr>
      <w:r w:rsidRPr="00563019">
        <w:rPr>
          <w:rFonts w:cs="Tahoma"/>
          <w:b/>
        </w:rPr>
        <w:t>Podpora dlouhodobého růstu ve vládní politice</w:t>
      </w:r>
    </w:p>
    <w:p w:rsidR="009D46E6" w:rsidRPr="00563019" w:rsidRDefault="009D46E6" w:rsidP="007F58B9">
      <w:pPr>
        <w:rPr>
          <w:rFonts w:cs="Tahoma"/>
        </w:rPr>
      </w:pPr>
      <w:r w:rsidRPr="00563019">
        <w:rPr>
          <w:rFonts w:cs="Tahoma"/>
        </w:rPr>
        <w:t xml:space="preserve">Fiskální politika vlády nastolila po hospodářské krizi v roce 2009 výrazně restriktivní směr a schodek veřejných rozpočtů konverguje postupně k hranici 3 % HDP, což představuje v evropském kontextu lepší průměr. Také ukazatel vládního dluhu, který dosahoval v roce 2012 výše necelých 46 % je na přibližně poloviční úrovni EU28. Přes tyto relativně pozitivní parametry veřejných financí je jejich dlouhodobá udržitelnost závislá na schopnosti a ochotě řešit zásadní otázky financování penzijního a zdravotního systému. Stabilita veřejných financí ovlivňuje a bude ovlivňovat také možnosti vládní politiky stimulovat dlouhodobé faktory ekonomického růstu prostřednictvím investic do vzdělávání, výzkumu a vývoje. Z pohledu podílu veřejných výdajů na vzdělávání, výzkum a vývoj ve veřejných rozpočtech patří ČR k zemím pod evropským průměrem. V roce 2010 bylo v ČR na tyto aktivity vynakládáno 11,1 % veřejných výdajů oproti 12,4 % evropského průměru. K zemím, kde výdaje na vzdělávací a výzkumnou politiku tvoří významnější část veřejných rozpočtů, patří tradičně severské země a dále Estonsko a Litva. </w:t>
      </w:r>
    </w:p>
    <w:p w:rsidR="009D46E6" w:rsidRDefault="009D46E6" w:rsidP="00FB0466">
      <w:pPr>
        <w:pStyle w:val="Caption"/>
        <w:tabs>
          <w:tab w:val="clear" w:pos="1276"/>
        </w:tabs>
        <w:ind w:left="709" w:hanging="709"/>
      </w:pPr>
      <w:bookmarkStart w:id="24" w:name="_Toc338318407"/>
      <w:bookmarkStart w:id="25" w:name="_Toc369091961"/>
      <w:r w:rsidRPr="00563019">
        <w:t xml:space="preserve">Graf </w:t>
      </w:r>
      <w:fldSimple w:instr=" SEQ Graf \* ARABIC \s 1 ">
        <w:r>
          <w:rPr>
            <w:noProof/>
          </w:rPr>
          <w:t>5</w:t>
        </w:r>
      </w:fldSimple>
      <w:r w:rsidRPr="00563019">
        <w:t>: Podíl veřejných výdajů na vzdělávání a VaV na výdajích z veřejných rozpočtů (2010; %)</w:t>
      </w:r>
      <w:bookmarkEnd w:id="24"/>
      <w:bookmarkEnd w:id="25"/>
    </w:p>
    <w:p w:rsidR="009D46E6" w:rsidRPr="00011212" w:rsidRDefault="009D46E6" w:rsidP="001D7F37">
      <w:pPr>
        <w:pStyle w:val="Objekt"/>
      </w:pPr>
      <w:r w:rsidRPr="001D1D98">
        <w:pict>
          <v:shape id="Graf 382" o:spid="_x0000_i1030" type="#_x0000_t75" style="width:460.8pt;height:210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IgEs42wAAAAUBAAAPAAAAZHJzL2Rvd25y&#10;ZXYueG1sTI9PS8NAEMXvQr/DMkJvdtc0SIzZlGoRPAhiKj1vs5M/mJ0N2W0bv72jF708GN7w3u8V&#10;m9kN4oxT6D1puF0pEEi1tz21Gj72zzcZiBANWTN4Qg1fGGBTLq4Kk1t/oXc8V7EVHEIhNxq6GMdc&#10;ylB36ExY+RGJvcZPzkQ+p1bayVw43A0yUepOOtMTN3RmxKcO68/q5DQ89qjGpkrXry9vjnaHw67J&#10;kr3Wy+t5+wAi4hz/nuEHn9GhZKajP5ENYtDAQ+KvsnefKp5x1JAmaQayLOR/+vIb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">
            <v:imagedata r:id="rId18" o:title="" croptop="-1102f" cropbottom="-3191f" cropleft="-2427f" cropright="-2047f"/>
            <o:lock v:ext="edit" aspectratio="f"/>
          </v:shape>
        </w:pict>
      </w:r>
    </w:p>
    <w:p w:rsidR="009D46E6" w:rsidRPr="00563019" w:rsidRDefault="009D46E6" w:rsidP="007F58B9">
      <w:pPr>
        <w:pStyle w:val="Zdroj"/>
        <w:rPr>
          <w:rFonts w:cs="Tahoma"/>
        </w:rPr>
      </w:pPr>
      <w:r w:rsidRPr="00563019">
        <w:rPr>
          <w:rFonts w:cs="Tahoma"/>
        </w:rPr>
        <w:t>Pozn.: Údaje za Řecko a Lucembursko nejsou za rok 2010 dostupné</w:t>
      </w:r>
    </w:p>
    <w:p w:rsidR="009D46E6" w:rsidRPr="00563019" w:rsidRDefault="009D46E6" w:rsidP="007F58B9">
      <w:pPr>
        <w:pStyle w:val="Zdroj"/>
        <w:rPr>
          <w:rFonts w:cs="Tahoma"/>
        </w:rPr>
      </w:pPr>
      <w:r w:rsidRPr="00563019">
        <w:rPr>
          <w:rFonts w:cs="Tahoma"/>
        </w:rPr>
        <w:t>Zdroj: Eurostat</w:t>
      </w:r>
    </w:p>
    <w:bookmarkEnd w:id="15"/>
    <w:p w:rsidR="009D46E6" w:rsidRPr="00662381" w:rsidRDefault="009D46E6" w:rsidP="000167BB"/>
    <w:p w:rsidR="009D46E6" w:rsidRPr="00563019" w:rsidRDefault="009D46E6" w:rsidP="001E6915">
      <w:pPr>
        <w:rPr>
          <w:rFonts w:cs="Tahoma"/>
        </w:rPr>
      </w:pPr>
      <w:r w:rsidRPr="00563019">
        <w:rPr>
          <w:rFonts w:cs="Tahoma"/>
        </w:rPr>
        <w:t>Podíl veřejných výdajů na vzdělávání, výzkum a vývoj na celkových veřejných výdajích v ČR mírně rostl až do roku 2006, po té se tento podíl ustálil okolo 11 %. Z hlediska struktury těchto výdajů zaznamenávají mírný nárůst podílu ve veřejných rozpočtech ČR výdaje na výzkum a vývoj. Podíl veřejných výdajů na vzdělávání na celkových veřej</w:t>
      </w:r>
      <w:r>
        <w:rPr>
          <w:rFonts w:cs="Tahoma"/>
        </w:rPr>
        <w:t>ných výdajích naopak stagnuje.</w:t>
      </w:r>
    </w:p>
    <w:p w:rsidR="009D46E6" w:rsidRPr="00662381" w:rsidRDefault="009D46E6" w:rsidP="000167BB">
      <w:pPr>
        <w:sectPr w:rsidR="009D46E6" w:rsidRPr="00662381" w:rsidSect="00FD3E45">
          <w:headerReference w:type="even" r:id="rId19"/>
          <w:pgSz w:w="11906" w:h="16838" w:code="9"/>
          <w:pgMar w:top="1134" w:right="1134" w:bottom="1134" w:left="1134" w:header="737" w:footer="567" w:gutter="0"/>
          <w:cols w:space="567"/>
          <w:docGrid w:linePitch="360"/>
        </w:sectPr>
      </w:pPr>
    </w:p>
    <w:p w:rsidR="009D46E6" w:rsidRDefault="009D46E6" w:rsidP="00157446">
      <w:pPr>
        <w:pStyle w:val="Heading1"/>
      </w:pPr>
      <w:bookmarkStart w:id="26" w:name="_Toc336000253"/>
      <w:bookmarkStart w:id="27" w:name="_Toc369091865"/>
      <w:r>
        <w:t>Investice do výzkumu a vývoje</w:t>
      </w:r>
      <w:bookmarkEnd w:id="26"/>
      <w:bookmarkEnd w:id="27"/>
    </w:p>
    <w:p w:rsidR="009D46E6" w:rsidRDefault="009D46E6" w:rsidP="00440B60">
      <w:r>
        <w:t xml:space="preserve">Výzkum a vývoj (dále jen VaV) hraje klíčovou úlohu při tvorbě nových znalostí, produktů a technologických postupů, které jsou nezbytným předpokladem pro stabilní a dlouhodobě udržitelný ekonomický růst společnosti. Veřejná přímá a nepřímá podpora VaV je pro rozvinuté země jednou z cest, jak přispět v dlouhodobém horizontu ke zvýšení konkurenceschopnosti jejich ekonomik. Bez odpovídajícího objemu finančních prostředků jak ze strany státu, tak podnikatelského sektoru nelze očekávat, že VaV bude v ČR přinášet mezinárodně konkurenceschopné poznatky, inovace a technologie, které se budou podílet na zvyšování produktivity, zaměstnanosti a ekonomické konkurenceschopnosti českého hospodářství, a tím přispívat k výše uvedenému udržitelnému rozvoji společnosti a sociální soudržnosti. </w:t>
      </w:r>
    </w:p>
    <w:p w:rsidR="009D46E6" w:rsidRDefault="009D46E6" w:rsidP="00440B60">
      <w:r>
        <w:t>VaV se v posledních letech stal jednou z ústředních oblastí jednotlivých národních a mezinárodních politik. I přes výše uvedené časté deklarace o vědě, ale i o vzdělávání a širokém spektru inovačních aktivit jako základních faktorů hospodářské prosperity společnosti a zdůrazňování jejich významu nejsou sliby spojené s podporou jejich dalšího rozvoje podloženy relevantními fakty a znalostí reality.</w:t>
      </w:r>
    </w:p>
    <w:p w:rsidR="009D46E6" w:rsidRDefault="009D46E6" w:rsidP="00440B60">
      <w:r>
        <w:t>Podnikatelský VaV, který souvisí především s inovacemi, hraje stále důležitější roli díky postupující globalizaci, která přináší na národní trhy nové firmy a produkty, a tím zvyšuje konkurenci v jednotlivých oblastech podnikání. Zaměření VaV financovaného z veřejných zdrojů je dáno především vědní politikou jednotlivých států. Nicméně prioritou, která se v tomto sektoru v oblasti VaV dostává do popředí, je propojenost získaných vědeckých znalostí s jejich následným využitím v praxi. Výzkum ve vládním a vysokoškolském sektoru se proto zaměřuje na získávání unikátních poznatků v hraničních oblastech, které připívají jak k obecnému růstu poznání, tak i k posilování inovační výkonnosti podniků a zachování udržitelného rozvoje.</w:t>
      </w:r>
    </w:p>
    <w:p w:rsidR="009D46E6" w:rsidRDefault="009D46E6" w:rsidP="00440B60"/>
    <w:p w:rsidR="009D46E6" w:rsidRPr="00FD372F" w:rsidRDefault="009D46E6" w:rsidP="00FD372F">
      <w:r>
        <w:rPr>
          <w:noProof/>
          <w:lang w:eastAsia="cs-CZ"/>
        </w:rPr>
      </w:r>
      <w:r>
        <w:rPr>
          <w:noProof/>
          <w:lang w:eastAsia="cs-CZ"/>
        </w:rPr>
        <w:pict>
          <v:shape id="Textové pole 5" o:spid="_x0000_s1027" type="#_x0000_t202" style="width:481.9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" strokecolor="#4f81bd" strokeweight="2pt">
            <v:textbox style="mso-fit-shape-to-text:t" inset="2mm,2mm,2mm,2mm">
              <w:txbxContent>
                <w:p w:rsidR="009D46E6" w:rsidRPr="001D063F" w:rsidRDefault="009D46E6" w:rsidP="00FD372F">
                  <w:pPr>
                    <w:jc w:val="left"/>
                    <w:rPr>
                      <w:b/>
                    </w:rPr>
                  </w:pPr>
                  <w:r>
                    <w:rPr>
                      <w:b/>
                    </w:rPr>
                    <w:t>Hlavní trendy</w:t>
                  </w:r>
                </w:p>
                <w:p w:rsidR="009D46E6" w:rsidRDefault="009D46E6" w:rsidP="000E3106">
                  <w:pPr>
                    <w:pStyle w:val="Odrky"/>
                  </w:pPr>
                  <w:r w:rsidRPr="000E3106">
                    <w:t xml:space="preserve">V </w:t>
                  </w:r>
                  <w:r>
                    <w:t xml:space="preserve">roce </w:t>
                  </w:r>
                  <w:r w:rsidRPr="000E3106">
                    <w:t xml:space="preserve">2013 proběhla </w:t>
                  </w:r>
                  <w:r>
                    <w:t xml:space="preserve">zpětná </w:t>
                  </w:r>
                  <w:r w:rsidRPr="000E3106">
                    <w:t>kontrola správného metodologického rozlišení nákladů na provedený VaV v</w:t>
                  </w:r>
                  <w:r>
                    <w:t>e</w:t>
                  </w:r>
                  <w:r w:rsidRPr="000E3106">
                    <w:t xml:space="preserve"> sledované jednotce a nákladů na služby VaV. Výsledky této kontroly se promítly do mimořádné revize dat o výdajích </w:t>
                  </w:r>
                  <w:r>
                    <w:t>n</w:t>
                  </w:r>
                  <w:r w:rsidRPr="000E3106">
                    <w:t xml:space="preserve">a </w:t>
                  </w:r>
                  <w:r>
                    <w:t>VaV v ČR</w:t>
                  </w:r>
                  <w:r w:rsidRPr="000E3106">
                    <w:t xml:space="preserve"> za roky 2005 až 2011. Jde především o změny ve výdajích na VaV financovaných z podnikatelských tuzemských a zahraničních zdrojů.</w:t>
                  </w:r>
                </w:p>
                <w:p w:rsidR="009D46E6" w:rsidRDefault="009D46E6" w:rsidP="006800A9">
                  <w:pPr>
                    <w:pStyle w:val="Odrky"/>
                  </w:pPr>
                  <w:r w:rsidRPr="006800A9">
                    <w:t>VaV byl v ČR v roce 2012 prováděn na 2 7</w:t>
                  </w:r>
                  <w:r>
                    <w:t>78 pracovištích, z nichž 84 %</w:t>
                  </w:r>
                  <w:r w:rsidRPr="006800A9">
                    <w:t xml:space="preserve"> připadalo na podnikatelský sektor. Necelá desetina subjektů prováděla VaV jako svoji převažující ekonomickou činnost</w:t>
                  </w:r>
                  <w:r>
                    <w:t>.</w:t>
                  </w:r>
                </w:p>
                <w:p w:rsidR="009D46E6" w:rsidRDefault="009D46E6" w:rsidP="000E3106">
                  <w:pPr>
                    <w:pStyle w:val="Odrky"/>
                  </w:pPr>
                  <w:r>
                    <w:t>V roce 2012, po dvou rekordních nárůstech, dosáhly celkové výdaje za VaV (GERD) provedený na území ČR 72,4 mld. Kč, což odpovídá 1,89 % podílu na HDP - nejvyšší zaznamenané hodnoty za celé sledované období.</w:t>
                  </w:r>
                </w:p>
                <w:p w:rsidR="009D46E6" w:rsidRDefault="009D46E6" w:rsidP="002A14D5">
                  <w:pPr>
                    <w:pStyle w:val="Odrky"/>
                  </w:pPr>
                  <w:r>
                    <w:t>V</w:t>
                  </w:r>
                  <w:r w:rsidRPr="002A14D5">
                    <w:t xml:space="preserve"> posledních dvou letech ve financování VaV převládají veřejné zdroje</w:t>
                  </w:r>
                  <w:r>
                    <w:t>, především díky prostředkům z evropských fondů</w:t>
                  </w:r>
                  <w:r w:rsidRPr="002A14D5">
                    <w:t xml:space="preserve">. V roce 2012 dosáhl </w:t>
                  </w:r>
                  <w:r>
                    <w:t>podíl veřejných zdrojů</w:t>
                  </w:r>
                  <w:r w:rsidRPr="002A14D5">
                    <w:t xml:space="preserve"> již 54 %, což značí odklon od </w:t>
                  </w:r>
                  <w:r>
                    <w:t xml:space="preserve">dvoutřetinového zastoupení soukromých zdrojů deklarovaného ve </w:t>
                  </w:r>
                  <w:r w:rsidRPr="002A14D5">
                    <w:t>Strategi</w:t>
                  </w:r>
                  <w:r>
                    <w:t>i</w:t>
                  </w:r>
                  <w:r w:rsidRPr="002A14D5">
                    <w:t xml:space="preserve"> Evropa 2020</w:t>
                  </w:r>
                  <w:r>
                    <w:t>.</w:t>
                  </w:r>
                </w:p>
                <w:p w:rsidR="009D46E6" w:rsidRDefault="009D46E6" w:rsidP="002A14D5">
                  <w:pPr>
                    <w:pStyle w:val="Odrky"/>
                  </w:pPr>
                  <w:r>
                    <w:t>Podíl domácích zdrojů klest v roce 2012 na 73 %, čímž se ČR zařadila mezi země s výrazným vlivem zahraničních zdrojů na financování VaV.</w:t>
                  </w:r>
                </w:p>
                <w:p w:rsidR="009D46E6" w:rsidRDefault="009D46E6" w:rsidP="00412319">
                  <w:pPr>
                    <w:pStyle w:val="Odrky"/>
                  </w:pPr>
                  <w:r w:rsidRPr="00412319">
                    <w:t>V roce 2012 vzrostla přímá podpora VaV ze státního rozpočtu oproti roku 2011 o 0,4 mld. Kč na 26,2 mld. Kč, což je přibližně 2,27 % celkových výdajů ze státního rozpočtu a 0,68 % HDP. Přímá podpora VaV ze státního rozpočtu tak dosáhla zatím nejvyšší hodnoty ve sledovaném období od roku 2001. V</w:t>
                  </w:r>
                  <w:r>
                    <w:t>ČR zároveň patří mezi země s významnou přímou podporou podnikatelského VaV z veřejných zdrojů. V roce 2012 investoval český stát do podnikatelského VaV 5,3 mld. Kč, což činilo pětinu z celkových veřejných výdajů na VaV.</w:t>
                  </w:r>
                </w:p>
                <w:p w:rsidR="009D46E6" w:rsidRDefault="009D46E6" w:rsidP="00C76205">
                  <w:pPr>
                    <w:pStyle w:val="Odrky"/>
                  </w:pPr>
                  <w:r>
                    <w:t>Podíl soukromých domácích zdrojů na financování VaV v ČR klesá již od roku 2008, nejdříve z důvodu jejich absolutního poklesu, v posledních letech především díky rychlejšímu růstu ostatních zdrojů. Přetrvává nízký podíl těchto zdrojů na financování VaV prováděného ve vládním a vysokoškolském sektoru.</w:t>
                  </w:r>
                </w:p>
                <w:p w:rsidR="009D46E6" w:rsidRDefault="009D46E6" w:rsidP="00C76205">
                  <w:pPr>
                    <w:pStyle w:val="Odrky"/>
                  </w:pPr>
                  <w:r>
                    <w:t>Rostoucí s</w:t>
                  </w:r>
                  <w:r w:rsidRPr="00C76205">
                    <w:t>oukromé zahraniční zdroje tvoří především příjmy podniků pod zahraniční kontrolou za provedený VaV na zakázku pro zah</w:t>
                  </w:r>
                  <w:r>
                    <w:t>raniční firmy ve stejné skupině.</w:t>
                  </w:r>
                </w:p>
              </w:txbxContent>
            </v:textbox>
            <w10:anchorlock/>
          </v:shape>
        </w:pict>
      </w:r>
    </w:p>
    <w:p w:rsidR="009D46E6" w:rsidRDefault="009D46E6" w:rsidP="00DF12A5">
      <w:r>
        <w:rPr>
          <w:noProof/>
          <w:lang w:eastAsia="cs-CZ"/>
        </w:rPr>
      </w:r>
      <w:r>
        <w:rPr>
          <w:noProof/>
          <w:lang w:eastAsia="cs-CZ"/>
        </w:rPr>
        <w:pict>
          <v:shape id="Textové pole 227" o:spid="_x0000_s1028" type="#_x0000_t202" style="width:481.9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" strokecolor="#4f81bd" strokeweight="2pt">
            <v:textbox style="mso-fit-shape-to-text:t" inset="2mm,2mm,2mm,2mm">
              <w:txbxContent>
                <w:p w:rsidR="009D46E6" w:rsidRPr="001D063F" w:rsidRDefault="009D46E6" w:rsidP="00412319">
                  <w:pPr>
                    <w:jc w:val="left"/>
                    <w:rPr>
                      <w:b/>
                    </w:rPr>
                  </w:pPr>
                  <w:r>
                    <w:rPr>
                      <w:b/>
                    </w:rPr>
                    <w:t>Hlavní trendy - pokračování</w:t>
                  </w:r>
                </w:p>
                <w:p w:rsidR="009D46E6" w:rsidRDefault="009D46E6" w:rsidP="00412319">
                  <w:pPr>
                    <w:pStyle w:val="Odrky"/>
                  </w:pPr>
                  <w:r w:rsidRPr="00B80FC9">
                    <w:t xml:space="preserve">I když trend v posilování vysokoškolského výzkumu lze pozorovat již delší dobu, v posledních dvou letech došlo k jeho výraznému zrychlení. Podíl vysokoškolského sektoru na celkových výdajích na VaV vzrostl na 28 % </w:t>
                  </w:r>
                  <w:r>
                    <w:t>a podíl</w:t>
                  </w:r>
                  <w:r w:rsidRPr="00B80FC9">
                    <w:t xml:space="preserve"> na veřejném výzkumu dokonce na 60 %</w:t>
                  </w:r>
                  <w:r>
                    <w:t>.</w:t>
                  </w:r>
                </w:p>
                <w:p w:rsidR="009D46E6" w:rsidRDefault="009D46E6" w:rsidP="00412319">
                  <w:pPr>
                    <w:pStyle w:val="Odrky"/>
                  </w:pPr>
                  <w:r>
                    <w:t>Objem</w:t>
                  </w:r>
                  <w:r w:rsidRPr="00B80FC9">
                    <w:t xml:space="preserve"> finančních prostředků vzrostl </w:t>
                  </w:r>
                  <w:r>
                    <w:t xml:space="preserve">za posledních pět let </w:t>
                  </w:r>
                  <w:r w:rsidRPr="00B80FC9">
                    <w:t>nejvíce ve vědách technických (o 10,3 mld. Kč) a přírodních (o 8,5 mld. Kč). Na technické vědy se zaměřuje především podnikatelský a vysokoškolský sektor. Přírodní vědy jsou nejvíce rozvíjeny vládním sektorem, a to především na pracovištích AV ČR.</w:t>
                  </w:r>
                </w:p>
                <w:p w:rsidR="009D46E6" w:rsidRDefault="009D46E6" w:rsidP="00412319">
                  <w:pPr>
                    <w:pStyle w:val="Odrky"/>
                  </w:pPr>
                  <w:r w:rsidRPr="00B80FC9">
                    <w:t>Mezi kraji v oblasti VaV dlouhodobě dominuje Praha</w:t>
                  </w:r>
                  <w:r>
                    <w:t xml:space="preserve"> - </w:t>
                  </w:r>
                  <w:r w:rsidRPr="00B80FC9">
                    <w:t xml:space="preserve">680 </w:t>
                  </w:r>
                  <w:r>
                    <w:t>pracovišť VaV (24 %</w:t>
                  </w:r>
                  <w:r w:rsidRPr="00B80FC9">
                    <w:t>), (22</w:t>
                  </w:r>
                  <w:r>
                    <w:t> </w:t>
                  </w:r>
                  <w:r w:rsidRPr="00B80FC9">
                    <w:t>164</w:t>
                  </w:r>
                  <w:r>
                    <w:t xml:space="preserve"> zaměstnanců (</w:t>
                  </w:r>
                  <w:r w:rsidRPr="00B80FC9">
                    <w:t>37 %</w:t>
                  </w:r>
                  <w:r>
                    <w:t>) a výdaje ve výši</w:t>
                  </w:r>
                  <w:r w:rsidRPr="00B80FC9">
                    <w:t xml:space="preserve"> </w:t>
                  </w:r>
                  <w:r>
                    <w:t>25 mld. Kč (</w:t>
                  </w:r>
                  <w:r w:rsidRPr="00B80FC9">
                    <w:t xml:space="preserve">35 %). </w:t>
                  </w:r>
                  <w:r>
                    <w:t>V</w:t>
                  </w:r>
                  <w:r w:rsidRPr="00B80FC9">
                    <w:t>zrůstá význam Jihomoravského kraje</w:t>
                  </w:r>
                  <w:r>
                    <w:t>.</w:t>
                  </w:r>
                </w:p>
              </w:txbxContent>
            </v:textbox>
            <w10:anchorlock/>
          </v:shape>
        </w:pict>
      </w:r>
    </w:p>
    <w:p w:rsidR="009D46E6" w:rsidRDefault="009D46E6" w:rsidP="00055C6E"/>
    <w:p w:rsidR="009D46E6" w:rsidRDefault="009D46E6" w:rsidP="00055C6E">
      <w:r w:rsidRPr="00440B60">
        <w:t>Hlavním cílem této části analýzy je poskytnout relevantní informace a aktuální přehled o vývoji a struktuře celkových výdajů na VaV podle zdrojů financování a sektorů jejich užití (kapitola A.1) a o přímé (kapitola A.2) a nepřímé (kapitola A.3) podpoře VaV ze státního rozpočtu u nás a ve světě.</w:t>
      </w:r>
    </w:p>
    <w:p w:rsidR="009D46E6" w:rsidRDefault="009D46E6">
      <w:pPr>
        <w:spacing w:before="200" w:after="200" w:line="276" w:lineRule="auto"/>
        <w:jc w:val="left"/>
      </w:pPr>
    </w:p>
    <w:p w:rsidR="009D46E6" w:rsidRDefault="009D46E6" w:rsidP="00BB7B84">
      <w:pPr>
        <w:pStyle w:val="Heading2"/>
      </w:pPr>
      <w:bookmarkStart w:id="28" w:name="_Toc336000254"/>
      <w:bookmarkStart w:id="29" w:name="_Toc369091866"/>
      <w:r>
        <w:t>Celkové výdaje na výzkum a vývoj</w:t>
      </w:r>
      <w:bookmarkEnd w:id="28"/>
      <w:bookmarkEnd w:id="29"/>
    </w:p>
    <w:p w:rsidR="009D46E6" w:rsidRDefault="009D46E6" w:rsidP="00440B60">
      <w:r>
        <w:t>Celkové výdaje na VaV zahrnují veškeré neinvestiční a investiční výdaje vynaložené ve sledovaném roce na VaV prováděný na území daného státu, a to bez ohledu na zdroj jejich financování. Tyto výdaje jsou označovány mezinárodní zkratkou GERD.</w:t>
      </w:r>
      <w:r>
        <w:rPr>
          <w:rStyle w:val="FootnoteReference"/>
          <w:rFonts w:cs="MetaPro-Normal"/>
        </w:rPr>
        <w:footnoteReference w:id="3"/>
      </w:r>
    </w:p>
    <w:p w:rsidR="009D46E6" w:rsidRDefault="009D46E6" w:rsidP="00440B60">
      <w:r>
        <w:t xml:space="preserve">Výdaje na VaV je možno vyjádřit pomocí dvou základních ukazatelů: v běžných cenách ukazujících aktuální ceny zboží a služeb v daném roce nebo v reálných (stálých) cenách, které eliminují inflační znehodnocení. Z důvodu neexistence speciálního cenového indexu pro VaV byl pro výpočet ve stálých cenách použit deflátor HDP. </w:t>
      </w:r>
    </w:p>
    <w:p w:rsidR="009D46E6" w:rsidRDefault="009D46E6" w:rsidP="00440B60">
      <w:r>
        <w:t>Zdrojem dat o výdajích na VaV je Roční statistické šetření o výzkumu a vývoji VTR 5-01, kterým jsou ČSÚ obesílány všechny subjekty na území České republiky provádějící VaV jako svoji hlavní nebo vedlejší ekonomickou činnost, a to bez ohledu na počet jejich zaměstnanců, sektor nebo odvětví, ve kterém působí. Více viz metodologická příloha kapitoly A.</w:t>
      </w:r>
    </w:p>
    <w:p w:rsidR="009D46E6" w:rsidRDefault="009D46E6" w:rsidP="00440B60">
      <w:r>
        <w:t>V první polovině roku 2013 v rámci zpracování údajů za rok 2012 z výše uvedeného šetření VTR 5-01, proběhla i v rámci probíhajících prací na kapitalizaci výzkumu a vývoje zpětná kontrola vybraných údajů poskytnutých i za předchozí roky. Šlo především o kontrolu správného metodologického rozlišení nákladů na provedený VaV ve sledované jednotce a nákladů na služby VaV (výdajů za VaV provedený pro sledovanou jednotku jiným subjektem). Výsledky této kontroly se promítly do mimořádné revize dat o výdajích za provedený výzkum a vývoj v České republice za roky 2005 až 2011. Z tohoto důvodu se údaje uvedené v této Analýze liší od údajů publikovaných v předchozích letech. Jde především o změny ve výdajích na VaV financovaných z podnikatelských tuzemských a zahraničních zdrojů, které se následně promítly i do údajů o výdajích za VaV provedený v podnikatelském sektoru a do celkových výdajů na VaV (GERD) a souvisejících poměrových ukazatelů (podíl na HDP) a meziročních nárůstů.</w:t>
      </w:r>
    </w:p>
    <w:p w:rsidR="009D46E6" w:rsidRDefault="009D46E6" w:rsidP="00440B60">
      <w:r>
        <w:t>Tabulková příloha k této kapitole obsahuje podrobné údaje za Českou republiku pro roky 2000, 2007 až 2012. Údaje pro mezinárodní srovnání pochází z publikace OECD: „Main Science and Technology Indicators (MSTI 2013/1)“. Údaje za státy EU, které nejsou členy OECD, byly dopočteny ČSÚ z datových zdrojů Eurostatu. Údaje za Brazílii a Indii pocházejí z Organizace OSN pro výchovu, vědu a kulturu (UNESCO) a její databáze: „UIS Data Centre“. Do tabulkové přílohy s mezinárodním srovnáním byly zařazeny dostupné údaje k 30. 9. 2013 za všechny státy EU, OECD a BRICS (Brazílie, Čína, Indie, Jihoafrická Republika a Rusko). V grafech jsou uvedeny dostupné údaje za státy EU a z ostatních zemí za Čínu, Rusko, Japonsko, Koreu, Spojené státy a Švýcarsko.</w:t>
      </w:r>
    </w:p>
    <w:p w:rsidR="009D46E6" w:rsidRDefault="009D46E6">
      <w:pPr>
        <w:spacing w:before="200" w:after="200" w:line="276" w:lineRule="auto"/>
        <w:jc w:val="left"/>
      </w:pPr>
      <w:r>
        <w:br w:type="page"/>
      </w:r>
    </w:p>
    <w:p w:rsidR="009D46E6" w:rsidRDefault="009D46E6" w:rsidP="00440B60">
      <w:r>
        <w:t xml:space="preserve">VaV byl v ČR v roce 2012 prováděn ve 2,6 tisících ekonomických subjektech na 2 778 pracovištích, z nichž 2 334 (84 %) připadalo na podnikatelský sektor. Necelá desetina z výše uvedených subjektů prováděla VaV jako svoji převažující ekonomickou činnost (CZ-NACE oddíl 72), polovina prováděla VaV v některém z průmyslových odvětví a desetina v některém z odvětví informačních a komunikačních činností (CZ-NACE sekce J). Pouze na každém dvacátém pracovišti dosáhly v roce 2012 výdaje na VaV 100 a více mil. Kč. Konkrétně tuto hranici výdajů na VaV přesáhlo 149 pracovišť, z nichž 57 bylo z podnikatelského sektoru, 41 ze sektoru vysokoškolského a 33 pracovišť veřejných výzkumných institucí.  </w:t>
      </w:r>
    </w:p>
    <w:p w:rsidR="009D46E6" w:rsidRDefault="009D46E6" w:rsidP="00440B60">
      <w:r>
        <w:t xml:space="preserve">V roce 2012, po dvou po sobě jdoucích rekordních nárůstech, dosáhly celkové výdaje za VaV provedený na území ČR 72,4 mld. Kč, což odpovídá 1,89 % podílu na HDP. V obou případech jde o nejvyšší zaznamenané hodnoty za celé sledované období. </w:t>
      </w:r>
    </w:p>
    <w:p w:rsidR="009D46E6" w:rsidRPr="00BD5EC7" w:rsidRDefault="009D46E6" w:rsidP="00440B60">
      <w:pPr>
        <w:pStyle w:val="Caption"/>
      </w:pPr>
      <w:bookmarkStart w:id="30" w:name="_Toc369091962"/>
      <w:r>
        <w:t xml:space="preserve">Graf </w:t>
      </w:r>
      <w:fldSimple w:instr=" STYLEREF 1 \s ">
        <w:r>
          <w:rPr>
            <w:noProof/>
          </w:rPr>
          <w:t>A</w:t>
        </w:r>
      </w:fldSimple>
      <w:r>
        <w:t>.</w:t>
      </w:r>
      <w:fldSimple w:instr=" SEQ Graf \* ARABIC \s 1 ">
        <w:r>
          <w:rPr>
            <w:noProof/>
          </w:rPr>
          <w:t>1</w:t>
        </w:r>
      </w:fldSimple>
      <w:r w:rsidRPr="00BD5EC7">
        <w:t xml:space="preserve">: </w:t>
      </w:r>
      <w:r w:rsidRPr="00440B60">
        <w:t xml:space="preserve">Celkové výdaje za VaV provedený </w:t>
      </w:r>
      <w:r>
        <w:t>v ČR (GERD), 1991, 1995, 2000-</w:t>
      </w:r>
      <w:r w:rsidRPr="00440B60">
        <w:t>2012</w:t>
      </w:r>
      <w:bookmarkEnd w:id="30"/>
    </w:p>
    <w:p w:rsidR="009D46E6" w:rsidRPr="003C579C" w:rsidRDefault="009D46E6" w:rsidP="00440B60">
      <w:pPr>
        <w:pStyle w:val="Objekt"/>
      </w:pPr>
      <w:r w:rsidRPr="001D1D98">
        <w:pict>
          <v:shape id="Graf 61" o:spid="_x0000_i1033" type="#_x0000_t75" style="width:472.2pt;height:180.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CmndT2gAAAAUBAAAPAAAAZHJzL2Rvd25y&#10;ZXYueG1sTI/BTsMwEETvSPyDtUjcqANFIaRxKoRACMSFwAds420SiNeRvW3Tv8dwgctKoxnNvK3W&#10;sxvVnkIcPBu4XGSgiFtvB+4MfLw/XhSgoiBbHD2TgSNFWNenJxWW1h/4jfaNdCqVcCzRQC8ylVrH&#10;tieHceEn4uRtfXAoSYZO24CHVO5GfZVluXY4cFrocaL7ntqvZucMfBZPDm+ihJEe8PnFHeXVNdaY&#10;87P5bgVKaJa/MPzgJ3SoE9PG79hGNRpIj8jvTd5tvsxBbQws8+IadF3p//T1NwA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">
            <v:imagedata r:id="rId20" o:title="" croptop="-4163f" cropbottom="-2999f" cropleft="-1295f" cropright="-1772f"/>
            <o:lock v:ext="edit" aspectratio="f"/>
          </v:shape>
        </w:pict>
      </w:r>
    </w:p>
    <w:p w:rsidR="009D46E6" w:rsidRPr="00BD5EC7" w:rsidRDefault="009D46E6" w:rsidP="00440B60">
      <w:pPr>
        <w:pStyle w:val="Zdroj"/>
      </w:pPr>
      <w:r w:rsidRPr="00440B60">
        <w:t>Zdroj: Český statistický úřad 2013, Roční statistické šetření výzkumu a vývoje VTR 5-01</w:t>
      </w:r>
    </w:p>
    <w:p w:rsidR="009D46E6" w:rsidRDefault="009D46E6" w:rsidP="00440B60"/>
    <w:p w:rsidR="009D46E6" w:rsidRDefault="009D46E6" w:rsidP="00440B60">
      <w:r>
        <w:t>Po poměrně výrazném poklesu celkových výdajů na VaV v letech 1990 až 1993</w:t>
      </w:r>
      <w:r>
        <w:rPr>
          <w:rStyle w:val="FootnoteReference"/>
          <w:rFonts w:cs="MetaPro-Normal"/>
        </w:rPr>
        <w:footnoteReference w:id="4"/>
      </w:r>
      <w:r>
        <w:t xml:space="preserve"> došlo v běžných cenách od roku 1993 v ČR ke kontinuálnímu nárůstu, i když s různou intenzitou, celkových investic do VaV (výjimkou byl rok 2008 s nepatrným meziročním poklesem). Pokles v roce 2008 byl pravděpodobně způsoben globální finanční a ekonomickou krizí, jež měla především dopad na firemní investice do VaV. V roce 2008 se výdaje za provedený VaV v ČR financované ze soukromých domácích zdrojů reálně propadly o 6,6 % a v následujícím roce dokonce o 12 %. Globální ekonomická krize však měla silně negativní dopad na výdaje na VaV nejen v ČR, ale na celém světě. Například v zemích OECD se v roce 2009 výdaje na VaV financované z podnikatelských zdrojů meziročně snížily o rekordních 5,5 %. Uvedený pokles firemních investic do VaV v roce 2009 byl v ČR plně kompenzován z ostatních zdrojů financování VaV, a to především ze státního rozpočtu ČR.</w:t>
      </w:r>
    </w:p>
    <w:p w:rsidR="009D46E6" w:rsidRDefault="009D46E6" w:rsidP="00070A59">
      <w:r>
        <w:t xml:space="preserve">V posledních třech letech (2010 až 2012) byl v ČR zaznamenán každoroční nárůst celkových výdajů na VaV s tím, že v posledních dvou letech byl tento růst velmi výrazný. Jak v roce 2011, tak i v roce 2012 celkové výdaje na VaV (GERD) vzrostly o téměř 10 mld. Kč. Kromě soukromých (podnikatelských) domácích a zahraničních zdrojů, které vzrostly v posledních dvou letech dohromady o čtvrtinu (6,7 mld. Kč) a státního rozpočtu ČR (nárůst o 3 mld. Kč; resp. 13 %), se nejvýrazněji na výše uvedeném nárůstu podílely veřejné zahraniční zdroje. Jestliže v roce 2010 dosáhlo financování VaV z těchto zdrojů 2,2 mld. Kč, tak o dva roky později to bylo již 11,6 mld. Kč. </w:t>
      </w:r>
    </w:p>
    <w:p w:rsidR="009D46E6" w:rsidRPr="00BC1D05" w:rsidRDefault="009D46E6" w:rsidP="00070A59">
      <w:pPr>
        <w:pStyle w:val="Caption"/>
      </w:pPr>
      <w:bookmarkStart w:id="31" w:name="_Toc369091922"/>
      <w:r>
        <w:t xml:space="preserve">Tabulka </w:t>
      </w:r>
      <w:fldSimple w:instr=" STYLEREF 1 \s ">
        <w:r>
          <w:rPr>
            <w:noProof/>
          </w:rPr>
          <w:t>A</w:t>
        </w:r>
      </w:fldSimple>
      <w:r>
        <w:t>.</w:t>
      </w:r>
      <w:fldSimple w:instr=" SEQ Tabulka \* ARABIC \s 1 ">
        <w:r>
          <w:rPr>
            <w:noProof/>
          </w:rPr>
          <w:t>1</w:t>
        </w:r>
      </w:fldSimple>
      <w:r w:rsidRPr="00BC1D05">
        <w:t xml:space="preserve">: </w:t>
      </w:r>
      <w:r w:rsidRPr="00070A59">
        <w:t>Meziroční změna celkových výdajů za VaV provedený v ČR, 2005</w:t>
      </w:r>
      <w:r>
        <w:t>-</w:t>
      </w:r>
      <w:r w:rsidRPr="00070A59">
        <w:t>2012</w:t>
      </w:r>
      <w:bookmarkEnd w:id="31"/>
    </w:p>
    <w:tbl>
      <w:tblPr>
        <w:tblW w:w="9639" w:type="dxa"/>
        <w:tblInd w:w="108" w:type="dxa"/>
        <w:tblBorders>
          <w:top w:val="single" w:sz="18" w:space="0" w:color="auto"/>
          <w:bottom w:val="single" w:sz="18" w:space="0" w:color="auto"/>
        </w:tblBorders>
        <w:tblLayout w:type="fixed"/>
        <w:tblLook w:val="00A0"/>
      </w:tblPr>
      <w:tblGrid>
        <w:gridCol w:w="2693"/>
        <w:gridCol w:w="867"/>
        <w:gridCol w:w="868"/>
        <w:gridCol w:w="868"/>
        <w:gridCol w:w="869"/>
        <w:gridCol w:w="868"/>
        <w:gridCol w:w="869"/>
        <w:gridCol w:w="868"/>
        <w:gridCol w:w="869"/>
      </w:tblGrid>
      <w:tr w:rsidR="009D46E6" w:rsidRPr="00DB1559" w:rsidTr="00DB1559">
        <w:trPr>
          <w:trHeight w:val="256"/>
        </w:trPr>
        <w:tc>
          <w:tcPr>
            <w:tcW w:w="2693" w:type="dxa"/>
            <w:tcBorders>
              <w:top w:val="single" w:sz="18" w:space="0" w:color="auto"/>
              <w:left w:val="nil"/>
              <w:bottom w:val="single" w:sz="18" w:space="0" w:color="auto"/>
              <w:right w:val="nil"/>
            </w:tcBorders>
            <w:shd w:val="clear" w:color="auto" w:fill="4F81BD"/>
            <w:noWrap/>
          </w:tcPr>
          <w:p w:rsidR="009D46E6" w:rsidRPr="00DB1559" w:rsidRDefault="009D46E6" w:rsidP="00DB1559">
            <w:pPr>
              <w:spacing w:after="0" w:line="240" w:lineRule="auto"/>
              <w:jc w:val="left"/>
              <w:rPr>
                <w:rFonts w:cs="Tahoma"/>
                <w:b/>
                <w:bCs/>
                <w:color w:val="FFFFFF"/>
                <w:sz w:val="16"/>
                <w:szCs w:val="16"/>
                <w:lang w:eastAsia="cs-CZ"/>
              </w:rPr>
            </w:pPr>
          </w:p>
        </w:tc>
        <w:tc>
          <w:tcPr>
            <w:tcW w:w="867" w:type="dxa"/>
            <w:tcBorders>
              <w:top w:val="single" w:sz="18" w:space="0" w:color="auto"/>
              <w:left w:val="nil"/>
              <w:bottom w:val="single" w:sz="18" w:space="0" w:color="auto"/>
              <w:right w:val="nil"/>
            </w:tcBorders>
            <w:shd w:val="clear" w:color="auto" w:fill="4F81BD"/>
            <w:noWrap/>
          </w:tcPr>
          <w:p w:rsidR="009D46E6" w:rsidRPr="00DB1559" w:rsidRDefault="009D46E6" w:rsidP="00DB1559">
            <w:pPr>
              <w:spacing w:after="0" w:line="240" w:lineRule="auto"/>
              <w:jc w:val="right"/>
              <w:rPr>
                <w:rFonts w:cs="Tahoma"/>
                <w:b/>
                <w:bCs/>
                <w:color w:val="FFFFFF"/>
                <w:sz w:val="16"/>
                <w:szCs w:val="16"/>
                <w:lang w:eastAsia="cs-CZ"/>
              </w:rPr>
            </w:pPr>
            <w:r w:rsidRPr="00DB1559">
              <w:rPr>
                <w:rFonts w:cs="Tahoma"/>
                <w:b/>
                <w:bCs/>
                <w:color w:val="FFFFFF"/>
                <w:sz w:val="16"/>
                <w:szCs w:val="16"/>
                <w:lang w:eastAsia="cs-CZ"/>
              </w:rPr>
              <w:t>2005</w:t>
            </w:r>
          </w:p>
        </w:tc>
        <w:tc>
          <w:tcPr>
            <w:tcW w:w="868" w:type="dxa"/>
            <w:tcBorders>
              <w:top w:val="single" w:sz="18" w:space="0" w:color="auto"/>
              <w:left w:val="nil"/>
              <w:bottom w:val="single" w:sz="18" w:space="0" w:color="auto"/>
              <w:right w:val="nil"/>
            </w:tcBorders>
            <w:shd w:val="clear" w:color="auto" w:fill="4F81BD"/>
            <w:noWrap/>
          </w:tcPr>
          <w:p w:rsidR="009D46E6" w:rsidRPr="00DB1559" w:rsidRDefault="009D46E6" w:rsidP="00DB1559">
            <w:pPr>
              <w:spacing w:after="0" w:line="240" w:lineRule="auto"/>
              <w:jc w:val="right"/>
              <w:rPr>
                <w:rFonts w:cs="Tahoma"/>
                <w:b/>
                <w:bCs/>
                <w:color w:val="FFFFFF"/>
                <w:sz w:val="16"/>
                <w:szCs w:val="16"/>
                <w:lang w:eastAsia="cs-CZ"/>
              </w:rPr>
            </w:pPr>
            <w:r w:rsidRPr="00DB1559">
              <w:rPr>
                <w:rFonts w:cs="Tahoma"/>
                <w:b/>
                <w:bCs/>
                <w:color w:val="FFFFFF"/>
                <w:sz w:val="16"/>
                <w:szCs w:val="16"/>
                <w:lang w:eastAsia="cs-CZ"/>
              </w:rPr>
              <w:t>2006</w:t>
            </w:r>
          </w:p>
        </w:tc>
        <w:tc>
          <w:tcPr>
            <w:tcW w:w="868" w:type="dxa"/>
            <w:tcBorders>
              <w:top w:val="single" w:sz="18" w:space="0" w:color="auto"/>
              <w:left w:val="nil"/>
              <w:bottom w:val="single" w:sz="18" w:space="0" w:color="auto"/>
              <w:right w:val="nil"/>
            </w:tcBorders>
            <w:shd w:val="clear" w:color="auto" w:fill="4F81BD"/>
            <w:noWrap/>
          </w:tcPr>
          <w:p w:rsidR="009D46E6" w:rsidRPr="00DB1559" w:rsidRDefault="009D46E6" w:rsidP="00DB1559">
            <w:pPr>
              <w:spacing w:after="0" w:line="240" w:lineRule="auto"/>
              <w:jc w:val="right"/>
              <w:rPr>
                <w:rFonts w:cs="Tahoma"/>
                <w:b/>
                <w:bCs/>
                <w:color w:val="FFFFFF"/>
                <w:sz w:val="16"/>
                <w:szCs w:val="16"/>
                <w:lang w:eastAsia="cs-CZ"/>
              </w:rPr>
            </w:pPr>
            <w:r w:rsidRPr="00DB1559">
              <w:rPr>
                <w:rFonts w:cs="Tahoma"/>
                <w:b/>
                <w:bCs/>
                <w:color w:val="FFFFFF"/>
                <w:sz w:val="16"/>
                <w:szCs w:val="16"/>
                <w:lang w:eastAsia="cs-CZ"/>
              </w:rPr>
              <w:t>2007</w:t>
            </w:r>
          </w:p>
        </w:tc>
        <w:tc>
          <w:tcPr>
            <w:tcW w:w="869" w:type="dxa"/>
            <w:tcBorders>
              <w:top w:val="single" w:sz="18" w:space="0" w:color="auto"/>
              <w:left w:val="nil"/>
              <w:bottom w:val="single" w:sz="18" w:space="0" w:color="auto"/>
              <w:right w:val="nil"/>
            </w:tcBorders>
            <w:shd w:val="clear" w:color="auto" w:fill="4F81BD"/>
            <w:noWrap/>
          </w:tcPr>
          <w:p w:rsidR="009D46E6" w:rsidRPr="00DB1559" w:rsidRDefault="009D46E6" w:rsidP="00DB1559">
            <w:pPr>
              <w:spacing w:after="0" w:line="240" w:lineRule="auto"/>
              <w:jc w:val="right"/>
              <w:rPr>
                <w:rFonts w:cs="Tahoma"/>
                <w:b/>
                <w:bCs/>
                <w:color w:val="FFFFFF"/>
                <w:sz w:val="16"/>
                <w:szCs w:val="16"/>
                <w:lang w:eastAsia="cs-CZ"/>
              </w:rPr>
            </w:pPr>
            <w:r w:rsidRPr="00DB1559">
              <w:rPr>
                <w:rFonts w:cs="Tahoma"/>
                <w:b/>
                <w:bCs/>
                <w:color w:val="FFFFFF"/>
                <w:sz w:val="16"/>
                <w:szCs w:val="16"/>
                <w:lang w:eastAsia="cs-CZ"/>
              </w:rPr>
              <w:t>2008</w:t>
            </w:r>
          </w:p>
        </w:tc>
        <w:tc>
          <w:tcPr>
            <w:tcW w:w="868" w:type="dxa"/>
            <w:tcBorders>
              <w:top w:val="single" w:sz="18" w:space="0" w:color="auto"/>
              <w:left w:val="nil"/>
              <w:bottom w:val="single" w:sz="18" w:space="0" w:color="auto"/>
              <w:right w:val="nil"/>
            </w:tcBorders>
            <w:shd w:val="clear" w:color="auto" w:fill="4F81BD"/>
            <w:noWrap/>
          </w:tcPr>
          <w:p w:rsidR="009D46E6" w:rsidRPr="00DB1559" w:rsidRDefault="009D46E6" w:rsidP="00DB1559">
            <w:pPr>
              <w:spacing w:after="0" w:line="240" w:lineRule="auto"/>
              <w:jc w:val="right"/>
              <w:rPr>
                <w:rFonts w:cs="Tahoma"/>
                <w:b/>
                <w:bCs/>
                <w:color w:val="FFFFFF"/>
                <w:sz w:val="16"/>
                <w:szCs w:val="16"/>
                <w:lang w:eastAsia="cs-CZ"/>
              </w:rPr>
            </w:pPr>
            <w:r w:rsidRPr="00DB1559">
              <w:rPr>
                <w:rFonts w:cs="Tahoma"/>
                <w:b/>
                <w:bCs/>
                <w:color w:val="FFFFFF"/>
                <w:sz w:val="16"/>
                <w:szCs w:val="16"/>
                <w:lang w:eastAsia="cs-CZ"/>
              </w:rPr>
              <w:t>2009</w:t>
            </w:r>
          </w:p>
        </w:tc>
        <w:tc>
          <w:tcPr>
            <w:tcW w:w="869" w:type="dxa"/>
            <w:tcBorders>
              <w:top w:val="single" w:sz="18" w:space="0" w:color="auto"/>
              <w:left w:val="nil"/>
              <w:bottom w:val="single" w:sz="18" w:space="0" w:color="auto"/>
              <w:right w:val="nil"/>
            </w:tcBorders>
            <w:shd w:val="clear" w:color="auto" w:fill="4F81BD"/>
            <w:noWrap/>
          </w:tcPr>
          <w:p w:rsidR="009D46E6" w:rsidRPr="00DB1559" w:rsidRDefault="009D46E6" w:rsidP="00DB1559">
            <w:pPr>
              <w:spacing w:after="0" w:line="240" w:lineRule="auto"/>
              <w:jc w:val="right"/>
              <w:rPr>
                <w:rFonts w:cs="Tahoma"/>
                <w:b/>
                <w:bCs/>
                <w:color w:val="FFFFFF"/>
                <w:sz w:val="16"/>
                <w:szCs w:val="16"/>
                <w:lang w:eastAsia="cs-CZ"/>
              </w:rPr>
            </w:pPr>
            <w:r w:rsidRPr="00DB1559">
              <w:rPr>
                <w:rFonts w:cs="Tahoma"/>
                <w:b/>
                <w:bCs/>
                <w:color w:val="FFFFFF"/>
                <w:sz w:val="16"/>
                <w:szCs w:val="16"/>
                <w:lang w:eastAsia="cs-CZ"/>
              </w:rPr>
              <w:t>2010</w:t>
            </w:r>
          </w:p>
        </w:tc>
        <w:tc>
          <w:tcPr>
            <w:tcW w:w="868" w:type="dxa"/>
            <w:tcBorders>
              <w:top w:val="single" w:sz="18" w:space="0" w:color="auto"/>
              <w:left w:val="nil"/>
              <w:bottom w:val="single" w:sz="18" w:space="0" w:color="auto"/>
              <w:right w:val="nil"/>
            </w:tcBorders>
            <w:shd w:val="clear" w:color="auto" w:fill="4F81BD"/>
            <w:noWrap/>
          </w:tcPr>
          <w:p w:rsidR="009D46E6" w:rsidRPr="00DB1559" w:rsidRDefault="009D46E6" w:rsidP="00DB1559">
            <w:pPr>
              <w:spacing w:after="0" w:line="240" w:lineRule="auto"/>
              <w:jc w:val="right"/>
              <w:rPr>
                <w:rFonts w:cs="Tahoma"/>
                <w:b/>
                <w:bCs/>
                <w:color w:val="FFFFFF"/>
                <w:sz w:val="16"/>
                <w:szCs w:val="16"/>
                <w:lang w:eastAsia="cs-CZ"/>
              </w:rPr>
            </w:pPr>
            <w:r w:rsidRPr="00DB1559">
              <w:rPr>
                <w:rFonts w:cs="Tahoma"/>
                <w:b/>
                <w:bCs/>
                <w:color w:val="FFFFFF"/>
                <w:sz w:val="16"/>
                <w:szCs w:val="16"/>
                <w:lang w:eastAsia="cs-CZ"/>
              </w:rPr>
              <w:t>2011</w:t>
            </w:r>
          </w:p>
        </w:tc>
        <w:tc>
          <w:tcPr>
            <w:tcW w:w="869" w:type="dxa"/>
            <w:tcBorders>
              <w:top w:val="single" w:sz="18" w:space="0" w:color="auto"/>
              <w:left w:val="nil"/>
              <w:bottom w:val="single" w:sz="18" w:space="0" w:color="auto"/>
              <w:right w:val="nil"/>
            </w:tcBorders>
            <w:shd w:val="clear" w:color="auto" w:fill="4F81BD"/>
            <w:noWrap/>
          </w:tcPr>
          <w:p w:rsidR="009D46E6" w:rsidRPr="00DB1559" w:rsidRDefault="009D46E6" w:rsidP="00DB1559">
            <w:pPr>
              <w:spacing w:after="0" w:line="240" w:lineRule="auto"/>
              <w:jc w:val="right"/>
              <w:rPr>
                <w:rFonts w:cs="Tahoma"/>
                <w:b/>
                <w:bCs/>
                <w:color w:val="FFFFFF"/>
                <w:sz w:val="16"/>
                <w:szCs w:val="16"/>
                <w:lang w:eastAsia="cs-CZ"/>
              </w:rPr>
            </w:pPr>
            <w:r w:rsidRPr="00DB1559">
              <w:rPr>
                <w:rFonts w:cs="Tahoma"/>
                <w:b/>
                <w:bCs/>
                <w:color w:val="FFFFFF"/>
                <w:sz w:val="16"/>
                <w:szCs w:val="16"/>
                <w:lang w:eastAsia="cs-CZ"/>
              </w:rPr>
              <w:t>2012</w:t>
            </w:r>
          </w:p>
        </w:tc>
      </w:tr>
      <w:tr w:rsidR="009D46E6" w:rsidRPr="00DB1559" w:rsidTr="00DB1559">
        <w:trPr>
          <w:trHeight w:val="256"/>
        </w:trPr>
        <w:tc>
          <w:tcPr>
            <w:tcW w:w="2693" w:type="dxa"/>
            <w:tcBorders>
              <w:left w:val="nil"/>
              <w:bottom w:val="nil"/>
              <w:right w:val="nil"/>
            </w:tcBorders>
            <w:shd w:val="clear" w:color="auto" w:fill="4F81BD"/>
            <w:noWrap/>
            <w:vAlign w:val="center"/>
          </w:tcPr>
          <w:p w:rsidR="009D46E6" w:rsidRPr="00DB1559" w:rsidRDefault="009D46E6" w:rsidP="00DB1559">
            <w:pPr>
              <w:spacing w:after="0" w:line="240" w:lineRule="auto"/>
              <w:jc w:val="left"/>
              <w:rPr>
                <w:rFonts w:cs="Tahoma"/>
                <w:b/>
                <w:bCs/>
                <w:color w:val="FFFFFF"/>
                <w:sz w:val="16"/>
                <w:szCs w:val="16"/>
                <w:lang w:eastAsia="cs-CZ"/>
              </w:rPr>
            </w:pPr>
            <w:r w:rsidRPr="00DB1559">
              <w:rPr>
                <w:rFonts w:cs="Tahoma"/>
                <w:b/>
                <w:bCs/>
                <w:color w:val="FFFFFF"/>
                <w:sz w:val="16"/>
                <w:szCs w:val="16"/>
                <w:lang w:eastAsia="cs-CZ"/>
              </w:rPr>
              <w:t>Mld. Kč v běžných cenách</w:t>
            </w:r>
          </w:p>
        </w:tc>
        <w:tc>
          <w:tcPr>
            <w:tcW w:w="867" w:type="dxa"/>
            <w:shd w:val="clear" w:color="auto" w:fill="D8D8D8"/>
            <w:noWrap/>
            <w:vAlign w:val="center"/>
          </w:tcPr>
          <w:p w:rsidR="009D46E6" w:rsidRPr="00DB1559" w:rsidRDefault="009D46E6" w:rsidP="00DB1559">
            <w:pPr>
              <w:spacing w:after="0" w:line="240" w:lineRule="auto"/>
              <w:jc w:val="right"/>
              <w:rPr>
                <w:rFonts w:cs="Tahoma"/>
                <w:b/>
                <w:color w:val="000000"/>
                <w:sz w:val="16"/>
                <w:szCs w:val="16"/>
                <w:lang w:eastAsia="cs-CZ"/>
              </w:rPr>
            </w:pPr>
            <w:r w:rsidRPr="00DB1559">
              <w:rPr>
                <w:rFonts w:cs="Tahoma"/>
                <w:b/>
                <w:color w:val="000000"/>
                <w:sz w:val="16"/>
                <w:szCs w:val="16"/>
                <w:lang w:eastAsia="cs-CZ"/>
              </w:rPr>
              <w:t>3,1</w:t>
            </w:r>
          </w:p>
        </w:tc>
        <w:tc>
          <w:tcPr>
            <w:tcW w:w="868" w:type="dxa"/>
            <w:shd w:val="clear" w:color="auto" w:fill="D8D8D8"/>
            <w:noWrap/>
            <w:vAlign w:val="center"/>
          </w:tcPr>
          <w:p w:rsidR="009D46E6" w:rsidRPr="00DB1559" w:rsidRDefault="009D46E6" w:rsidP="00DB1559">
            <w:pPr>
              <w:spacing w:after="0" w:line="240" w:lineRule="auto"/>
              <w:jc w:val="right"/>
              <w:rPr>
                <w:rFonts w:cs="Tahoma"/>
                <w:b/>
                <w:color w:val="000000"/>
                <w:sz w:val="16"/>
                <w:szCs w:val="16"/>
                <w:lang w:eastAsia="cs-CZ"/>
              </w:rPr>
            </w:pPr>
            <w:r w:rsidRPr="00DB1559">
              <w:rPr>
                <w:rFonts w:cs="Tahoma"/>
                <w:b/>
                <w:color w:val="000000"/>
                <w:sz w:val="16"/>
                <w:szCs w:val="16"/>
                <w:lang w:eastAsia="cs-CZ"/>
              </w:rPr>
              <w:t>5,1</w:t>
            </w:r>
          </w:p>
        </w:tc>
        <w:tc>
          <w:tcPr>
            <w:tcW w:w="868" w:type="dxa"/>
            <w:shd w:val="clear" w:color="auto" w:fill="D8D8D8"/>
            <w:noWrap/>
            <w:vAlign w:val="center"/>
          </w:tcPr>
          <w:p w:rsidR="009D46E6" w:rsidRPr="00DB1559" w:rsidRDefault="009D46E6" w:rsidP="00DB1559">
            <w:pPr>
              <w:spacing w:after="0" w:line="240" w:lineRule="auto"/>
              <w:jc w:val="right"/>
              <w:rPr>
                <w:rFonts w:cs="Tahoma"/>
                <w:b/>
                <w:color w:val="000000"/>
                <w:sz w:val="16"/>
                <w:szCs w:val="16"/>
                <w:lang w:eastAsia="cs-CZ"/>
              </w:rPr>
            </w:pPr>
            <w:r w:rsidRPr="00DB1559">
              <w:rPr>
                <w:rFonts w:cs="Tahoma"/>
                <w:b/>
                <w:color w:val="000000"/>
                <w:sz w:val="16"/>
                <w:szCs w:val="16"/>
                <w:lang w:eastAsia="cs-CZ"/>
              </w:rPr>
              <w:t>6,7</w:t>
            </w:r>
          </w:p>
        </w:tc>
        <w:tc>
          <w:tcPr>
            <w:tcW w:w="869" w:type="dxa"/>
            <w:shd w:val="clear" w:color="auto" w:fill="D8D8D8"/>
            <w:noWrap/>
            <w:vAlign w:val="center"/>
          </w:tcPr>
          <w:p w:rsidR="009D46E6" w:rsidRPr="00DB1559" w:rsidRDefault="009D46E6" w:rsidP="00DB1559">
            <w:pPr>
              <w:spacing w:after="0" w:line="240" w:lineRule="auto"/>
              <w:jc w:val="right"/>
              <w:rPr>
                <w:rFonts w:cs="Tahoma"/>
                <w:b/>
                <w:color w:val="000000"/>
                <w:sz w:val="16"/>
                <w:szCs w:val="16"/>
                <w:lang w:eastAsia="cs-CZ"/>
              </w:rPr>
            </w:pPr>
            <w:r w:rsidRPr="00DB1559">
              <w:rPr>
                <w:rFonts w:cs="Tahoma"/>
                <w:b/>
                <w:color w:val="000000"/>
                <w:sz w:val="16"/>
                <w:szCs w:val="16"/>
                <w:lang w:eastAsia="cs-CZ"/>
              </w:rPr>
              <w:t>-0,1</w:t>
            </w:r>
          </w:p>
        </w:tc>
        <w:tc>
          <w:tcPr>
            <w:tcW w:w="868" w:type="dxa"/>
            <w:shd w:val="clear" w:color="auto" w:fill="D8D8D8"/>
            <w:noWrap/>
            <w:vAlign w:val="center"/>
          </w:tcPr>
          <w:p w:rsidR="009D46E6" w:rsidRPr="00DB1559" w:rsidRDefault="009D46E6" w:rsidP="00DB1559">
            <w:pPr>
              <w:spacing w:after="0" w:line="240" w:lineRule="auto"/>
              <w:jc w:val="right"/>
              <w:rPr>
                <w:rFonts w:cs="Tahoma"/>
                <w:b/>
                <w:color w:val="000000"/>
                <w:sz w:val="16"/>
                <w:szCs w:val="16"/>
                <w:lang w:eastAsia="cs-CZ"/>
              </w:rPr>
            </w:pPr>
            <w:r w:rsidRPr="00DB1559">
              <w:rPr>
                <w:rFonts w:cs="Tahoma"/>
                <w:b/>
                <w:color w:val="000000"/>
                <w:sz w:val="16"/>
                <w:szCs w:val="16"/>
                <w:lang w:eastAsia="cs-CZ"/>
              </w:rPr>
              <w:t>1,0</w:t>
            </w:r>
          </w:p>
        </w:tc>
        <w:tc>
          <w:tcPr>
            <w:tcW w:w="869" w:type="dxa"/>
            <w:shd w:val="clear" w:color="auto" w:fill="D8D8D8"/>
            <w:noWrap/>
            <w:vAlign w:val="center"/>
          </w:tcPr>
          <w:p w:rsidR="009D46E6" w:rsidRPr="00DB1559" w:rsidRDefault="009D46E6" w:rsidP="00DB1559">
            <w:pPr>
              <w:spacing w:after="0" w:line="240" w:lineRule="auto"/>
              <w:jc w:val="right"/>
              <w:rPr>
                <w:rFonts w:cs="Tahoma"/>
                <w:b/>
                <w:color w:val="000000"/>
                <w:sz w:val="16"/>
                <w:szCs w:val="16"/>
                <w:lang w:eastAsia="cs-CZ"/>
              </w:rPr>
            </w:pPr>
            <w:r w:rsidRPr="00DB1559">
              <w:rPr>
                <w:rFonts w:cs="Tahoma"/>
                <w:b/>
                <w:color w:val="000000"/>
                <w:sz w:val="16"/>
                <w:szCs w:val="16"/>
                <w:lang w:eastAsia="cs-CZ"/>
              </w:rPr>
              <w:t>2,1</w:t>
            </w:r>
          </w:p>
        </w:tc>
        <w:tc>
          <w:tcPr>
            <w:tcW w:w="868" w:type="dxa"/>
            <w:shd w:val="clear" w:color="auto" w:fill="D8D8D8"/>
            <w:noWrap/>
            <w:vAlign w:val="center"/>
          </w:tcPr>
          <w:p w:rsidR="009D46E6" w:rsidRPr="00DB1559" w:rsidRDefault="009D46E6" w:rsidP="00DB1559">
            <w:pPr>
              <w:spacing w:after="0" w:line="240" w:lineRule="auto"/>
              <w:jc w:val="right"/>
              <w:rPr>
                <w:rFonts w:cs="Tahoma"/>
                <w:b/>
                <w:color w:val="000000"/>
                <w:sz w:val="16"/>
                <w:szCs w:val="16"/>
                <w:lang w:eastAsia="cs-CZ"/>
              </w:rPr>
            </w:pPr>
            <w:r w:rsidRPr="00DB1559">
              <w:rPr>
                <w:rFonts w:cs="Tahoma"/>
                <w:b/>
                <w:color w:val="000000"/>
                <w:sz w:val="16"/>
                <w:szCs w:val="16"/>
                <w:lang w:eastAsia="cs-CZ"/>
              </w:rPr>
              <w:t>9,8</w:t>
            </w:r>
          </w:p>
        </w:tc>
        <w:tc>
          <w:tcPr>
            <w:tcW w:w="869" w:type="dxa"/>
            <w:shd w:val="clear" w:color="auto" w:fill="D8D8D8"/>
            <w:noWrap/>
            <w:vAlign w:val="center"/>
          </w:tcPr>
          <w:p w:rsidR="009D46E6" w:rsidRPr="00DB1559" w:rsidRDefault="009D46E6" w:rsidP="00DB1559">
            <w:pPr>
              <w:spacing w:after="0" w:line="240" w:lineRule="auto"/>
              <w:jc w:val="right"/>
              <w:rPr>
                <w:rFonts w:cs="Tahoma"/>
                <w:b/>
                <w:color w:val="000000"/>
                <w:sz w:val="16"/>
                <w:szCs w:val="16"/>
                <w:lang w:eastAsia="cs-CZ"/>
              </w:rPr>
            </w:pPr>
            <w:r w:rsidRPr="00DB1559">
              <w:rPr>
                <w:rFonts w:cs="Tahoma"/>
                <w:b/>
                <w:color w:val="000000"/>
                <w:sz w:val="16"/>
                <w:szCs w:val="16"/>
                <w:lang w:eastAsia="cs-CZ"/>
              </w:rPr>
              <w:t>9,6</w:t>
            </w:r>
          </w:p>
        </w:tc>
      </w:tr>
      <w:tr w:rsidR="009D46E6" w:rsidRPr="00DB1559" w:rsidTr="00DB1559">
        <w:trPr>
          <w:trHeight w:val="256"/>
        </w:trPr>
        <w:tc>
          <w:tcPr>
            <w:tcW w:w="2693" w:type="dxa"/>
            <w:tcBorders>
              <w:left w:val="nil"/>
              <w:bottom w:val="nil"/>
              <w:right w:val="nil"/>
            </w:tcBorders>
            <w:shd w:val="clear" w:color="auto" w:fill="4F81BD"/>
            <w:noWrap/>
            <w:vAlign w:val="center"/>
          </w:tcPr>
          <w:p w:rsidR="009D46E6" w:rsidRPr="00DB1559" w:rsidRDefault="009D46E6" w:rsidP="00DB1559">
            <w:pPr>
              <w:spacing w:after="0" w:line="240" w:lineRule="auto"/>
              <w:jc w:val="left"/>
              <w:rPr>
                <w:rFonts w:cs="Tahoma"/>
                <w:b/>
                <w:bCs/>
                <w:i/>
                <w:color w:val="FFFFFF"/>
                <w:sz w:val="16"/>
                <w:szCs w:val="16"/>
                <w:lang w:eastAsia="cs-CZ"/>
              </w:rPr>
            </w:pPr>
            <w:r w:rsidRPr="00DB1559">
              <w:rPr>
                <w:rFonts w:cs="Tahoma"/>
                <w:b/>
                <w:bCs/>
                <w:i/>
                <w:color w:val="FFFFFF"/>
                <w:sz w:val="16"/>
                <w:szCs w:val="16"/>
                <w:lang w:eastAsia="cs-CZ"/>
              </w:rPr>
              <w:t>% v běžných cenách</w:t>
            </w:r>
          </w:p>
        </w:tc>
        <w:tc>
          <w:tcPr>
            <w:tcW w:w="867" w:type="dxa"/>
            <w:noWrap/>
            <w:vAlign w:val="center"/>
          </w:tcPr>
          <w:p w:rsidR="009D46E6" w:rsidRPr="00DB1559" w:rsidRDefault="009D46E6" w:rsidP="00DB1559">
            <w:pPr>
              <w:spacing w:after="0" w:line="240" w:lineRule="auto"/>
              <w:jc w:val="right"/>
              <w:rPr>
                <w:rFonts w:cs="Tahoma"/>
                <w:i/>
                <w:color w:val="000000"/>
                <w:sz w:val="16"/>
                <w:szCs w:val="16"/>
                <w:lang w:eastAsia="cs-CZ"/>
              </w:rPr>
            </w:pPr>
            <w:r w:rsidRPr="00DB1559">
              <w:rPr>
                <w:rFonts w:cs="Tahoma"/>
                <w:i/>
                <w:color w:val="000000"/>
                <w:sz w:val="16"/>
                <w:szCs w:val="16"/>
                <w:lang w:eastAsia="cs-CZ"/>
              </w:rPr>
              <w:t>8,7%</w:t>
            </w:r>
          </w:p>
        </w:tc>
        <w:tc>
          <w:tcPr>
            <w:tcW w:w="868" w:type="dxa"/>
            <w:noWrap/>
            <w:vAlign w:val="center"/>
          </w:tcPr>
          <w:p w:rsidR="009D46E6" w:rsidRPr="00DB1559" w:rsidRDefault="009D46E6" w:rsidP="00DB1559">
            <w:pPr>
              <w:spacing w:after="0" w:line="240" w:lineRule="auto"/>
              <w:jc w:val="right"/>
              <w:rPr>
                <w:rFonts w:cs="Tahoma"/>
                <w:i/>
                <w:color w:val="000000"/>
                <w:sz w:val="16"/>
                <w:szCs w:val="16"/>
                <w:lang w:eastAsia="cs-CZ"/>
              </w:rPr>
            </w:pPr>
            <w:r w:rsidRPr="00DB1559">
              <w:rPr>
                <w:rFonts w:cs="Tahoma"/>
                <w:i/>
                <w:color w:val="000000"/>
                <w:sz w:val="16"/>
                <w:szCs w:val="16"/>
                <w:lang w:eastAsia="cs-CZ"/>
              </w:rPr>
              <w:t>13,4%</w:t>
            </w:r>
          </w:p>
        </w:tc>
        <w:tc>
          <w:tcPr>
            <w:tcW w:w="868" w:type="dxa"/>
            <w:noWrap/>
            <w:vAlign w:val="center"/>
          </w:tcPr>
          <w:p w:rsidR="009D46E6" w:rsidRPr="00DB1559" w:rsidRDefault="009D46E6" w:rsidP="00DB1559">
            <w:pPr>
              <w:spacing w:after="0" w:line="240" w:lineRule="auto"/>
              <w:jc w:val="right"/>
              <w:rPr>
                <w:rFonts w:cs="Tahoma"/>
                <w:i/>
                <w:color w:val="000000"/>
                <w:sz w:val="16"/>
                <w:szCs w:val="16"/>
                <w:lang w:eastAsia="cs-CZ"/>
              </w:rPr>
            </w:pPr>
            <w:r w:rsidRPr="00DB1559">
              <w:rPr>
                <w:rFonts w:cs="Tahoma"/>
                <w:i/>
                <w:color w:val="000000"/>
                <w:sz w:val="16"/>
                <w:szCs w:val="16"/>
                <w:lang w:eastAsia="cs-CZ"/>
              </w:rPr>
              <w:t>15,6%</w:t>
            </w:r>
          </w:p>
        </w:tc>
        <w:tc>
          <w:tcPr>
            <w:tcW w:w="869" w:type="dxa"/>
            <w:noWrap/>
            <w:vAlign w:val="center"/>
          </w:tcPr>
          <w:p w:rsidR="009D46E6" w:rsidRPr="00DB1559" w:rsidRDefault="009D46E6" w:rsidP="00DB1559">
            <w:pPr>
              <w:spacing w:after="0" w:line="240" w:lineRule="auto"/>
              <w:jc w:val="right"/>
              <w:rPr>
                <w:rFonts w:cs="Tahoma"/>
                <w:i/>
                <w:color w:val="000000"/>
                <w:sz w:val="16"/>
                <w:szCs w:val="16"/>
                <w:lang w:eastAsia="cs-CZ"/>
              </w:rPr>
            </w:pPr>
            <w:r w:rsidRPr="00DB1559">
              <w:rPr>
                <w:rFonts w:cs="Tahoma"/>
                <w:i/>
                <w:color w:val="000000"/>
                <w:sz w:val="16"/>
                <w:szCs w:val="16"/>
                <w:lang w:eastAsia="cs-CZ"/>
              </w:rPr>
              <w:t>-0,3%</w:t>
            </w:r>
          </w:p>
        </w:tc>
        <w:tc>
          <w:tcPr>
            <w:tcW w:w="868" w:type="dxa"/>
            <w:noWrap/>
            <w:vAlign w:val="center"/>
          </w:tcPr>
          <w:p w:rsidR="009D46E6" w:rsidRPr="00DB1559" w:rsidRDefault="009D46E6" w:rsidP="00DB1559">
            <w:pPr>
              <w:spacing w:after="0" w:line="240" w:lineRule="auto"/>
              <w:jc w:val="right"/>
              <w:rPr>
                <w:rFonts w:cs="Tahoma"/>
                <w:i/>
                <w:color w:val="000000"/>
                <w:sz w:val="16"/>
                <w:szCs w:val="16"/>
                <w:lang w:eastAsia="cs-CZ"/>
              </w:rPr>
            </w:pPr>
            <w:r w:rsidRPr="00DB1559">
              <w:rPr>
                <w:rFonts w:cs="Tahoma"/>
                <w:i/>
                <w:color w:val="000000"/>
                <w:sz w:val="16"/>
                <w:szCs w:val="16"/>
                <w:lang w:eastAsia="cs-CZ"/>
              </w:rPr>
              <w:t>2,0%</w:t>
            </w:r>
          </w:p>
        </w:tc>
        <w:tc>
          <w:tcPr>
            <w:tcW w:w="869" w:type="dxa"/>
            <w:noWrap/>
            <w:vAlign w:val="center"/>
          </w:tcPr>
          <w:p w:rsidR="009D46E6" w:rsidRPr="00DB1559" w:rsidRDefault="009D46E6" w:rsidP="00DB1559">
            <w:pPr>
              <w:spacing w:after="0" w:line="240" w:lineRule="auto"/>
              <w:jc w:val="right"/>
              <w:rPr>
                <w:rFonts w:cs="Tahoma"/>
                <w:i/>
                <w:color w:val="000000"/>
                <w:sz w:val="16"/>
                <w:szCs w:val="16"/>
                <w:lang w:eastAsia="cs-CZ"/>
              </w:rPr>
            </w:pPr>
            <w:r w:rsidRPr="00DB1559">
              <w:rPr>
                <w:rFonts w:cs="Tahoma"/>
                <w:i/>
                <w:color w:val="000000"/>
                <w:sz w:val="16"/>
                <w:szCs w:val="16"/>
                <w:lang w:eastAsia="cs-CZ"/>
              </w:rPr>
              <w:t>4,1%</w:t>
            </w:r>
          </w:p>
        </w:tc>
        <w:tc>
          <w:tcPr>
            <w:tcW w:w="868" w:type="dxa"/>
            <w:noWrap/>
            <w:vAlign w:val="center"/>
          </w:tcPr>
          <w:p w:rsidR="009D46E6" w:rsidRPr="00DB1559" w:rsidRDefault="009D46E6" w:rsidP="00DB1559">
            <w:pPr>
              <w:spacing w:after="0" w:line="240" w:lineRule="auto"/>
              <w:jc w:val="right"/>
              <w:rPr>
                <w:rFonts w:cs="Tahoma"/>
                <w:i/>
                <w:color w:val="000000"/>
                <w:sz w:val="16"/>
                <w:szCs w:val="16"/>
                <w:lang w:eastAsia="cs-CZ"/>
              </w:rPr>
            </w:pPr>
            <w:r w:rsidRPr="00DB1559">
              <w:rPr>
                <w:rFonts w:cs="Tahoma"/>
                <w:i/>
                <w:color w:val="000000"/>
                <w:sz w:val="16"/>
                <w:szCs w:val="16"/>
                <w:lang w:eastAsia="cs-CZ"/>
              </w:rPr>
              <w:t>18,5%</w:t>
            </w:r>
          </w:p>
        </w:tc>
        <w:tc>
          <w:tcPr>
            <w:tcW w:w="869" w:type="dxa"/>
            <w:noWrap/>
            <w:vAlign w:val="center"/>
          </w:tcPr>
          <w:p w:rsidR="009D46E6" w:rsidRPr="00DB1559" w:rsidRDefault="009D46E6" w:rsidP="00DB1559">
            <w:pPr>
              <w:spacing w:after="0" w:line="240" w:lineRule="auto"/>
              <w:jc w:val="right"/>
              <w:rPr>
                <w:rFonts w:cs="Tahoma"/>
                <w:i/>
                <w:color w:val="000000"/>
                <w:sz w:val="16"/>
                <w:szCs w:val="16"/>
                <w:lang w:eastAsia="cs-CZ"/>
              </w:rPr>
            </w:pPr>
            <w:r w:rsidRPr="00DB1559">
              <w:rPr>
                <w:rFonts w:cs="Tahoma"/>
                <w:i/>
                <w:color w:val="000000"/>
                <w:sz w:val="16"/>
                <w:szCs w:val="16"/>
                <w:lang w:eastAsia="cs-CZ"/>
              </w:rPr>
              <w:t>15,3%</w:t>
            </w:r>
          </w:p>
        </w:tc>
      </w:tr>
      <w:tr w:rsidR="009D46E6" w:rsidRPr="00DB1559" w:rsidTr="00DB1559">
        <w:trPr>
          <w:trHeight w:val="256"/>
        </w:trPr>
        <w:tc>
          <w:tcPr>
            <w:tcW w:w="2693" w:type="dxa"/>
            <w:tcBorders>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left"/>
              <w:rPr>
                <w:rFonts w:cs="Tahoma"/>
                <w:b/>
                <w:bCs/>
                <w:i/>
                <w:color w:val="FFFFFF"/>
                <w:sz w:val="16"/>
                <w:szCs w:val="16"/>
                <w:lang w:eastAsia="cs-CZ"/>
              </w:rPr>
            </w:pPr>
            <w:r w:rsidRPr="00DB1559">
              <w:rPr>
                <w:rFonts w:cs="Tahoma"/>
                <w:b/>
                <w:bCs/>
                <w:i/>
                <w:color w:val="FFFFFF"/>
                <w:sz w:val="16"/>
                <w:szCs w:val="16"/>
                <w:lang w:eastAsia="cs-CZ"/>
              </w:rPr>
              <w:t>% ve stálých cenách r. 2005</w:t>
            </w:r>
          </w:p>
        </w:tc>
        <w:tc>
          <w:tcPr>
            <w:tcW w:w="867" w:type="dxa"/>
            <w:tcBorders>
              <w:bottom w:val="single" w:sz="18" w:space="0" w:color="auto"/>
            </w:tcBorders>
            <w:shd w:val="clear" w:color="auto" w:fill="D8D8D8"/>
            <w:noWrap/>
            <w:vAlign w:val="center"/>
          </w:tcPr>
          <w:p w:rsidR="009D46E6" w:rsidRPr="00DB1559" w:rsidRDefault="009D46E6" w:rsidP="00DB1559">
            <w:pPr>
              <w:spacing w:after="0" w:line="240" w:lineRule="auto"/>
              <w:jc w:val="right"/>
              <w:rPr>
                <w:rFonts w:cs="Tahoma"/>
                <w:i/>
                <w:color w:val="000000"/>
                <w:sz w:val="16"/>
                <w:szCs w:val="16"/>
                <w:lang w:eastAsia="cs-CZ"/>
              </w:rPr>
            </w:pPr>
            <w:r w:rsidRPr="00DB1559">
              <w:rPr>
                <w:rFonts w:cs="Tahoma"/>
                <w:i/>
                <w:color w:val="000000"/>
                <w:sz w:val="16"/>
                <w:szCs w:val="16"/>
                <w:lang w:eastAsia="cs-CZ"/>
              </w:rPr>
              <w:t>9,1%</w:t>
            </w:r>
          </w:p>
        </w:tc>
        <w:tc>
          <w:tcPr>
            <w:tcW w:w="868" w:type="dxa"/>
            <w:tcBorders>
              <w:bottom w:val="single" w:sz="18" w:space="0" w:color="auto"/>
            </w:tcBorders>
            <w:shd w:val="clear" w:color="auto" w:fill="D8D8D8"/>
            <w:noWrap/>
            <w:vAlign w:val="center"/>
          </w:tcPr>
          <w:p w:rsidR="009D46E6" w:rsidRPr="00DB1559" w:rsidRDefault="009D46E6" w:rsidP="00DB1559">
            <w:pPr>
              <w:spacing w:after="0" w:line="240" w:lineRule="auto"/>
              <w:jc w:val="right"/>
              <w:rPr>
                <w:rFonts w:cs="Tahoma"/>
                <w:i/>
                <w:color w:val="000000"/>
                <w:sz w:val="16"/>
                <w:szCs w:val="16"/>
                <w:lang w:eastAsia="cs-CZ"/>
              </w:rPr>
            </w:pPr>
            <w:r w:rsidRPr="00DB1559">
              <w:rPr>
                <w:rFonts w:cs="Tahoma"/>
                <w:i/>
                <w:color w:val="000000"/>
                <w:sz w:val="16"/>
                <w:szCs w:val="16"/>
                <w:lang w:eastAsia="cs-CZ"/>
              </w:rPr>
              <w:t>12,8%</w:t>
            </w:r>
          </w:p>
        </w:tc>
        <w:tc>
          <w:tcPr>
            <w:tcW w:w="868" w:type="dxa"/>
            <w:tcBorders>
              <w:bottom w:val="single" w:sz="18" w:space="0" w:color="auto"/>
            </w:tcBorders>
            <w:shd w:val="clear" w:color="auto" w:fill="D8D8D8"/>
            <w:noWrap/>
            <w:vAlign w:val="center"/>
          </w:tcPr>
          <w:p w:rsidR="009D46E6" w:rsidRPr="00DB1559" w:rsidRDefault="009D46E6" w:rsidP="00DB1559">
            <w:pPr>
              <w:spacing w:after="0" w:line="240" w:lineRule="auto"/>
              <w:jc w:val="right"/>
              <w:rPr>
                <w:rFonts w:cs="Tahoma"/>
                <w:i/>
                <w:color w:val="000000"/>
                <w:sz w:val="16"/>
                <w:szCs w:val="16"/>
                <w:lang w:eastAsia="cs-CZ"/>
              </w:rPr>
            </w:pPr>
            <w:r w:rsidRPr="00DB1559">
              <w:rPr>
                <w:rFonts w:cs="Tahoma"/>
                <w:i/>
                <w:color w:val="000000"/>
                <w:sz w:val="16"/>
                <w:szCs w:val="16"/>
                <w:lang w:eastAsia="cs-CZ"/>
              </w:rPr>
              <w:t>11,9%</w:t>
            </w:r>
          </w:p>
        </w:tc>
        <w:tc>
          <w:tcPr>
            <w:tcW w:w="869" w:type="dxa"/>
            <w:tcBorders>
              <w:bottom w:val="single" w:sz="18" w:space="0" w:color="auto"/>
            </w:tcBorders>
            <w:shd w:val="clear" w:color="auto" w:fill="D8D8D8"/>
            <w:noWrap/>
            <w:vAlign w:val="center"/>
          </w:tcPr>
          <w:p w:rsidR="009D46E6" w:rsidRPr="00DB1559" w:rsidRDefault="009D46E6" w:rsidP="00DB1559">
            <w:pPr>
              <w:spacing w:after="0" w:line="240" w:lineRule="auto"/>
              <w:jc w:val="right"/>
              <w:rPr>
                <w:rFonts w:cs="Tahoma"/>
                <w:i/>
                <w:color w:val="000000"/>
                <w:sz w:val="16"/>
                <w:szCs w:val="16"/>
                <w:lang w:eastAsia="cs-CZ"/>
              </w:rPr>
            </w:pPr>
            <w:r w:rsidRPr="00DB1559">
              <w:rPr>
                <w:rFonts w:cs="Tahoma"/>
                <w:i/>
                <w:color w:val="000000"/>
                <w:sz w:val="16"/>
                <w:szCs w:val="16"/>
                <w:lang w:eastAsia="cs-CZ"/>
              </w:rPr>
              <w:t>-2,1%</w:t>
            </w:r>
          </w:p>
        </w:tc>
        <w:tc>
          <w:tcPr>
            <w:tcW w:w="868" w:type="dxa"/>
            <w:tcBorders>
              <w:bottom w:val="single" w:sz="18" w:space="0" w:color="auto"/>
            </w:tcBorders>
            <w:shd w:val="clear" w:color="auto" w:fill="D8D8D8"/>
            <w:noWrap/>
            <w:vAlign w:val="center"/>
          </w:tcPr>
          <w:p w:rsidR="009D46E6" w:rsidRPr="00DB1559" w:rsidRDefault="009D46E6" w:rsidP="00DB1559">
            <w:pPr>
              <w:spacing w:after="0" w:line="240" w:lineRule="auto"/>
              <w:jc w:val="right"/>
              <w:rPr>
                <w:rFonts w:cs="Tahoma"/>
                <w:i/>
                <w:color w:val="000000"/>
                <w:sz w:val="16"/>
                <w:szCs w:val="16"/>
                <w:lang w:eastAsia="cs-CZ"/>
              </w:rPr>
            </w:pPr>
            <w:r w:rsidRPr="00DB1559">
              <w:rPr>
                <w:rFonts w:cs="Tahoma"/>
                <w:i/>
                <w:color w:val="000000"/>
                <w:sz w:val="16"/>
                <w:szCs w:val="16"/>
                <w:lang w:eastAsia="cs-CZ"/>
              </w:rPr>
              <w:t>-0,3%</w:t>
            </w:r>
          </w:p>
        </w:tc>
        <w:tc>
          <w:tcPr>
            <w:tcW w:w="869" w:type="dxa"/>
            <w:tcBorders>
              <w:bottom w:val="single" w:sz="18" w:space="0" w:color="auto"/>
            </w:tcBorders>
            <w:shd w:val="clear" w:color="auto" w:fill="D8D8D8"/>
            <w:noWrap/>
            <w:vAlign w:val="center"/>
          </w:tcPr>
          <w:p w:rsidR="009D46E6" w:rsidRPr="00DB1559" w:rsidRDefault="009D46E6" w:rsidP="00DB1559">
            <w:pPr>
              <w:spacing w:after="0" w:line="240" w:lineRule="auto"/>
              <w:jc w:val="right"/>
              <w:rPr>
                <w:rFonts w:cs="Tahoma"/>
                <w:i/>
                <w:color w:val="000000"/>
                <w:sz w:val="16"/>
                <w:szCs w:val="16"/>
                <w:lang w:eastAsia="cs-CZ"/>
              </w:rPr>
            </w:pPr>
            <w:r w:rsidRPr="00DB1559">
              <w:rPr>
                <w:rFonts w:cs="Tahoma"/>
                <w:i/>
                <w:color w:val="000000"/>
                <w:sz w:val="16"/>
                <w:szCs w:val="16"/>
                <w:lang w:eastAsia="cs-CZ"/>
              </w:rPr>
              <w:t>5,8%</w:t>
            </w:r>
          </w:p>
        </w:tc>
        <w:tc>
          <w:tcPr>
            <w:tcW w:w="868" w:type="dxa"/>
            <w:tcBorders>
              <w:bottom w:val="single" w:sz="18" w:space="0" w:color="auto"/>
            </w:tcBorders>
            <w:shd w:val="clear" w:color="auto" w:fill="D8D8D8"/>
            <w:noWrap/>
            <w:vAlign w:val="center"/>
          </w:tcPr>
          <w:p w:rsidR="009D46E6" w:rsidRPr="00DB1559" w:rsidRDefault="009D46E6" w:rsidP="00DB1559">
            <w:pPr>
              <w:spacing w:after="0" w:line="240" w:lineRule="auto"/>
              <w:jc w:val="right"/>
              <w:rPr>
                <w:rFonts w:cs="Tahoma"/>
                <w:i/>
                <w:color w:val="000000"/>
                <w:sz w:val="16"/>
                <w:szCs w:val="16"/>
                <w:lang w:eastAsia="cs-CZ"/>
              </w:rPr>
            </w:pPr>
            <w:r w:rsidRPr="00DB1559">
              <w:rPr>
                <w:rFonts w:cs="Tahoma"/>
                <w:i/>
                <w:color w:val="000000"/>
                <w:sz w:val="16"/>
                <w:szCs w:val="16"/>
                <w:lang w:eastAsia="cs-CZ"/>
              </w:rPr>
              <w:t>19,6%</w:t>
            </w:r>
          </w:p>
        </w:tc>
        <w:tc>
          <w:tcPr>
            <w:tcW w:w="869" w:type="dxa"/>
            <w:tcBorders>
              <w:bottom w:val="single" w:sz="18" w:space="0" w:color="auto"/>
            </w:tcBorders>
            <w:shd w:val="clear" w:color="auto" w:fill="D8D8D8"/>
            <w:noWrap/>
            <w:vAlign w:val="center"/>
          </w:tcPr>
          <w:p w:rsidR="009D46E6" w:rsidRPr="00DB1559" w:rsidRDefault="009D46E6" w:rsidP="00DB1559">
            <w:pPr>
              <w:spacing w:after="0" w:line="240" w:lineRule="auto"/>
              <w:jc w:val="right"/>
              <w:rPr>
                <w:rFonts w:cs="Tahoma"/>
                <w:i/>
                <w:color w:val="000000"/>
                <w:sz w:val="16"/>
                <w:szCs w:val="16"/>
                <w:lang w:eastAsia="cs-CZ"/>
              </w:rPr>
            </w:pPr>
            <w:r w:rsidRPr="00DB1559">
              <w:rPr>
                <w:rFonts w:cs="Tahoma"/>
                <w:i/>
                <w:color w:val="000000"/>
                <w:sz w:val="16"/>
                <w:szCs w:val="16"/>
                <w:lang w:eastAsia="cs-CZ"/>
              </w:rPr>
              <w:t>13,7%</w:t>
            </w:r>
          </w:p>
        </w:tc>
      </w:tr>
    </w:tbl>
    <w:p w:rsidR="009D46E6" w:rsidRDefault="009D46E6" w:rsidP="00070A59">
      <w:pPr>
        <w:pStyle w:val="Zdroj"/>
      </w:pPr>
      <w:r w:rsidRPr="00070A59">
        <w:t>Zdroj: Český statistický úřad 2013, Roční statistické šetření výzkumu a vývoje VTR 5-01</w:t>
      </w:r>
    </w:p>
    <w:p w:rsidR="009D46E6" w:rsidRDefault="009D46E6" w:rsidP="00070A59"/>
    <w:p w:rsidR="009D46E6" w:rsidRPr="00BD5EC7" w:rsidRDefault="009D46E6" w:rsidP="00070A59">
      <w:pPr>
        <w:pStyle w:val="Caption"/>
      </w:pPr>
      <w:bookmarkStart w:id="32" w:name="_Toc369091963"/>
      <w:r>
        <w:t xml:space="preserve">Graf </w:t>
      </w:r>
      <w:fldSimple w:instr=" STYLEREF 1 \s ">
        <w:r>
          <w:rPr>
            <w:noProof/>
          </w:rPr>
          <w:t>A</w:t>
        </w:r>
      </w:fldSimple>
      <w:r>
        <w:t>.</w:t>
      </w:r>
      <w:fldSimple w:instr=" SEQ Graf \* ARABIC \s 1 ">
        <w:r>
          <w:rPr>
            <w:noProof/>
          </w:rPr>
          <w:t>2</w:t>
        </w:r>
      </w:fldSimple>
      <w:r w:rsidRPr="00BD5EC7">
        <w:t xml:space="preserve">: </w:t>
      </w:r>
      <w:r w:rsidRPr="00070A59">
        <w:t>Meziroční změny ve zdrojích financování VaV v ČR, 2008 - 2012 (mld. Kč, %)</w:t>
      </w:r>
      <w:bookmarkEnd w:id="32"/>
    </w:p>
    <w:p w:rsidR="009D46E6" w:rsidRDefault="009D46E6" w:rsidP="00070A59">
      <w:pPr>
        <w:pStyle w:val="Objekt"/>
      </w:pPr>
      <w:r w:rsidRPr="001D1D98">
        <w:pict>
          <v:shape id="Graf 62" o:spid="_x0000_i1034" type="#_x0000_t75" style="width:226.8pt;height:184.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29xzo3QAAAAUBAAAPAAAAZHJzL2Rvd25y&#10;ZXYueG1sTI/BTsMwEETvSPyDtUhcEHWgJYrSOFWE4ACcGjj0uI23cWi8jmKnDX+P4QKXlUYzmnlb&#10;bGbbixONvnOs4G6RgCBunO64VfDx/nybgfABWWPvmBR8kYdNeXlRYK7dmbd0qkMrYgn7HBWYEIZc&#10;St8YsugXbiCO3sGNFkOUYyv1iOdYbnt5nySptNhxXDA40KOh5lhPVsHuYLb10GVVy8fq7QU/p/Hp&#10;9Uap66u5WoMINIe/MPzgR3QoI9PeTay96BXER8Lvjd7qYZmC2CtYptkKZFnI//TlNw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">
            <v:imagedata r:id="rId21" o:title="" croptop="-3755f" cropbottom="-2797f" cropleft="-149f" cropright="-1923f"/>
            <o:lock v:ext="edit" aspectratio="f"/>
          </v:shape>
        </w:pict>
      </w:r>
      <w:r>
        <w:tab/>
      </w:r>
      <w:r>
        <w:tab/>
      </w:r>
      <w:r w:rsidRPr="001D1D98">
        <w:pict>
          <v:shape id="Graf 63" o:spid="_x0000_i1035" type="#_x0000_t75" style="width:222pt;height:184.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yd6SB2wAAAAUBAAAPAAAAZHJzL2Rvd25y&#10;ZXYueG1sTI/BTsMwEETvSPyDtUjcqFOahhLiVICIxLG0/YCtvcSBeB3Fbhv+HsMFLiuNZjTztlpP&#10;rhcnGkPnWcF8loEg1t503CrY75qbFYgQkQ32nknBFwVY15cXFZbGn/mNTtvYilTCoUQFNsahlDJo&#10;Sw7DzA/EyXv3o8OY5NhKM+I5lbte3mZZIR12nBYsDvRsSX9uj05BuNOb5Uu7168f3jZP8b7ZuXyu&#10;1PXV9PgAItIU/8Lwg5/QoU5MB39kE0SvID0Sf2/y8uWiAHFQsChWOci6kv/p628A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">
            <v:imagedata r:id="rId22" o:title="" croptop="-3755f" cropbottom="-2797f" cropleft="-276f" cropright="-58f"/>
            <o:lock v:ext="edit" aspectratio="f"/>
          </v:shape>
        </w:pict>
      </w:r>
    </w:p>
    <w:p w:rsidR="009D46E6" w:rsidRPr="00BD5EC7" w:rsidRDefault="009D46E6" w:rsidP="00070A59">
      <w:pPr>
        <w:pStyle w:val="Zdroj"/>
      </w:pPr>
      <w:r w:rsidRPr="00440B60">
        <w:t>Zdroj: Český statistický úřad 2013, Roční statistické šetření výzkumu a vývoje VTR 5-01</w:t>
      </w:r>
    </w:p>
    <w:p w:rsidR="009D46E6" w:rsidRDefault="009D46E6" w:rsidP="00070A59"/>
    <w:p w:rsidR="009D46E6" w:rsidRDefault="009D46E6" w:rsidP="00070A59">
      <w:pPr>
        <w:pStyle w:val="Heading4"/>
      </w:pPr>
      <w:r>
        <w:t xml:space="preserve">GERD podle zdrojů financování a sektorů provádění VaV  </w:t>
      </w:r>
    </w:p>
    <w:p w:rsidR="009D46E6" w:rsidRDefault="009D46E6" w:rsidP="00070A59">
      <w:r>
        <w:t xml:space="preserve">Struktura výdajů na VaV podle institucionálního hlediska je založena na rozdílných typech subjektů, které financují nebo provádějí výzkum a vývoj. Výdaje za VaV provedený v jednotlivých sledovaných subjektech a tím i sektorech provádění VaV jsou sledovány podle hlavních zdrojů jejich financování, mezi něž patří: </w:t>
      </w:r>
    </w:p>
    <w:p w:rsidR="009D46E6" w:rsidRDefault="009D46E6" w:rsidP="000E3106">
      <w:pPr>
        <w:pStyle w:val="Odrky"/>
      </w:pPr>
      <w:r>
        <w:t xml:space="preserve">Soukromé domácí (tuzemské podnikatelské) zdroje zahrnující financování VaV z vlastních zdrojů sledovaných podniků (bez příjmů z prodejů služeb VaV do zahraničí), které jsou určené na u nich prováděný VaV a ostatní zdroje z tuzemského podnikatelského sektoru určené na financování VaV prováděného nejčastěji na zakázku v jiných podnicích v ČR a ve veřejných vysokých školách a výzkumných institucích. </w:t>
      </w:r>
    </w:p>
    <w:p w:rsidR="009D46E6" w:rsidRDefault="009D46E6" w:rsidP="000E3106">
      <w:pPr>
        <w:pStyle w:val="Odrky"/>
      </w:pPr>
      <w:r>
        <w:t>Veřejné domácí zdroje zahrnující především financování VaV ze státního rozpočtu</w:t>
      </w:r>
    </w:p>
    <w:p w:rsidR="009D46E6" w:rsidRDefault="009D46E6" w:rsidP="000E3106">
      <w:pPr>
        <w:pStyle w:val="Odrky"/>
      </w:pPr>
      <w:r>
        <w:t>Zahraniční zdroje zahrnující veškeré finanční prostředky ze zahraničí poskytnuté na financování VaV prováděného v daném státě. V případě ČR jde především o finanční zdroje z EU (veřejné zahraniční zdroje) a financování z podnikatelských zdrojů především prostřednictvím mateřských podniků v zahraničních afilacích (soukromé zahraniční zdroje).</w:t>
      </w:r>
    </w:p>
    <w:p w:rsidR="009D46E6" w:rsidRDefault="009D46E6" w:rsidP="00070A59">
      <w:r>
        <w:t xml:space="preserve">Kromě zdrojů financování VaV mezi základní charakteristiky sledované v oblasti výdajů na VaV patří i informace o jejich užití, tj. kde jsou finanční prostředky určené na VaV utraceny, kde se samotný VaV provádí (sektory provádění VaV). Hlavní ukazatele VaV (počet zpravodajských jednotek, dostupné finanční a lidské zdroje) jsou standardně publikovány, a to i na mezinárodní úrovni, ve čtyřech sektorech provádění výzkumu a vývoje (podnikatelský, vládní, vysokoškolský a soukromý neziskový). Podrobné vymezení sektorů provádění VaV je uvedeno v metodologické příloze. </w:t>
      </w:r>
    </w:p>
    <w:p w:rsidR="009D46E6" w:rsidRDefault="009D46E6" w:rsidP="00070A59"/>
    <w:p w:rsidR="009D46E6" w:rsidRDefault="009D46E6" w:rsidP="00070A59">
      <w:r>
        <w:t xml:space="preserve">Výše uvedené podvojné sledování výdajů na VaV podle sektorů (zdrojů) financování a sektorů provádění VaV umožňuje zjišťovat toky finančních prostředků mezi sektory a hodnotit tak stav vzájemných interakcí (jejich otevřenost či uzavřenost). Z tohoto důvodu byla vytvořena samostatná grafická (schematická) příloha této analýzy: „Spolupráce mezi sektory v oblasti VaV v ČR za rok 2012“ znázorňující výše uvedené finanční toky v oblasti VaV.  </w:t>
      </w:r>
    </w:p>
    <w:p w:rsidR="009D46E6" w:rsidRDefault="009D46E6" w:rsidP="00070A59">
      <w:r>
        <w:t xml:space="preserve">Od roku 1995 až do roku 2008 se na financování VaV provedeného v ČR (GERD) z více jak poloviny podílely soukromé zdroje. V následujících letech, v prvním období především díky poklesu domácích soukromých zdrojů a nárůstu financování VaV ze státního rozpočtu ČR, v posledních dvou letech pak především díky zdrojům z EU, u nás ve financování VaV převládají veřejné zdroje. V roce 2012 dosáhl jejich podíl na financování VaV provedeného v ČR již 54 %, což značí odklon od poměru dohodnutého v rámci Lisabonské Strategie a později Strategie Evropa 2020, kde je uvedeno, že soukromé zdroje by se měly podílet ze 2/3 na financování VaV v zemích EU.  </w:t>
      </w:r>
    </w:p>
    <w:p w:rsidR="009D46E6" w:rsidRDefault="009D46E6" w:rsidP="00070A59">
      <w:r>
        <w:t xml:space="preserve">S tím jak roste ve financování VaV v ČR význam jak soukromých a v posledních letech i veřejných zahraničních zdrojů, neplatí již konstatování z minulosti, že VaV v ČR je téměř výhradně závislý na domácích zdrojích. Až do roku 2010 se domácí zdroje totiž na financování VaV podílely z více jak 85 % a před rokem 2005 dokonce z 95 %. V roce 2012 podíl těchto zdrojů poklesl až na 73 % a ČR se tak zařadila mezi země s výrazným vlivem zahraničních zdrojů na financování VaV (více viz mezinárodní srovnání). </w:t>
      </w:r>
    </w:p>
    <w:p w:rsidR="009D46E6" w:rsidRDefault="009D46E6" w:rsidP="00070A59">
      <w:r>
        <w:t xml:space="preserve">Níže uvedený graf A.3 ukazuje nejen to, jak se mění podíl jednotlivých zdrojů na financování VaV provedeného v ČR celkem (GERD), ale i podíl těchto zdrojů v jednotlivých sektorech provádění VaV a naopak. </w:t>
      </w:r>
    </w:p>
    <w:p w:rsidR="009D46E6" w:rsidRDefault="009D46E6" w:rsidP="00070A59">
      <w:pPr>
        <w:pStyle w:val="Caption"/>
      </w:pPr>
      <w:bookmarkStart w:id="33" w:name="_Toc369091964"/>
      <w:r>
        <w:t xml:space="preserve">Graf </w:t>
      </w:r>
      <w:fldSimple w:instr=" STYLEREF 1 \s ">
        <w:r>
          <w:rPr>
            <w:noProof/>
          </w:rPr>
          <w:t>A</w:t>
        </w:r>
      </w:fldSimple>
      <w:r>
        <w:t>.</w:t>
      </w:r>
      <w:fldSimple w:instr=" SEQ Graf \* ARABIC \s 1 ">
        <w:r>
          <w:rPr>
            <w:noProof/>
          </w:rPr>
          <w:t>3</w:t>
        </w:r>
      </w:fldSimple>
      <w:r w:rsidRPr="00BD5EC7">
        <w:t xml:space="preserve">: </w:t>
      </w:r>
      <w:r w:rsidRPr="00070A59">
        <w:t>Výdaje za VaV provedený v ČR podle zdrojů financování a sektorů užití (%)</w:t>
      </w:r>
      <w:bookmarkEnd w:id="33"/>
    </w:p>
    <w:p w:rsidR="009D46E6" w:rsidRDefault="009D46E6" w:rsidP="00070A59">
      <w:pPr>
        <w:pStyle w:val="Objekt"/>
      </w:pPr>
      <w:r w:rsidRPr="00070A59">
        <w:t>1) Podle zdrojů jejich financování</w:t>
      </w:r>
    </w:p>
    <w:p w:rsidR="009D46E6" w:rsidRPr="00070A59" w:rsidRDefault="009D46E6" w:rsidP="00070A59">
      <w:pPr>
        <w:pStyle w:val="Objekt"/>
      </w:pPr>
      <w:r w:rsidRPr="001D1D98">
        <w:pict>
          <v:shape id="Graf 291" o:spid="_x0000_i1036" type="#_x0000_t75" style="width:198.6pt;height:17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sxfCv3AAAAAUBAAAPAAAAZHJzL2Rvd25y&#10;ZXYueG1sTI/BTsNADETvSPzDykjc6IZAC4RsqqgIcaNqyge4iUkCWW/IbpuUr8flAhdrrLFmntPl&#10;ZDt1oMG3jg1czyJQxKWrWq4NvG2fr+5B+YBcYeeYDBzJwzI7P0sxqdzIGzoUoVYSwj5BA00IfaK1&#10;Lxuy6GeuJxbv3Q0Wg6xDrasBRwm3nY6jaKEttiwNDfa0aqj8LPbWQJHffr2+rPINr7/j9fjxhNtw&#10;XBhzeTHlj6ACTeHvGE74gg6ZMO3cniuvOgPySPid4t083MWgdiLm8xh0lur/9NkPAA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">
            <v:imagedata r:id="rId23" o:title="" croptop="-3634f" cropbottom="-5503f" cropleft="-520f" cropright="-5052f"/>
            <o:lock v:ext="edit" aspectratio="f"/>
          </v:shape>
        </w:pict>
      </w:r>
      <w:r>
        <w:tab/>
      </w:r>
      <w:r>
        <w:tab/>
      </w:r>
      <w:r w:rsidRPr="001D1D98">
        <w:pict>
          <v:shape id="Graf 294" o:spid="_x0000_i1037" type="#_x0000_t75" style="width:261pt;height:172.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n8BnS2wAAAAUBAAAPAAAAZHJzL2Rvd25y&#10;ZXYueG1sTI9BS8NAEIXvgv9hGcGb3TShocRsSih4E6TVttdtdkyi2dmQ3aTx3zv2Ui8Dj/fmzTf5&#10;ZradmHDwrSMFy0UEAqlypqVawcf7y9MahA+ajO4coYIf9LAp7u9ynRl3oR1O+1ALLiGfaQVNCH0m&#10;pa8atNovXI/E3qcbrA4sh1qaQV+43HYyjqJUWt0SX2h0j9sGq+/9aBnj8EZlMiXjujyOu236mnzF&#10;9Umpx4e5fAYRcA63MPzh8w4UzHR2IxkvOgX8SLhO9lZxzPKsIFktU5BFLv/TF78A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">
            <v:imagedata r:id="rId24" o:title="" croptop="-3474f" cropbottom="-1626f" cropleft="-1696f" cropright="-3556f"/>
            <o:lock v:ext="edit" aspectratio="f"/>
          </v:shape>
        </w:pict>
      </w:r>
    </w:p>
    <w:p w:rsidR="009D46E6" w:rsidRDefault="009D46E6" w:rsidP="00070A59">
      <w:pPr>
        <w:pStyle w:val="Objekt"/>
      </w:pPr>
      <w:r w:rsidRPr="00070A59">
        <w:t>2) Podle sektorů jejich užití</w:t>
      </w:r>
    </w:p>
    <w:p w:rsidR="009D46E6" w:rsidRPr="00070A59" w:rsidRDefault="009D46E6" w:rsidP="00070A59">
      <w:pPr>
        <w:pStyle w:val="Objekt"/>
      </w:pPr>
      <w:r w:rsidRPr="001D1D98">
        <w:pict>
          <v:shape id="Graf 296" o:spid="_x0000_i1038" type="#_x0000_t75" style="width:198.6pt;height:185.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604Mx3AAAAAUBAAAPAAAAZHJzL2Rvd25y&#10;ZXYueG1sTI9BT8MwDIXvSPsPkZG4sXQDbaU0nSakMu3IQGjHrDFNReOUJus6fj0eF7hYz3rWe5/z&#10;1ehaMWAfGk8KZtMEBFLlTUO1grfX8jYFEaImo1tPqOCMAVbF5CrXmfEnesFhF2vBIRQyrcDG2GVS&#10;hsqi02HqOyT2PnzvdOS1r6Xp9YnDXSvnSbKQTjfEDVZ3+GSx+twdnQIs37f7uE1luSjvv75n+82z&#10;HTZK3VyP60cQEcf4dwwXfEaHgpkO/kgmiFYBPxJ/J3t3D8s5iAOLZZKCLHL5n774AQ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">
            <v:imagedata r:id="rId25" o:title="" croptop="-3676f" cropbottom="-5554f" cropleft="-504f" cropright="-2901f"/>
            <o:lock v:ext="edit" aspectratio="f"/>
          </v:shape>
        </w:pict>
      </w:r>
      <w:r>
        <w:tab/>
      </w:r>
      <w:r>
        <w:tab/>
      </w:r>
      <w:r w:rsidRPr="001D1D98">
        <w:pict>
          <v:shape id="Graf 300" o:spid="_x0000_i1039" type="#_x0000_t75" style="width:263.4pt;height:184.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JPmAv3QAAAAUBAAAPAAAAZHJzL2Rvd25y&#10;ZXYueG1sTI9BS8NAEIXvgv9hGcFLaTeJuGrMpkipoIcitgWv2+yYBLOzMbtp47939KKXB8Mb3vte&#10;sZxcJ444hNaThnSRgECqvG2p1rDfPc5vQYRoyJrOE2r4wgDL8vysMLn1J3rF4zbWgkMo5EZDE2Of&#10;SxmqBp0JC98jsffuB2cin0Mt7WBOHO46mSWJks60xA2N6XHVYPWxHZ2G3SwdV5lbb56zz/i2TtV4&#10;8/Qy0/ryYnq4BxFxin/P8IPP6FAy08GPZIPoNPCQ+KvsXWeKZxw0XKk7BbIs5H/68hs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">
            <v:imagedata r:id="rId26" o:title="" croptop="-2928f" cropbottom="-1730f" cropleft="-373f" cropright="-1877f"/>
            <o:lock v:ext="edit" aspectratio="f"/>
          </v:shape>
        </w:pict>
      </w:r>
    </w:p>
    <w:p w:rsidR="009D46E6" w:rsidRDefault="009D46E6" w:rsidP="00070A59">
      <w:pPr>
        <w:pStyle w:val="Zdroj"/>
      </w:pPr>
      <w:r>
        <w:t xml:space="preserve">Poznámka: V grafu 1,2 a) se 1 % za r. 2007 rovnalo 500,1 mil. Kč, za r. 2011: 627,5 mil. Kč a za r. 2012: 723,6 mil. Kč. </w:t>
      </w:r>
    </w:p>
    <w:p w:rsidR="009D46E6" w:rsidRDefault="009D46E6" w:rsidP="00070A59">
      <w:pPr>
        <w:pStyle w:val="Zdroj"/>
      </w:pPr>
      <w:r>
        <w:t>V grafu 1b) se 1 % za BERD rovnalo 387,9 mil. Kč, za GOVERD 133,2 mil. Kč a za HERD 198,8 mil. Kč.</w:t>
      </w:r>
    </w:p>
    <w:p w:rsidR="009D46E6" w:rsidRDefault="009D46E6" w:rsidP="00070A59">
      <w:pPr>
        <w:pStyle w:val="Zdroj"/>
      </w:pPr>
      <w:r>
        <w:t>V grafu 2b) se 1 % u Soukromých domácích zdrojů rovnalo 263,3 mil. Kč, u Soukromých zahraničních 71,4 mil. Kč, u Veřejných domácích 266,6 mil. Kč a u Veřejných zahraničních 116,2 mil. Kč.</w:t>
      </w:r>
    </w:p>
    <w:p w:rsidR="009D46E6" w:rsidRDefault="009D46E6" w:rsidP="00070A59">
      <w:pPr>
        <w:pStyle w:val="Zdroj"/>
      </w:pPr>
      <w:r>
        <w:t>Zdroj: Český statistický úřad 2013, Roční statistické šetření výzkumu a vývoje VTR 5-01</w:t>
      </w:r>
    </w:p>
    <w:p w:rsidR="009D46E6" w:rsidRDefault="009D46E6" w:rsidP="00070A59"/>
    <w:p w:rsidR="009D46E6" w:rsidRDefault="009D46E6" w:rsidP="00070A59">
      <w:r>
        <w:t xml:space="preserve">Od roku 2009 se výdaje ze státního rozpočtu ČR staly nejvýznamnějším zdrojem financování VaV aktivit prováděných na území ČR. V roce 2012 směřovalo do VaV v ČR z domácích veřejných zdrojů 26,2 mld. Kč, což odpovídalo 0,68 % podílu na HDP a 2,27 % podílu na celkových výdajích státního rozpočtu ČR. Jde o nejvyšší hodnoty za celé sledované období. Za poslední 3 roky šlo do VaV z domácích veřejných zdrojů 76,3 mld. Kč, tj. o desetinu více než v předchozích třech letech. Většina peněz z těchto zdrojů je od roku 2011 utracena za provedený VaV na veřejných vysokých školách. Druhým největším příjemcem peněz na VaV ze státního rozpočtu jsou veřejné výzkumné instituce, jde především o jednotlivé ústavy Akademie věd ČR, které jsou součástí vládního sektoru. Až do roku 2009 jak ve vládním, tak především vysokoškolském sektoru, financování VaV ze státního rozpočtu hrálo zcela zásadní roli. V roce 2009 se veřejné domácí zdroje podílely na VaV ve vládním sektoru z 86 % a ve vysokoškolském dokonce z 91 %, což je podstatně více než v roce 2012. ČR zároveň patří mezi země s významnou přímou podporou podnikatelského VaV z veřejných zdrojů. V roce 2012 investoval český stát do podnikatelského VaV 5,3 mld. Kč, což činilo pětinu z celkových veřejných výdajů na VaV. Tento podíl se v posledních šesti letech již nijak zásadně nemění, i když s tím jak roste celková podpora VaV ze státního rozpočtu, roste i částka směřující do podnikatelského VaV.   </w:t>
      </w:r>
    </w:p>
    <w:p w:rsidR="009D46E6" w:rsidRDefault="009D46E6" w:rsidP="00070A59">
      <w:r>
        <w:t>Přestože v posledních dvou letech výdaje z domácích veřejných zdrojů na VaV rostly, jejich podíl na GERD se snížil, a to především díky výše uvedenému výraznému nárůstů veřejných zahraničních zdrojů. Tyto zdroje, jde především o operační programy zaměřené na VaVaI financované ze strukturálních fondů EU, v posledních dvou letech zaznamenaly výrazný podíl jak na celkovém financování VaV v ČR (16 % podíl na GERD v roce 2012), tak především na financování vysokoškolského VaV. V roce 2012 se veřejné zahraniční zdroje podílely z 37 % na financování VaV provedeného ve vysokoškolském sektoru oproti 8 % v roce 2010. Lze očekávat, že i v nejbližších letech (2013 až 2015) bude v ČR docházet k nárůstu významu financování VaV z těchto zdrojů. Podrobné informace o financování VaV z domácích a zahraničních veřejných zdrojů jsou uvedeny v kapitolách A2 a E1 a v tabulkové příloze této analýzy.</w:t>
      </w:r>
    </w:p>
    <w:p w:rsidR="009D46E6" w:rsidRDefault="009D46E6" w:rsidP="00070A59"/>
    <w:p w:rsidR="009D46E6" w:rsidRDefault="009D46E6" w:rsidP="00070A59">
      <w:r>
        <w:t xml:space="preserve">Podíl soukromých domácích zdrojů na financování VaV v ČR klesá již od roku 2008. V prvních dvou letech to bylo z důvodu jejich výše uvedeného absolutního poklesu a v posledních letech především díky rychlejšímu růstu ostatních zdrojů (Graf A.2). Přesto zůstává podíl soukromých zdrojů na financování VaV v ČR v rámci nových členských zemí EU jeden z nejvyšších (Graf A.12). </w:t>
      </w:r>
    </w:p>
    <w:p w:rsidR="009D46E6" w:rsidRDefault="009D46E6" w:rsidP="00070A59">
      <w:r>
        <w:t xml:space="preserve">Znepokojujícím zjištěním je přetrvávající nízký podíl těchto zdrojů na financování VaV prováděného ve vládním a vysokoškolském sektoru (Graf A.3b). Podniky sice za poslední tři roky investovaly ze svých zdrojů do VaV prováděného v ČR 71,6 mld. Kč, ale pouze 2,7 % (1,95 mld. Kč) připadala na spolufinancování VaV uskutečněného ve vysokoškolském nebo vládním sektoru.  </w:t>
      </w:r>
    </w:p>
    <w:p w:rsidR="009D46E6" w:rsidRDefault="009D46E6" w:rsidP="00070A59"/>
    <w:p w:rsidR="009D46E6" w:rsidRDefault="009D46E6" w:rsidP="00070A59">
      <w:r>
        <w:t>Jestliže se podíl soukromých domácích zdrojů na financování VaV v ČR v čase snižuje, tak podíl soukromých zahraničních zdrojů v posledních letech roste. Soukromé zahraniční zdroje tvoří především příjmy podniků pod zahraniční kontrolou za provedený VaV na zakázku pro zahraniční firmy ve stejné skupině (mateřské nebo dceřiné společnosti). Podrobné údaje o financování VaV z domácích a zahraničních soukromých zdrojů jsou opět uvedeny v tabulkové příloze.</w:t>
      </w:r>
    </w:p>
    <w:p w:rsidR="009D46E6" w:rsidRDefault="009D46E6" w:rsidP="00070A59"/>
    <w:p w:rsidR="009D46E6" w:rsidRDefault="009D46E6" w:rsidP="00070A59">
      <w:r>
        <w:t>V roce 2011 výdaje za vysokoškolský VaV poprvé dosáhly vyšší hodnoty než výdaje za VaV prováděný ve veřejných výzkumných institucích a ostatních subjektech vládního sektoru. Podnikatelský sektor je v ČR dlouhodobě, na rozdíl od většiny nových členských zemí EU, nejen nejvýznamnějším sektorem v případě financování VaV aktivit (v roce 2010 poprvé dosáhly výdaje ze státního rozpočtu ČR vyšší hodnoty), ale i co do objemu finančních prostředků utracených za zde provedený VaV. V posledních letech ovšem dochází v ČR k poklesu podílu tohoto sektoru provádění VaV ve prospěch veřejného výzkumu (VaV prováděného ve vládním a vysokoškolském sektoru). Tento pokles byl způsoben jednak snižujícím se objemem vlastních zdrojů podniků určených na u nich provádění VaV v letech 2008 až 2009, ale především nárůstem veřejných zahraničních zdrojů směřujících zejména do vysokoškolského sektoru v posledních dvou letech (Graf A.2).</w:t>
      </w:r>
    </w:p>
    <w:p w:rsidR="009D46E6" w:rsidRDefault="009D46E6" w:rsidP="00070A59">
      <w:r>
        <w:t xml:space="preserve">Výdaje za provedený VaV v sektorech provádění VaV jsou podrobněji rozebrány v samostatných kapitolách A1.2 a A1.3 této části analýzy. Následující graf přináší pouze základní přehled o vývoji výdajů na VaV v těchto sektorech za posledních pět let.   </w:t>
      </w:r>
    </w:p>
    <w:p w:rsidR="009D46E6" w:rsidRDefault="009D46E6" w:rsidP="00E36560">
      <w:pPr>
        <w:pStyle w:val="Caption"/>
      </w:pPr>
      <w:bookmarkStart w:id="34" w:name="_Toc369091965"/>
      <w:r>
        <w:t xml:space="preserve">Graf </w:t>
      </w:r>
      <w:fldSimple w:instr=" STYLEREF 1 \s ">
        <w:r>
          <w:rPr>
            <w:noProof/>
          </w:rPr>
          <w:t>A</w:t>
        </w:r>
      </w:fldSimple>
      <w:r>
        <w:t>.</w:t>
      </w:r>
      <w:fldSimple w:instr=" SEQ Graf \* ARABIC \s 1 ">
        <w:r>
          <w:rPr>
            <w:noProof/>
          </w:rPr>
          <w:t>4</w:t>
        </w:r>
      </w:fldSimple>
      <w:r w:rsidRPr="00BD5EC7">
        <w:t xml:space="preserve">: </w:t>
      </w:r>
      <w:r w:rsidRPr="00E36560">
        <w:t>Roční změny výdajů v sektorech provádění VaV v ČR, 2008 - 2012 (mld. Kč, %)</w:t>
      </w:r>
      <w:bookmarkEnd w:id="34"/>
    </w:p>
    <w:p w:rsidR="009D46E6" w:rsidRDefault="009D46E6" w:rsidP="00E36560">
      <w:pPr>
        <w:pStyle w:val="Objekt"/>
      </w:pPr>
      <w:r w:rsidRPr="001D1D98">
        <w:pict>
          <v:shape id="Graf 302" o:spid="_x0000_i1040" type="#_x0000_t75" style="width:226.8pt;height:141.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pq4+73AAAAAUBAAAPAAAAZHJzL2Rvd25y&#10;ZXYueG1sTI/BTsMwEETvSP0Haytxow4pVFWIU1WVegJKW/IBbryNA/E6irdp+HsMF7isNJrRzNt8&#10;NbpWDNiHxpOC+1kCAqnypqFaQfm+vVuCCKzJ6NYTKvjCAKticpPrzPgrHXA4ci1iCYVMK7DMXSZl&#10;qCw6HWa+Q4re2fdOc5R9LU2vr7HctTJNkoV0uqG4YHWHG4vV5/HiFKx3e+4+mpfz8GwPr3X1Vu5G&#10;LpW6nY7rJxCMI/+F4Qc/okMRmU7+QiaIVkF8hH9v9B4e5wsQJwXpcp6CLHL5n774Bg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">
            <v:imagedata r:id="rId27" o:title="" croptop="-4890f" cropbottom="-1783f" cropleft="-286f" cropright="-2375f"/>
            <o:lock v:ext="edit" aspectratio="f"/>
          </v:shape>
        </w:pict>
      </w:r>
      <w:r>
        <w:tab/>
      </w:r>
      <w:r>
        <w:tab/>
      </w:r>
      <w:r w:rsidRPr="001D1D98">
        <w:pict>
          <v:shape id="Graf 66" o:spid="_x0000_i1041" type="#_x0000_t75" style="width:226.8pt;height:141.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DkSTJ2wAAAAUBAAAPAAAAZHJzL2Rvd25y&#10;ZXYueG1sTI/BTsMwEETvSPyDtUjcqNO0VCHEqSAS4li10PsmXpIIex3Fbhr+HrcXuKw0mtHM22I7&#10;WyMmGn3vWMFykYAgbpzuuVXw+fH2kIHwAVmjcUwKfsjDtry9KTDX7sx7mg6hFbGEfY4KuhCGXErf&#10;dGTRL9xAHL0vN1oMUY6t1COeY7k1Mk2SjbTYc1zocKCqo+b7cLIKjtNuqo67J8ze/boa5lezr+ql&#10;Uvd388sziEBz+AvDBT+iQxmZandi7YVREB8J1xu99eNqA6JWkGarFGRZyP/05S8A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">
            <v:imagedata r:id="rId28" o:title="" croptop="-4890f" cropbottom="-1783f" cropleft="-278f" cropright="-482f"/>
            <o:lock v:ext="edit" aspectratio="f"/>
          </v:shape>
        </w:pict>
      </w:r>
    </w:p>
    <w:p w:rsidR="009D46E6" w:rsidRDefault="009D46E6" w:rsidP="00E36560">
      <w:pPr>
        <w:pStyle w:val="Objekt"/>
      </w:pPr>
      <w:r w:rsidRPr="001D1D98">
        <w:pict>
          <v:shape id="Graf 67" o:spid="_x0000_i1042" type="#_x0000_t75" style="width:224.4pt;height:12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aw7Xt3AAAAAUBAAAPAAAAZHJzL2Rvd25y&#10;ZXYueG1sTI9BS8NAEIXvgv9hGcGL2I3VBI3ZlCIVPNqag8dpdpoEs7Mxu21Tf72jF70MPN7jvW+K&#10;xeR6daAxdJ4N3MwSUMS1tx03Bqq35+t7UCEiW+w9k4ETBViU52cF5tYfeU2HTWyUlHDI0UAb45Br&#10;HeqWHIaZH4jF2/nRYRQ5NtqOeJRy1+t5kmTaYcey0OJATy3VH5u9M7Cqv9CdrrB6eX/93PnmoaJu&#10;uTLm8mJaPoKKNMW/MPzgCzqUwrT1e7ZB9Qbkkfh7xbtLbzNQWwPzNM1Al4X+T19+Aw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">
            <v:imagedata r:id="rId29" o:title="" croptop="-5507f" cropbottom="-2122f" cropleft="-146f" cropright="-481f"/>
            <o:lock v:ext="edit" aspectratio="f"/>
          </v:shape>
        </w:pict>
      </w:r>
      <w:r>
        <w:tab/>
      </w:r>
      <w:r>
        <w:tab/>
      </w:r>
      <w:r w:rsidRPr="001D1D98">
        <w:pict>
          <v:shape id="Graf 77" o:spid="_x0000_i1043" type="#_x0000_t75" style="width:222pt;height:12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Y4H7a3AAAAAUBAAAPAAAAZHJzL2Rvd25y&#10;ZXYueG1sTI9BS8NAEIXvQv/DMgVvdmNjgqTZlLZQEBTBWHqeZsckNDsbstsm/feuXvQy8HiP977J&#10;15PpxJUG11pW8LiIQBBXVrdcKzh87h+eQTiPrLGzTApu5GBdzO5yzLQd+YOupa9FKGGXoYLG+z6T&#10;0lUNGXQL2xMH78sOBn2QQy31gGMoN51cRlEqDbYcFhrsaddQdS4vRkHqSnw97vbnl9u2PLy9UxxP&#10;Iyt1P582KxCeJv8Xhh/8gA5FYDrZC2snOgXhEf97g/eUxCmIk4JlkqQgi1z+py++AQ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">
            <v:imagedata r:id="rId30" o:title="" croptop="-5507f" cropbottom="-2122f" cropleft="-146f" cropright="-335f"/>
            <o:lock v:ext="edit" aspectratio="f"/>
          </v:shape>
        </w:pict>
      </w:r>
    </w:p>
    <w:p w:rsidR="009D46E6" w:rsidRDefault="009D46E6" w:rsidP="00E36560">
      <w:pPr>
        <w:pStyle w:val="Zdroj"/>
      </w:pPr>
      <w:r>
        <w:t>Zdroj: Český statistický úřad 2013, Roční statistické šetření výzkumu a vývoje VTR 5-01</w:t>
      </w:r>
    </w:p>
    <w:p w:rsidR="009D46E6" w:rsidRDefault="009D46E6" w:rsidP="00070A59"/>
    <w:p w:rsidR="009D46E6" w:rsidRDefault="009D46E6" w:rsidP="00E36560">
      <w:pPr>
        <w:pStyle w:val="Heading4"/>
      </w:pPr>
      <w:r>
        <w:t xml:space="preserve">GERD podle funkčního hlediska </w:t>
      </w:r>
    </w:p>
    <w:p w:rsidR="009D46E6" w:rsidRDefault="009D46E6" w:rsidP="00070A59">
      <w:r>
        <w:t>Struktura výdajů na VaV podle funkčního hlediska je založena na charakteristikách samotných aktivit VaV a je používána při hodnocení zaměření politiky v této oblasti. Toto funkční hledisko vynaložených prostředků na prováděný VaV zahrnuje členění podle druhu nákladů/výdajů na VaV (mzdové, ostatní běžné a investiční), typ prováděné VaV činnosti (základní výzkum, aplikovaný výzkum a experimentální vývoj) a převažující skupinu vědní (přírodní, technické, zemědělské, lékařské, sociální a humanitní vědy) a ekonomické (Sekce klasifikace CZ-NACE) oblasti sledovaných subjektů. Podrobnější definice a informace jsou uvedeny v příslušné metodologické příloze.</w:t>
      </w:r>
    </w:p>
    <w:p w:rsidR="009D46E6" w:rsidRDefault="009D46E6" w:rsidP="00070A59">
      <w:r>
        <w:t>Podstatná část výdajů na VaV je v ČR stejně jako v ostatních zemích tvořena mzdovými a ostatními neinvestičními náklady. V roce 2005 tvořily 40,5 % (15,5 mld. Kč) z celkových výdajů na VaV oproti 45,5 % (24,1 mld. Kč) v roce 2010. Mzdové náklady byly až do roku 2010 vůbec nejrychleji rostoucí nákladovou položkou VaV a tímto trendem jsme se přibližovali situaci obvyklé ve vyspělých západních zemích. V roce 2011 sice mzdové náklady dále meziročně vzrostly o 2,9 mld. Kč (12 %), ale díky meziročnímu nárůstu investičních nákladů o 5 mld. Kč (75 %) jejich podíl na celkových výdajích poklesl o 3 procentní body. Tento trend se prohloubil i v následujícím roce v důsledku nárůstu investičních výdajů na VaV souvisejícím se zrychleným čerpáním finančních prostředků ze Strukturálních fondů EU, a to především ve vysokoškolském sektoru. Ve vysokoškolském sektoru se tak investiční výdaje na VaV v roce 2012 podílely z 36 % na celkových výdajích na VaV v tomto sektoru.</w:t>
      </w:r>
    </w:p>
    <w:p w:rsidR="009D46E6" w:rsidRDefault="009D46E6" w:rsidP="00E36560">
      <w:pPr>
        <w:pStyle w:val="Caption"/>
      </w:pPr>
      <w:bookmarkStart w:id="35" w:name="_Toc369091966"/>
      <w:r>
        <w:t xml:space="preserve">Graf </w:t>
      </w:r>
      <w:fldSimple w:instr=" STYLEREF 1 \s ">
        <w:r>
          <w:rPr>
            <w:noProof/>
          </w:rPr>
          <w:t>A</w:t>
        </w:r>
      </w:fldSimple>
      <w:r>
        <w:t>.</w:t>
      </w:r>
      <w:fldSimple w:instr=" SEQ Graf \* ARABIC \s 1 ">
        <w:r>
          <w:rPr>
            <w:noProof/>
          </w:rPr>
          <w:t>5</w:t>
        </w:r>
      </w:fldSimple>
      <w:r w:rsidRPr="00BD5EC7">
        <w:t xml:space="preserve">: </w:t>
      </w:r>
      <w:r w:rsidRPr="00E36560">
        <w:t>Výdaje na VaV v ČR podle druhu nákladů/výdajů (%)</w:t>
      </w:r>
      <w:bookmarkEnd w:id="35"/>
    </w:p>
    <w:p w:rsidR="009D46E6" w:rsidRDefault="009D46E6" w:rsidP="00E36560">
      <w:pPr>
        <w:pStyle w:val="Objekt"/>
      </w:pPr>
      <w:r w:rsidRPr="001D1D98">
        <w:pict>
          <v:shape id="Graf 329" o:spid="_x0000_i1044" type="#_x0000_t75" style="width:194.4pt;height:153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Oy3Xz3QAAAAUBAAAPAAAAZHJzL2Rvd25y&#10;ZXYueG1sTI9BT8MwDIXvSPsPkSdxQSxtkaCUptOGtAvisjLBNWtMW61xuibrCr8eswtcrGc9673P&#10;+XKynRhx8K0jBfEiAoFUOdNSrWD3trlNQfigyejOESr4Qg/LYnaV68y4M21xLEMtOIR8phU0IfSZ&#10;lL5q0Gq/cD0Se59usDrwOtTSDPrM4baTSRTdS6tb4oZG9/jcYHUoT1bB98smHlO/le2hvHlN44/j&#10;+259VOp6Pq2eQAScwt8x/OIzOhTMtHcnMl50CviRcJns3T0+JCD2LOIkAlnk8j998QM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">
            <v:imagedata r:id="rId31" o:title="" croptop="-3696f" cropbottom="-1474f" cropleft="-501f" cropright="-2558f"/>
            <o:lock v:ext="edit" aspectratio="f"/>
          </v:shape>
        </w:pict>
      </w:r>
      <w:r>
        <w:tab/>
      </w:r>
      <w:r>
        <w:tab/>
      </w:r>
      <w:r w:rsidRPr="001D1D98">
        <w:pict>
          <v:shape id="Graf 383" o:spid="_x0000_i1045" type="#_x0000_t75" style="width:252.6pt;height:153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biPs2gAAAAUBAAAPAAAAZHJzL2Rvd25y&#10;ZXYueG1sTI/BTsMwEETvSP0Haytxo3aKEkqIU1WgXivRcunNjZckbbyOYjcNf8/CBS4jjWY187ZY&#10;T64TIw6h9aQhWSgQSJW3LdUaPg7bhxWIEA1Z03lCDV8YYF3O7gqTW3+jdxz3sRZcQiE3GpoY+1zK&#10;UDXoTFj4HomzTz84E9kOtbSDuXG56+RSqUw60xIvNKbH1wary/7qNODb7pIdV9muOozhyW2P6bM6&#10;p1rfz6fNC4iIU/w7hh98RoeSmU7+SjaITgM/En+VszRRbE8aHpOlAlkW8j99+Q0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">
            <v:imagedata r:id="rId32" o:title="" croptop="-2806f" cropbottom="-1684f" cropleft="-1589f" cropright="-3385f"/>
            <o:lock v:ext="edit" aspectratio="f"/>
          </v:shape>
        </w:pict>
      </w:r>
    </w:p>
    <w:p w:rsidR="009D46E6" w:rsidRDefault="009D46E6" w:rsidP="00E36560">
      <w:pPr>
        <w:pStyle w:val="Poznmka"/>
      </w:pPr>
      <w:r>
        <w:t>* Pořízení technického a jiného vybavení nezbytného pro vykonávání VaV činností (stroje, přístroje, zařízení, dopravní prostředky, pěstitelské celky trvalých porostu apod.)</w:t>
      </w:r>
    </w:p>
    <w:p w:rsidR="009D46E6" w:rsidRDefault="009D46E6" w:rsidP="00E36560">
      <w:pPr>
        <w:pStyle w:val="Poznmka"/>
      </w:pPr>
      <w:r>
        <w:t>** Pořízení dlouhodobého nehmotného majetku zahrnující aktivaci vlastních výsledků VaV a pořízení softwaru, výrobně technických poznatků (know-how), předmětů průmyslových práv atd. pro potřeby prováděného VaV.</w:t>
      </w:r>
    </w:p>
    <w:p w:rsidR="009D46E6" w:rsidRDefault="009D46E6" w:rsidP="00E36560">
      <w:pPr>
        <w:pStyle w:val="Poznmka"/>
      </w:pPr>
      <w:r>
        <w:t>Zdroj: Český statistický úřad 2013, Roční statistické šetření výzkumu a vývoje VTR 5-01</w:t>
      </w:r>
    </w:p>
    <w:p w:rsidR="009D46E6" w:rsidRDefault="009D46E6" w:rsidP="00070A59"/>
    <w:p w:rsidR="009D46E6" w:rsidRDefault="009D46E6" w:rsidP="00070A59">
      <w:r>
        <w:t>Pokud jde o typ prováděného VaV, až do roku 2010 nejvíce finančních prostředků směřovalo v ČR do experimentálního vývoje. Tato skutečnost souvisí s tím, že v podnikatelském sektoru se utratí za VaV v ČR nejvíce finančních prostředků. V posledních letech dochází k nárůstu podílu aplikovaného výzkumu.</w:t>
      </w:r>
      <w:r>
        <w:rPr>
          <w:rStyle w:val="FootnoteReference"/>
          <w:rFonts w:cs="MetaPro-Normal"/>
        </w:rPr>
        <w:footnoteReference w:id="5"/>
      </w:r>
    </w:p>
    <w:p w:rsidR="009D46E6" w:rsidRDefault="009D46E6" w:rsidP="00E36560">
      <w:pPr>
        <w:pStyle w:val="Caption"/>
      </w:pPr>
      <w:bookmarkStart w:id="36" w:name="_Toc369091967"/>
      <w:r>
        <w:t xml:space="preserve">Graf </w:t>
      </w:r>
      <w:fldSimple w:instr=" STYLEREF 1 \s ">
        <w:r>
          <w:rPr>
            <w:noProof/>
          </w:rPr>
          <w:t>A</w:t>
        </w:r>
      </w:fldSimple>
      <w:r>
        <w:t>.</w:t>
      </w:r>
      <w:fldSimple w:instr=" SEQ Graf \* ARABIC \s 1 ">
        <w:r>
          <w:rPr>
            <w:noProof/>
          </w:rPr>
          <w:t>6</w:t>
        </w:r>
      </w:fldSimple>
      <w:r w:rsidRPr="00BD5EC7">
        <w:t xml:space="preserve">: </w:t>
      </w:r>
      <w:r w:rsidRPr="0015053A">
        <w:t>Výdaje na VaV v ČR podle typu prováděné VaV činnosti (%)</w:t>
      </w:r>
      <w:bookmarkEnd w:id="36"/>
    </w:p>
    <w:p w:rsidR="009D46E6" w:rsidRDefault="009D46E6" w:rsidP="0015053A">
      <w:pPr>
        <w:pStyle w:val="Objekt"/>
      </w:pPr>
      <w:r w:rsidRPr="001D1D98">
        <w:pict>
          <v:shape id="Graf 384" o:spid="_x0000_i1046" type="#_x0000_t75" style="width:198.6pt;height:146.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MgVTE2wAAAAUBAAAPAAAAZHJzL2Rvd25y&#10;ZXYueG1sTI/NTsMwEITvSLyDtUjcqENAKQ1xqioi4oQQLQ+wjTc/Il5HsdOat8dwoZeVRjOa+bbY&#10;BjOKE81usKzgfpWAIG6sHrhT8Hmo755AOI+scbRMCr7Jwba8viow1/bMH3Ta+07EEnY5Kui9n3Ip&#10;XdOTQbeyE3H0Wjsb9FHOndQznmO5GWWaJJk0OHBc6HGiqqfma78YBYfsveZ1oOplWNr2ra7C7tUE&#10;pW5vwu4ZhKfg/8Pwix/RoYxMR7uwdmJUEB/xfzd6D5t1CuKoIN1kjyDLQl7Slz8A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">
            <v:imagedata r:id="rId33" o:title="" croptop="-3938f" cropbottom="-6290f" cropleft="-669f" cropright="-3607f"/>
            <o:lock v:ext="edit" aspectratio="f"/>
          </v:shape>
        </w:pict>
      </w:r>
      <w:r>
        <w:tab/>
      </w:r>
      <w:r w:rsidRPr="001D1D98">
        <w:pict>
          <v:shape id="Graf 385" o:spid="_x0000_i1047" type="#_x0000_t75" style="width:264pt;height:148.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wKs+c3AAAAAUBAAAPAAAAZHJzL2Rvd25y&#10;ZXYueG1sTI9BS8NAEIXvgv9hGcGb3bRqqDGbImIFT9IqRW/b7DQbzc6G7LSN/97Ri14eDG9473vl&#10;YgydOuCQ2kgGppMMFFIdXUuNgdeX5cUcVGJLznaR0MAXJlhUpyelLVw80goPa26UhFAqrAHP3Bda&#10;p9pjsGkSeyTxdnEIluUcGu0Ge5Tw0OlZluU62Jakwdse7z3Wn+t9MPC0fNzl+XP/sXl495u25uTf&#10;psmY87Px7hYU48h/z/CDL+hQCdM27skl1RmQIfyr4l1fzmXG1sDsJr8CXZX6P331DQ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">
            <v:imagedata r:id="rId34" o:title="" croptop="-3894f" cropbottom="-5537f" cropleft="-493f" cropright="-3867f"/>
            <o:lock v:ext="edit" aspectratio="f"/>
          </v:shape>
        </w:pict>
      </w:r>
    </w:p>
    <w:p w:rsidR="009D46E6" w:rsidRDefault="009D46E6" w:rsidP="0015053A">
      <w:pPr>
        <w:pStyle w:val="Zdroj"/>
      </w:pPr>
      <w:r>
        <w:t>Zdroj: Český statistický úřad 2013, Roční statistické šetření výzkumu a vývoje VTR 5-01</w:t>
      </w:r>
    </w:p>
    <w:p w:rsidR="009D46E6" w:rsidRDefault="009D46E6" w:rsidP="00070A59"/>
    <w:p w:rsidR="009D46E6" w:rsidRDefault="009D46E6" w:rsidP="00070A59">
      <w:r>
        <w:t>Z hlediska vědních oblastí převažují v ČR technické a přírodní vědy. Na technické vědy se zaměřuje především podnikatelský a vysokoškolský sektor. Přírodní vědy jsou nejvíce rozvíjeny vládním sektorem, a to především na pracovištích AV ČR. Za posledních pět let vzrostly relativně nejvíce, přibližně o polovinu, výdaje ve vědách přírodních a humanitních. Pokud jde o objem finančních prostředků, tak ten vzrostl nejvíce za stejné období ve vědách technických (o 10,3 mld. Kč) a přírodních (o 8,5 mld. Kč).  Struktura českého VaV podle investic do vědních oblastí však zůstává od roku 2005 v zásadě stabilní.</w:t>
      </w:r>
    </w:p>
    <w:p w:rsidR="009D46E6" w:rsidRDefault="009D46E6" w:rsidP="00070A59">
      <w:r>
        <w:t xml:space="preserve">Pokud jde o převažující ekonomickou činnost, v celém sledovaném období převažovaly v ČR výdaje na VaV provedené v subjektech s převažující činností v některém z průmyslových odvětví (CZ-NACE sekce B až D), a to především díky podnikatelskému sektoru. Na pomyslném druhém místě jsou subjekty působící v Profesních, vědeckých a technických činnostech (CZ-NACE sekce M), kam patří především soukromé a veřejné výzkumné instituce s převažující činností VaV (CZ-NACE 72). V posledních letech roste význam subjektů s převažující činností: Vzdělávání (CZ-NACE sekce P), a to díky rostoucím výdajům na VaV ve veřejných vysokých školách. </w:t>
      </w:r>
    </w:p>
    <w:p w:rsidR="009D46E6" w:rsidRDefault="009D46E6" w:rsidP="00070A59">
      <w:r>
        <w:t xml:space="preserve">Následující graf obsahuje údaje podle dvou výše uvedených hledisek, jak za celkové výdaje za VaV (GERD) v letech 2007 až 2012, tak i v hlavních sektorech provádění VaV (BERD, GOVERD a HERD) za rok 2012. Je třeba ovšem zdůraznit, že údaje o výdajích na VaV podle vědních oblastí mají jinou vypovídací hodnotu v případě vládního a vysokoškolského sektoru než sektoru podnikatelského, kde se spíše používá třídění podle převažující ekonomické činnosti.  </w:t>
      </w:r>
    </w:p>
    <w:p w:rsidR="009D46E6" w:rsidRDefault="009D46E6" w:rsidP="0015053A">
      <w:pPr>
        <w:pStyle w:val="Caption"/>
        <w:tabs>
          <w:tab w:val="clear" w:pos="1276"/>
        </w:tabs>
        <w:ind w:left="993" w:hanging="993"/>
      </w:pPr>
      <w:bookmarkStart w:id="37" w:name="_Toc369091968"/>
      <w:r>
        <w:t xml:space="preserve">Graf </w:t>
      </w:r>
      <w:fldSimple w:instr=" STYLEREF 1 \s ">
        <w:r>
          <w:rPr>
            <w:noProof/>
          </w:rPr>
          <w:t>A</w:t>
        </w:r>
      </w:fldSimple>
      <w:r>
        <w:t>.</w:t>
      </w:r>
      <w:fldSimple w:instr=" SEQ Graf \* ARABIC \s 1 ">
        <w:r>
          <w:rPr>
            <w:noProof/>
          </w:rPr>
          <w:t>7</w:t>
        </w:r>
      </w:fldSimple>
      <w:r w:rsidRPr="00BD5EC7">
        <w:t xml:space="preserve">: </w:t>
      </w:r>
      <w:r w:rsidRPr="0015053A">
        <w:t>Celkové výdaje na VaV v jednotlivých sektorech podle převažující vědní a ekonomické oblasti sledovaných subjektů (%)</w:t>
      </w:r>
      <w:bookmarkEnd w:id="37"/>
    </w:p>
    <w:p w:rsidR="009D46E6" w:rsidRDefault="009D46E6" w:rsidP="0015053A">
      <w:pPr>
        <w:pStyle w:val="Objekt"/>
      </w:pPr>
      <w:r>
        <w:t>1) Podle převažující skupiny vědní oblasti (klasifikace FOS)</w:t>
      </w:r>
    </w:p>
    <w:p w:rsidR="009D46E6" w:rsidRDefault="009D46E6" w:rsidP="0015053A">
      <w:pPr>
        <w:pStyle w:val="Objekt"/>
      </w:pPr>
      <w:r w:rsidRPr="001D1D98">
        <w:pict>
          <v:shape id="Graf 386" o:spid="_x0000_i1048" type="#_x0000_t75" style="width:200.4pt;height:163.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izs9+3QAAAAUBAAAPAAAAZHJzL2Rvd25y&#10;ZXYueG1sTI9BS8NAEIXvgv9hGcGb3bWtMcRsShUUIb1YS71ukzEJzc6G3W2b/nvHXvTy4PGG977J&#10;F6PtxRF96BxpuJ8oEEiVqztqNGw+X+9SECEaqk3vCDWcMcCiuL7KTVa7E33gcR0bwSUUMqOhjXHI&#10;pAxVi9aEiRuQOPt23prI1jey9ubE5baXU6USaU1HvNCaAV9arPbrg9Xw9X5erbZlMvrlo38oyzc1&#10;e073Wt/ejMsnEBHH+HcMv/iMDgUz7dyB6iB6DfxIvChnc5Wy3WmYTZM5yCKX/+mLHw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">
            <v:imagedata r:id="rId35" o:title="" croptop="-3696f" cropbottom="-4830f" cropleft="-492f" cropright="-3294f"/>
            <o:lock v:ext="edit" aspectratio="f"/>
          </v:shape>
        </w:pict>
      </w:r>
      <w:r w:rsidRPr="001D1D98">
        <w:pict>
          <v:shape id="Graf 389" o:spid="_x0000_i1049" type="#_x0000_t75" style="width:272.4pt;height:163.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">
            <v:imagedata r:id="rId36" o:title="" croptop="-3709f" cropbottom="-5052f" cropleft="-2029f" cropright="-4164f"/>
            <o:lock v:ext="edit" aspectratio="f"/>
          </v:shape>
        </w:pict>
      </w:r>
    </w:p>
    <w:p w:rsidR="009D46E6" w:rsidRDefault="009D46E6">
      <w:pPr>
        <w:spacing w:before="200" w:after="200" w:line="276" w:lineRule="auto"/>
        <w:jc w:val="left"/>
        <w:rPr>
          <w:noProof/>
          <w:szCs w:val="22"/>
          <w:lang w:eastAsia="cs-CZ"/>
        </w:rPr>
      </w:pPr>
      <w:r>
        <w:br w:type="page"/>
      </w:r>
    </w:p>
    <w:p w:rsidR="009D46E6" w:rsidRDefault="009D46E6" w:rsidP="0015053A">
      <w:pPr>
        <w:pStyle w:val="Objekt"/>
      </w:pPr>
      <w:r>
        <w:t>2) Podle převažující ekonomické činnosti (Sekce klasifikace CZ-NACE)</w:t>
      </w:r>
    </w:p>
    <w:p w:rsidR="009D46E6" w:rsidRDefault="009D46E6" w:rsidP="0015053A">
      <w:pPr>
        <w:pStyle w:val="Objekt"/>
      </w:pPr>
      <w:r w:rsidRPr="001D1D98">
        <w:pict>
          <v:shape id="Graf 390" o:spid="_x0000_i1050" type="#_x0000_t75" style="width:204pt;height:163.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VsX8s2gAAAAUBAAAPAAAAZHJzL2Rvd25y&#10;ZXYueG1sTI/LTsMwEEX3SP0Hayqxo04fRFGIU1VIZYHYUPgAJ54mAXscbLcNfD0DG9iMdHVHZ85U&#10;28lZccYQB08KlosMBFLrzUCdgteX/U0BIiZNRltPqOATI2zr2VWlS+Mv9IznQ+oEQyiWWkGf0lhK&#10;GdsenY4LPyJxd/TB6cQxdNIEfWG4s3KVZbl0eiC+0OsR73ts3w8nx5T87daP8avBj/1UPB7XjX14&#10;Ckpdz6fdHYiEU/pbhh99VoeanRp/IhOFVcCPpN/J3SYrODYK1qt8A7Ku5H/7+hs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">
            <v:imagedata r:id="rId37" o:title="" croptop="-3696f" cropbottom="-4830f" cropleft="-500f" cropright="-4327f"/>
            <o:lock v:ext="edit" aspectratio="f"/>
          </v:shape>
        </w:pict>
      </w:r>
      <w:r w:rsidRPr="001D1D98">
        <w:pict>
          <v:shape id="Graf 391" o:spid="_x0000_i1051" type="#_x0000_t75" style="width:269.4pt;height:163.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M/io/3QAAAAUBAAAPAAAAZHJzL2Rvd25y&#10;ZXYueG1sTI/BTsMwEETvSPyDtUjcqENJCwpxKqhaJMqJtkIc3XgbR8TrEDtp+HsWLnAZaTWrmTf5&#10;YnSNGLALtScF15MEBFLpTU2Vgv1ufXUHIkRNRjeeUMEXBlgU52e5zow/0SsO21gJDqGQaQU2xjaT&#10;MpQWnQ4T3yKxd/Sd05HPrpKm0ycOd42cJslcOl0TN1jd4tJi+bHtnYLV0L293z4+LZ/9ZvUyM8dN&#10;b9efSl1ejA/3ICKO8e8ZfvAZHQpmOvieTBCNAh4Sf5W9WZryjIOCm+k8BVnk8j998Q0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">
            <v:imagedata r:id="rId38" o:title="" croptop="-3709f" cropbottom="-5052f" cropleft="-2014f" cropright="-3635f"/>
            <o:lock v:ext="edit" aspectratio="f"/>
          </v:shape>
        </w:pict>
      </w:r>
    </w:p>
    <w:p w:rsidR="009D46E6" w:rsidRDefault="009D46E6" w:rsidP="0015053A">
      <w:pPr>
        <w:pStyle w:val="Zdroj"/>
      </w:pPr>
      <w:r>
        <w:t>Zdroj: Český statistický úřad 2013, Roční statistické šetření výzkumu a vývoje VTR 5-01</w:t>
      </w:r>
    </w:p>
    <w:p w:rsidR="009D46E6" w:rsidRDefault="009D46E6" w:rsidP="00070A59"/>
    <w:p w:rsidR="009D46E6" w:rsidRDefault="009D46E6" w:rsidP="00070A59">
      <w:r>
        <w:t>Jelikož vývoj výdajů na VaV podle převažující vědní a ekonomické oblasti je v posledních dvou letech výrazně ovlivněn výše uvedeným nárůstem investičních výdajů na VaV financovaných ze strukturálních fondů EU, jsou v tabulkové příloze tyto údaje navíc uvedeny i za neinvestiční náklady a za jednotlivé zdroje financování VaV. Podrobnější informace k některým aspektům členění výdajů na VaV podle funkčního hlediska jsou uvedeny v následujících dvou kapitolách (A1.2  a A1.3).</w:t>
      </w:r>
    </w:p>
    <w:p w:rsidR="009D46E6" w:rsidRDefault="009D46E6" w:rsidP="00070A59"/>
    <w:p w:rsidR="009D46E6" w:rsidRDefault="009D46E6" w:rsidP="0015053A">
      <w:pPr>
        <w:pStyle w:val="Heading4"/>
      </w:pPr>
      <w:r>
        <w:t xml:space="preserve">GERD podle regionálního členění </w:t>
      </w:r>
    </w:p>
    <w:p w:rsidR="009D46E6" w:rsidRDefault="009D46E6" w:rsidP="00070A59">
      <w:r>
        <w:t>Mezi kraji v oblasti VaV dlouhodobě dominuje Praha, kde v posledním sledovaném roce bylo jak nejvíce pracovišť VaV (680, 24 % podíl), tak i nejvíce zaměstnanců (22 164, 37 % podíl) a výdajů (25 mld. Kč, 35 % podíl) směřujících do VaV. V posledních letech ve VaV vzrůstá význam Jihomoravského kraje, kde se nacházelo 466 výzkumných pracovišť (v roce 2007 to bylo 321) a byla zde za provedený VaV utracena pětina (14,7 mld. Kč) finančních prostředků směřujících do VaV v ČR. Před pěti lety byl v Jihomoravském kraji proveden VaV za 5,7 mld. Kč a jeho podíl na celé ČR pouze 11 %. Hlavním důvodem dominance těchto krajů je nejen přítomnost významných veřejných vysokých škol a veřejných výzkumných institucí, ale i soukromých podnikatelských subjektů s významnými VaV aktivitami.</w:t>
      </w:r>
    </w:p>
    <w:p w:rsidR="009D46E6" w:rsidRDefault="009D46E6" w:rsidP="0015053A">
      <w:pPr>
        <w:pStyle w:val="Caption"/>
        <w:tabs>
          <w:tab w:val="clear" w:pos="1276"/>
        </w:tabs>
        <w:ind w:left="993" w:hanging="993"/>
      </w:pPr>
      <w:bookmarkStart w:id="38" w:name="_Toc369091969"/>
      <w:r>
        <w:t xml:space="preserve">Graf </w:t>
      </w:r>
      <w:fldSimple w:instr=" STYLEREF 1 \s ">
        <w:r>
          <w:rPr>
            <w:noProof/>
          </w:rPr>
          <w:t>A</w:t>
        </w:r>
      </w:fldSimple>
      <w:r>
        <w:t>.</w:t>
      </w:r>
      <w:fldSimple w:instr=" SEQ Graf \* ARABIC \s 1 ">
        <w:r>
          <w:rPr>
            <w:noProof/>
          </w:rPr>
          <w:t>8</w:t>
        </w:r>
      </w:fldSimple>
      <w:r w:rsidRPr="00BD5EC7">
        <w:t xml:space="preserve">: </w:t>
      </w:r>
      <w:r w:rsidRPr="0015053A">
        <w:t>Výzkum a vývoj v krajích ČR, 2012 (%)</w:t>
      </w:r>
      <w:bookmarkEnd w:id="38"/>
    </w:p>
    <w:p w:rsidR="009D46E6" w:rsidRDefault="009D46E6" w:rsidP="0015053A">
      <w:pPr>
        <w:pStyle w:val="Objekt"/>
      </w:pPr>
      <w:r w:rsidRPr="001D1D98">
        <w:pict>
          <v:shape id="Graf 392" o:spid="_x0000_i1052" type="#_x0000_t75" style="width:472.2pt;height:198.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p7ZEN2wAAAAUBAAAPAAAAZHJzL2Rvd25y&#10;ZXYueG1sTI4xT8MwEIV3JP6DdUhs1GmLQhviVAjUAYmBFgZGNz7iUPscxW6S/nsOFlhOenpP333l&#10;ZvJODNjHNpCC+SwDgVQH01Kj4P1te7MCEZMmo10gVHDGCJvq8qLUhQkj7XDYp0YwhGKhFdiUukLK&#10;WFv0Os5Ch8TdZ+i9Thz7Rppejwz3Ti6yLJdet8QfrO7w0WJ93J+8gmxlv9z4OsjtR5o/y6cXuj2e&#10;Sanrq+nhHkTCKf2N4Uef1aFip0M4kYnCMYN3v5e7db7MQRwULNd3C5BVKf/bV98A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">
            <v:imagedata r:id="rId39" o:title="" croptop="-3349f" cropbottom="-4140f" cropleft="-1037f" cropright="-2830f"/>
            <o:lock v:ext="edit" aspectratio="f"/>
          </v:shape>
        </w:pict>
      </w:r>
    </w:p>
    <w:p w:rsidR="009D46E6" w:rsidRDefault="009D46E6" w:rsidP="0015053A">
      <w:pPr>
        <w:pStyle w:val="Zdroj"/>
      </w:pPr>
      <w:r>
        <w:t>Zdroj: Český statistický úřad 2013, Roční statistické šetření výzkumu a vývoje VTR 5-01</w:t>
      </w:r>
    </w:p>
    <w:p w:rsidR="009D46E6" w:rsidRDefault="009D46E6" w:rsidP="00070A59"/>
    <w:p w:rsidR="009D46E6" w:rsidRDefault="009D46E6" w:rsidP="00070A59">
      <w:r>
        <w:t xml:space="preserve">Přestože podrobnější analýza údajů o VaV v regionálním členění jde na rámec této analýzy a nebudou tak dále podrobněji komentovány, v tabulkové příloze jsou všechny sledované ukazatele k dispozici za ČR i za jednotlivé kraje. </w:t>
      </w:r>
    </w:p>
    <w:p w:rsidR="009D46E6" w:rsidRDefault="009D46E6" w:rsidP="00070A59"/>
    <w:p w:rsidR="009D46E6" w:rsidRDefault="009D46E6" w:rsidP="0015053A">
      <w:pPr>
        <w:pStyle w:val="Heading4"/>
      </w:pPr>
      <w:r>
        <w:t>Mezinárodní srovnání – základní ukazatele</w:t>
      </w:r>
      <w:r>
        <w:rPr>
          <w:rStyle w:val="FootnoteReference"/>
          <w:rFonts w:cs="Tahoma"/>
        </w:rPr>
        <w:footnoteReference w:id="6"/>
      </w:r>
    </w:p>
    <w:p w:rsidR="009D46E6" w:rsidRDefault="009D46E6" w:rsidP="00070A59">
      <w:r>
        <w:t>V roce 2011 dosáhly celkové výdaje za VaV provedený na území EU28 246,3 mld. Eur, tj. o 5 % (10,7 mld. Eur) více než v roce předchozím. Německo, Francie a Spojené království se podílely na celkových výdajích EU28 téměř ze dvou třetin (62 %), Česká republika s 2,6 mld. Eur přesně 1 %. I přes velmi nízký podíl České republiky na celkových výdajích na VaV uskutečněných v zemích EU28, se jedná, společně s Polskem, o zdaleka nejvyšší hodnotu ze všech nových členských zemí Evropské unie. Například v porovnání s Maďarskem jsou investice do VaV (GERD) u nás větší dvakrát, v porovnání se Slovenskem 5,5krát. Přesto ČR výrazně zaostává za velikostně obdobnými státy EU15, jako jsou Rakousko, Finsko nebo Dánsko.</w:t>
      </w:r>
    </w:p>
    <w:p w:rsidR="009D46E6" w:rsidRDefault="009D46E6" w:rsidP="00070A59">
      <w:r>
        <w:t>Rozdíly mezi státy ve výdajích na VaV jsou ovlivněny kromě velikosti, vyspělosti a zaměření jednotlivých ekonomik i úrovní cenových hladin jednotlivých států. V následující tabulce jsou proto uvedeny údaje o celkových výdajích na VaV vybraných zemí podle parity kupní sily (PPP), jež eliminuje rozdíly v cenových hladinách jednotlivých zemí. V tomto případě je pak pozice ČR ve vztahu k celkovým výdajům EU28 o polovinu lepší. Z tabulky lze vyčíst výrazný nárůst významu Číny. Jestliže v roce 2000 dosáhly výdaje na VaV v Číně v PPP 15 % EU28, tak v roce 2011 to bylo již 65 %, a Čína se stala zemí s druhými největšími investicemi do VaV po Spojených státech. Za posledních 10 let přeskočila nejen uvedené Japonsko a Německo, ale i Francii a Spojené království.</w:t>
      </w:r>
    </w:p>
    <w:p w:rsidR="009D46E6" w:rsidRPr="00BC1D05" w:rsidRDefault="009D46E6" w:rsidP="0015053A">
      <w:pPr>
        <w:pStyle w:val="Caption"/>
      </w:pPr>
      <w:bookmarkStart w:id="39" w:name="_Toc369091923"/>
      <w:r>
        <w:t xml:space="preserve">Tabulka </w:t>
      </w:r>
      <w:fldSimple w:instr=" STYLEREF 1 \s ">
        <w:r>
          <w:rPr>
            <w:noProof/>
          </w:rPr>
          <w:t>A</w:t>
        </w:r>
      </w:fldSimple>
      <w:r>
        <w:t>.</w:t>
      </w:r>
      <w:fldSimple w:instr=" SEQ Tabulka \* ARABIC \s 1 ">
        <w:r>
          <w:rPr>
            <w:noProof/>
          </w:rPr>
          <w:t>2</w:t>
        </w:r>
      </w:fldSimple>
      <w:r w:rsidRPr="00BC1D05">
        <w:t xml:space="preserve">: </w:t>
      </w:r>
      <w:r w:rsidRPr="0015053A">
        <w:t>Celkové výdaje na VaV ve vybraných zemích (mil. US$ v PPP; EU28= 100)</w:t>
      </w:r>
      <w:bookmarkEnd w:id="39"/>
    </w:p>
    <w:tbl>
      <w:tblPr>
        <w:tblW w:w="9639" w:type="dxa"/>
        <w:tblInd w:w="108" w:type="dxa"/>
        <w:tblBorders>
          <w:top w:val="single" w:sz="18" w:space="0" w:color="auto"/>
          <w:bottom w:val="single" w:sz="18" w:space="0" w:color="auto"/>
        </w:tblBorders>
        <w:tblLayout w:type="fixed"/>
        <w:tblLook w:val="00A0"/>
      </w:tblPr>
      <w:tblGrid>
        <w:gridCol w:w="596"/>
        <w:gridCol w:w="894"/>
        <w:gridCol w:w="744"/>
        <w:gridCol w:w="818"/>
        <w:gridCol w:w="819"/>
        <w:gridCol w:w="694"/>
        <w:gridCol w:w="694"/>
        <w:gridCol w:w="695"/>
        <w:gridCol w:w="614"/>
        <w:gridCol w:w="614"/>
        <w:gridCol w:w="614"/>
        <w:gridCol w:w="688"/>
        <w:gridCol w:w="595"/>
        <w:gridCol w:w="560"/>
      </w:tblGrid>
      <w:tr w:rsidR="009D46E6" w:rsidRPr="00DB1559" w:rsidTr="00DB1559">
        <w:trPr>
          <w:trHeight w:val="239"/>
        </w:trPr>
        <w:tc>
          <w:tcPr>
            <w:tcW w:w="567" w:type="dxa"/>
            <w:tcBorders>
              <w:top w:val="single" w:sz="18" w:space="0" w:color="auto"/>
              <w:left w:val="nil"/>
              <w:bottom w:val="single" w:sz="18" w:space="0" w:color="auto"/>
              <w:right w:val="nil"/>
            </w:tcBorders>
            <w:shd w:val="clear" w:color="auto" w:fill="4F81BD"/>
            <w:noWrap/>
          </w:tcPr>
          <w:p w:rsidR="009D46E6" w:rsidRPr="00DB1559" w:rsidRDefault="009D46E6" w:rsidP="00DB1559">
            <w:pPr>
              <w:spacing w:after="0" w:line="240" w:lineRule="auto"/>
              <w:jc w:val="center"/>
              <w:rPr>
                <w:rFonts w:cs="Tahoma"/>
                <w:b/>
                <w:bCs/>
                <w:color w:val="FFFFFF"/>
                <w:sz w:val="13"/>
                <w:szCs w:val="13"/>
                <w:lang w:eastAsia="cs-CZ"/>
              </w:rPr>
            </w:pPr>
            <w:r w:rsidRPr="00DB1559">
              <w:rPr>
                <w:rFonts w:cs="Tahoma"/>
                <w:b/>
                <w:bCs/>
                <w:color w:val="FFFFFF"/>
                <w:sz w:val="13"/>
                <w:szCs w:val="13"/>
                <w:lang w:eastAsia="cs-CZ"/>
              </w:rPr>
              <w:t> </w:t>
            </w:r>
          </w:p>
        </w:tc>
        <w:tc>
          <w:tcPr>
            <w:tcW w:w="851"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3"/>
                <w:szCs w:val="13"/>
                <w:lang w:eastAsia="cs-CZ"/>
              </w:rPr>
            </w:pPr>
            <w:r w:rsidRPr="00DB1559">
              <w:rPr>
                <w:rFonts w:cs="Tahoma"/>
                <w:b/>
                <w:bCs/>
                <w:color w:val="FFFFFF"/>
                <w:sz w:val="13"/>
                <w:szCs w:val="13"/>
                <w:lang w:eastAsia="cs-CZ"/>
              </w:rPr>
              <w:t>EU28</w:t>
            </w:r>
          </w:p>
        </w:tc>
        <w:tc>
          <w:tcPr>
            <w:tcW w:w="709"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3"/>
                <w:szCs w:val="13"/>
                <w:lang w:eastAsia="cs-CZ"/>
              </w:rPr>
            </w:pPr>
            <w:r w:rsidRPr="00DB1559">
              <w:rPr>
                <w:rFonts w:cs="Tahoma"/>
                <w:b/>
                <w:bCs/>
                <w:color w:val="FFFFFF"/>
                <w:sz w:val="13"/>
                <w:szCs w:val="13"/>
                <w:lang w:eastAsia="cs-CZ"/>
              </w:rPr>
              <w:t>USA</w:t>
            </w:r>
          </w:p>
        </w:tc>
        <w:tc>
          <w:tcPr>
            <w:tcW w:w="779"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3"/>
                <w:szCs w:val="13"/>
                <w:lang w:eastAsia="cs-CZ"/>
              </w:rPr>
            </w:pPr>
            <w:r w:rsidRPr="00DB1559">
              <w:rPr>
                <w:rFonts w:cs="Tahoma"/>
                <w:b/>
                <w:bCs/>
                <w:color w:val="FFFFFF"/>
                <w:sz w:val="13"/>
                <w:szCs w:val="13"/>
                <w:lang w:eastAsia="cs-CZ"/>
              </w:rPr>
              <w:t>Čína</w:t>
            </w:r>
          </w:p>
        </w:tc>
        <w:tc>
          <w:tcPr>
            <w:tcW w:w="780"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3"/>
                <w:szCs w:val="13"/>
                <w:lang w:eastAsia="cs-CZ"/>
              </w:rPr>
            </w:pPr>
            <w:r w:rsidRPr="00DB1559">
              <w:rPr>
                <w:rFonts w:cs="Tahoma"/>
                <w:b/>
                <w:bCs/>
                <w:color w:val="FFFFFF"/>
                <w:sz w:val="13"/>
                <w:szCs w:val="13"/>
                <w:lang w:eastAsia="cs-CZ"/>
              </w:rPr>
              <w:t>Jap.</w:t>
            </w:r>
          </w:p>
        </w:tc>
        <w:tc>
          <w:tcPr>
            <w:tcW w:w="661"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3"/>
                <w:szCs w:val="13"/>
                <w:lang w:eastAsia="cs-CZ"/>
              </w:rPr>
            </w:pPr>
            <w:r w:rsidRPr="00DB1559">
              <w:rPr>
                <w:rFonts w:cs="Tahoma"/>
                <w:b/>
                <w:bCs/>
                <w:color w:val="FFFFFF"/>
                <w:sz w:val="13"/>
                <w:szCs w:val="13"/>
                <w:lang w:eastAsia="cs-CZ"/>
              </w:rPr>
              <w:t>Něm.</w:t>
            </w:r>
          </w:p>
        </w:tc>
        <w:tc>
          <w:tcPr>
            <w:tcW w:w="661"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3"/>
                <w:szCs w:val="13"/>
                <w:lang w:eastAsia="cs-CZ"/>
              </w:rPr>
            </w:pPr>
            <w:r w:rsidRPr="00DB1559">
              <w:rPr>
                <w:rFonts w:cs="Tahoma"/>
                <w:b/>
                <w:bCs/>
                <w:color w:val="FFFFFF"/>
                <w:sz w:val="13"/>
                <w:szCs w:val="13"/>
                <w:lang w:eastAsia="cs-CZ"/>
              </w:rPr>
              <w:t>Korea</w:t>
            </w:r>
          </w:p>
        </w:tc>
        <w:tc>
          <w:tcPr>
            <w:tcW w:w="662"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3"/>
                <w:szCs w:val="13"/>
                <w:lang w:eastAsia="cs-CZ"/>
              </w:rPr>
            </w:pPr>
            <w:r w:rsidRPr="00DB1559">
              <w:rPr>
                <w:rFonts w:cs="Tahoma"/>
                <w:b/>
                <w:bCs/>
                <w:color w:val="FFFFFF"/>
                <w:sz w:val="13"/>
                <w:szCs w:val="13"/>
                <w:lang w:eastAsia="cs-CZ"/>
              </w:rPr>
              <w:t>Rusko</w:t>
            </w:r>
          </w:p>
        </w:tc>
        <w:tc>
          <w:tcPr>
            <w:tcW w:w="585"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3"/>
                <w:szCs w:val="13"/>
                <w:lang w:eastAsia="cs-CZ"/>
              </w:rPr>
            </w:pPr>
            <w:r w:rsidRPr="00DB1559">
              <w:rPr>
                <w:rFonts w:cs="Tahoma"/>
                <w:b/>
                <w:bCs/>
                <w:color w:val="FFFFFF"/>
                <w:sz w:val="13"/>
                <w:szCs w:val="13"/>
                <w:lang w:eastAsia="cs-CZ"/>
              </w:rPr>
              <w:t>Rak.</w:t>
            </w:r>
          </w:p>
        </w:tc>
        <w:tc>
          <w:tcPr>
            <w:tcW w:w="585"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3"/>
                <w:szCs w:val="13"/>
                <w:lang w:eastAsia="cs-CZ"/>
              </w:rPr>
            </w:pPr>
            <w:r w:rsidRPr="00DB1559">
              <w:rPr>
                <w:rFonts w:cs="Tahoma"/>
                <w:b/>
                <w:bCs/>
                <w:color w:val="FFFFFF"/>
                <w:sz w:val="13"/>
                <w:szCs w:val="13"/>
                <w:lang w:eastAsia="cs-CZ"/>
              </w:rPr>
              <w:t>Fin.</w:t>
            </w:r>
          </w:p>
        </w:tc>
        <w:tc>
          <w:tcPr>
            <w:tcW w:w="585"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3"/>
                <w:szCs w:val="13"/>
                <w:lang w:eastAsia="cs-CZ"/>
              </w:rPr>
            </w:pPr>
            <w:r w:rsidRPr="00DB1559">
              <w:rPr>
                <w:rFonts w:cs="Tahoma"/>
                <w:b/>
                <w:bCs/>
                <w:color w:val="FFFFFF"/>
                <w:sz w:val="13"/>
                <w:szCs w:val="13"/>
                <w:lang w:eastAsia="cs-CZ"/>
              </w:rPr>
              <w:t>Pol.</w:t>
            </w:r>
          </w:p>
        </w:tc>
        <w:tc>
          <w:tcPr>
            <w:tcW w:w="655"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3"/>
                <w:szCs w:val="13"/>
                <w:lang w:eastAsia="cs-CZ"/>
              </w:rPr>
            </w:pPr>
            <w:r w:rsidRPr="00DB1559">
              <w:rPr>
                <w:rFonts w:cs="Tahoma"/>
                <w:b/>
                <w:bCs/>
                <w:color w:val="FFFFFF"/>
                <w:sz w:val="13"/>
                <w:szCs w:val="13"/>
                <w:lang w:eastAsia="cs-CZ"/>
              </w:rPr>
              <w:t>ČR</w:t>
            </w:r>
          </w:p>
        </w:tc>
        <w:tc>
          <w:tcPr>
            <w:tcW w:w="567"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3"/>
                <w:szCs w:val="13"/>
                <w:lang w:eastAsia="cs-CZ"/>
              </w:rPr>
            </w:pPr>
            <w:r w:rsidRPr="00DB1559">
              <w:rPr>
                <w:rFonts w:cs="Tahoma"/>
                <w:b/>
                <w:bCs/>
                <w:color w:val="FFFFFF"/>
                <w:sz w:val="13"/>
                <w:szCs w:val="13"/>
                <w:lang w:eastAsia="cs-CZ"/>
              </w:rPr>
              <w:t>Maď.</w:t>
            </w:r>
          </w:p>
        </w:tc>
        <w:tc>
          <w:tcPr>
            <w:tcW w:w="533"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3"/>
                <w:szCs w:val="13"/>
                <w:lang w:eastAsia="cs-CZ"/>
              </w:rPr>
            </w:pPr>
            <w:r w:rsidRPr="00DB1559">
              <w:rPr>
                <w:rFonts w:cs="Tahoma"/>
                <w:b/>
                <w:bCs/>
                <w:color w:val="FFFFFF"/>
                <w:sz w:val="13"/>
                <w:szCs w:val="13"/>
                <w:lang w:eastAsia="cs-CZ"/>
              </w:rPr>
              <w:t>SR</w:t>
            </w:r>
          </w:p>
        </w:tc>
      </w:tr>
      <w:tr w:rsidR="009D46E6" w:rsidRPr="00DB1559" w:rsidTr="00DB1559">
        <w:trPr>
          <w:trHeight w:val="224"/>
        </w:trPr>
        <w:tc>
          <w:tcPr>
            <w:tcW w:w="567" w:type="dxa"/>
            <w:tcBorders>
              <w:left w:val="nil"/>
              <w:bottom w:val="nil"/>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3"/>
                <w:szCs w:val="13"/>
                <w:lang w:eastAsia="cs-CZ"/>
              </w:rPr>
            </w:pPr>
            <w:r w:rsidRPr="00DB1559">
              <w:rPr>
                <w:rFonts w:cs="Tahoma"/>
                <w:b/>
                <w:bCs/>
                <w:color w:val="FFFFFF"/>
                <w:sz w:val="13"/>
                <w:szCs w:val="13"/>
                <w:lang w:eastAsia="cs-CZ"/>
              </w:rPr>
              <w:t>2000</w:t>
            </w:r>
          </w:p>
        </w:tc>
        <w:tc>
          <w:tcPr>
            <w:tcW w:w="851" w:type="dxa"/>
            <w:shd w:val="clear" w:color="auto" w:fill="D8D8D8"/>
            <w:noWrap/>
            <w:vAlign w:val="center"/>
          </w:tcPr>
          <w:p w:rsidR="009D46E6" w:rsidRPr="00DB1559" w:rsidRDefault="009D46E6" w:rsidP="00DB1559">
            <w:pPr>
              <w:spacing w:after="0" w:line="240" w:lineRule="auto"/>
              <w:jc w:val="right"/>
              <w:rPr>
                <w:rFonts w:cs="Tahoma"/>
                <w:b/>
                <w:bCs/>
                <w:color w:val="000000"/>
                <w:sz w:val="13"/>
                <w:szCs w:val="13"/>
                <w:lang w:eastAsia="cs-CZ"/>
              </w:rPr>
            </w:pPr>
            <w:r w:rsidRPr="00DB1559">
              <w:rPr>
                <w:rFonts w:cs="Tahoma"/>
                <w:b/>
                <w:bCs/>
                <w:color w:val="000000"/>
                <w:sz w:val="13"/>
                <w:szCs w:val="13"/>
                <w:lang w:eastAsia="cs-CZ"/>
              </w:rPr>
              <w:t>184 153</w:t>
            </w:r>
          </w:p>
        </w:tc>
        <w:tc>
          <w:tcPr>
            <w:tcW w:w="709" w:type="dxa"/>
            <w:shd w:val="clear" w:color="auto" w:fill="D8D8D8"/>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268 121</w:t>
            </w:r>
          </w:p>
        </w:tc>
        <w:tc>
          <w:tcPr>
            <w:tcW w:w="779" w:type="dxa"/>
            <w:shd w:val="clear" w:color="auto" w:fill="D8D8D8"/>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27 216</w:t>
            </w:r>
          </w:p>
        </w:tc>
        <w:tc>
          <w:tcPr>
            <w:tcW w:w="780" w:type="dxa"/>
            <w:shd w:val="clear" w:color="auto" w:fill="D8D8D8"/>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98 667</w:t>
            </w:r>
          </w:p>
        </w:tc>
        <w:tc>
          <w:tcPr>
            <w:tcW w:w="661" w:type="dxa"/>
            <w:shd w:val="clear" w:color="auto" w:fill="D8D8D8"/>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52 350</w:t>
            </w:r>
          </w:p>
        </w:tc>
        <w:tc>
          <w:tcPr>
            <w:tcW w:w="661" w:type="dxa"/>
            <w:shd w:val="clear" w:color="auto" w:fill="D8D8D8"/>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18 559</w:t>
            </w:r>
          </w:p>
        </w:tc>
        <w:tc>
          <w:tcPr>
            <w:tcW w:w="662" w:type="dxa"/>
            <w:shd w:val="clear" w:color="auto" w:fill="D8D8D8"/>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10 495</w:t>
            </w:r>
          </w:p>
        </w:tc>
        <w:tc>
          <w:tcPr>
            <w:tcW w:w="585" w:type="dxa"/>
            <w:shd w:val="clear" w:color="auto" w:fill="D8D8D8"/>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4 475</w:t>
            </w:r>
          </w:p>
        </w:tc>
        <w:tc>
          <w:tcPr>
            <w:tcW w:w="585" w:type="dxa"/>
            <w:shd w:val="clear" w:color="auto" w:fill="D8D8D8"/>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4 445</w:t>
            </w:r>
          </w:p>
        </w:tc>
        <w:tc>
          <w:tcPr>
            <w:tcW w:w="585" w:type="dxa"/>
            <w:shd w:val="clear" w:color="auto" w:fill="D8D8D8"/>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2 605</w:t>
            </w:r>
          </w:p>
        </w:tc>
        <w:tc>
          <w:tcPr>
            <w:tcW w:w="655" w:type="dxa"/>
            <w:shd w:val="clear" w:color="auto" w:fill="D8D8D8"/>
            <w:noWrap/>
            <w:vAlign w:val="center"/>
          </w:tcPr>
          <w:p w:rsidR="009D46E6" w:rsidRPr="00DB1559" w:rsidRDefault="009D46E6" w:rsidP="00DB1559">
            <w:pPr>
              <w:spacing w:after="0" w:line="240" w:lineRule="auto"/>
              <w:jc w:val="right"/>
              <w:rPr>
                <w:rFonts w:cs="Tahoma"/>
                <w:b/>
                <w:bCs/>
                <w:color w:val="000000"/>
                <w:sz w:val="13"/>
                <w:szCs w:val="13"/>
                <w:lang w:eastAsia="cs-CZ"/>
              </w:rPr>
            </w:pPr>
            <w:r w:rsidRPr="00DB1559">
              <w:rPr>
                <w:rFonts w:cs="Tahoma"/>
                <w:b/>
                <w:bCs/>
                <w:color w:val="000000"/>
                <w:sz w:val="13"/>
                <w:szCs w:val="13"/>
                <w:lang w:eastAsia="cs-CZ"/>
              </w:rPr>
              <w:t>1 864</w:t>
            </w:r>
          </w:p>
        </w:tc>
        <w:tc>
          <w:tcPr>
            <w:tcW w:w="567" w:type="dxa"/>
            <w:shd w:val="clear" w:color="auto" w:fill="D8D8D8"/>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977</w:t>
            </w:r>
          </w:p>
        </w:tc>
        <w:tc>
          <w:tcPr>
            <w:tcW w:w="533" w:type="dxa"/>
            <w:shd w:val="clear" w:color="auto" w:fill="D8D8D8"/>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384</w:t>
            </w:r>
          </w:p>
        </w:tc>
      </w:tr>
      <w:tr w:rsidR="009D46E6" w:rsidRPr="00DB1559" w:rsidTr="00DB1559">
        <w:trPr>
          <w:trHeight w:val="224"/>
        </w:trPr>
        <w:tc>
          <w:tcPr>
            <w:tcW w:w="567" w:type="dxa"/>
            <w:tcBorders>
              <w:left w:val="nil"/>
              <w:bottom w:val="nil"/>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3"/>
                <w:szCs w:val="13"/>
                <w:lang w:eastAsia="cs-CZ"/>
              </w:rPr>
            </w:pPr>
            <w:r w:rsidRPr="00DB1559">
              <w:rPr>
                <w:rFonts w:cs="Tahoma"/>
                <w:b/>
                <w:bCs/>
                <w:color w:val="FFFFFF"/>
                <w:sz w:val="13"/>
                <w:szCs w:val="13"/>
                <w:lang w:eastAsia="cs-CZ"/>
              </w:rPr>
              <w:t>2007</w:t>
            </w:r>
          </w:p>
        </w:tc>
        <w:tc>
          <w:tcPr>
            <w:tcW w:w="851" w:type="dxa"/>
            <w:noWrap/>
            <w:vAlign w:val="center"/>
          </w:tcPr>
          <w:p w:rsidR="009D46E6" w:rsidRPr="00DB1559" w:rsidRDefault="009D46E6" w:rsidP="00DB1559">
            <w:pPr>
              <w:spacing w:after="0" w:line="240" w:lineRule="auto"/>
              <w:jc w:val="right"/>
              <w:rPr>
                <w:rFonts w:cs="Tahoma"/>
                <w:b/>
                <w:bCs/>
                <w:color w:val="000000"/>
                <w:sz w:val="13"/>
                <w:szCs w:val="13"/>
                <w:lang w:eastAsia="cs-CZ"/>
              </w:rPr>
            </w:pPr>
            <w:r w:rsidRPr="00DB1559">
              <w:rPr>
                <w:rFonts w:cs="Tahoma"/>
                <w:b/>
                <w:bCs/>
                <w:color w:val="000000"/>
                <w:sz w:val="13"/>
                <w:szCs w:val="13"/>
                <w:lang w:eastAsia="cs-CZ"/>
              </w:rPr>
              <w:t>270 904</w:t>
            </w:r>
          </w:p>
        </w:tc>
        <w:tc>
          <w:tcPr>
            <w:tcW w:w="709" w:type="dxa"/>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380 088</w:t>
            </w:r>
          </w:p>
        </w:tc>
        <w:tc>
          <w:tcPr>
            <w:tcW w:w="779" w:type="dxa"/>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102 323</w:t>
            </w:r>
          </w:p>
        </w:tc>
        <w:tc>
          <w:tcPr>
            <w:tcW w:w="780" w:type="dxa"/>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147 702</w:t>
            </w:r>
          </w:p>
        </w:tc>
        <w:tc>
          <w:tcPr>
            <w:tcW w:w="661" w:type="dxa"/>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74 016</w:t>
            </w:r>
          </w:p>
        </w:tc>
        <w:tc>
          <w:tcPr>
            <w:tcW w:w="661" w:type="dxa"/>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40 723</w:t>
            </w:r>
          </w:p>
        </w:tc>
        <w:tc>
          <w:tcPr>
            <w:tcW w:w="662" w:type="dxa"/>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26 554</w:t>
            </w:r>
          </w:p>
        </w:tc>
        <w:tc>
          <w:tcPr>
            <w:tcW w:w="585" w:type="dxa"/>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7 917</w:t>
            </w:r>
          </w:p>
        </w:tc>
        <w:tc>
          <w:tcPr>
            <w:tcW w:w="585" w:type="dxa"/>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6 637</w:t>
            </w:r>
          </w:p>
        </w:tc>
        <w:tc>
          <w:tcPr>
            <w:tcW w:w="585" w:type="dxa"/>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3 620</w:t>
            </w:r>
          </w:p>
        </w:tc>
        <w:tc>
          <w:tcPr>
            <w:tcW w:w="655" w:type="dxa"/>
            <w:noWrap/>
            <w:vAlign w:val="center"/>
          </w:tcPr>
          <w:p w:rsidR="009D46E6" w:rsidRPr="00DB1559" w:rsidRDefault="009D46E6" w:rsidP="00DB1559">
            <w:pPr>
              <w:spacing w:after="0" w:line="240" w:lineRule="auto"/>
              <w:jc w:val="right"/>
              <w:rPr>
                <w:rFonts w:cs="Tahoma"/>
                <w:b/>
                <w:bCs/>
                <w:color w:val="000000"/>
                <w:sz w:val="13"/>
                <w:szCs w:val="13"/>
                <w:lang w:eastAsia="cs-CZ"/>
              </w:rPr>
            </w:pPr>
            <w:r w:rsidRPr="00DB1559">
              <w:rPr>
                <w:rFonts w:cs="Tahoma"/>
                <w:b/>
                <w:bCs/>
                <w:color w:val="000000"/>
                <w:sz w:val="13"/>
                <w:szCs w:val="13"/>
                <w:lang w:eastAsia="cs-CZ"/>
              </w:rPr>
              <w:t>3 893</w:t>
            </w:r>
          </w:p>
        </w:tc>
        <w:tc>
          <w:tcPr>
            <w:tcW w:w="567" w:type="dxa"/>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1 871</w:t>
            </w:r>
          </w:p>
        </w:tc>
        <w:tc>
          <w:tcPr>
            <w:tcW w:w="533" w:type="dxa"/>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518</w:t>
            </w:r>
          </w:p>
        </w:tc>
      </w:tr>
      <w:tr w:rsidR="009D46E6" w:rsidRPr="00DB1559" w:rsidTr="00DB1559">
        <w:trPr>
          <w:trHeight w:val="224"/>
        </w:trPr>
        <w:tc>
          <w:tcPr>
            <w:tcW w:w="567" w:type="dxa"/>
            <w:tcBorders>
              <w:left w:val="nil"/>
              <w:bottom w:val="nil"/>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3"/>
                <w:szCs w:val="13"/>
                <w:lang w:eastAsia="cs-CZ"/>
              </w:rPr>
            </w:pPr>
            <w:r w:rsidRPr="00DB1559">
              <w:rPr>
                <w:rFonts w:cs="Tahoma"/>
                <w:b/>
                <w:bCs/>
                <w:color w:val="FFFFFF"/>
                <w:sz w:val="13"/>
                <w:szCs w:val="13"/>
                <w:lang w:eastAsia="cs-CZ"/>
              </w:rPr>
              <w:t>2011</w:t>
            </w:r>
          </w:p>
        </w:tc>
        <w:tc>
          <w:tcPr>
            <w:tcW w:w="851" w:type="dxa"/>
            <w:shd w:val="clear" w:color="auto" w:fill="D8D8D8"/>
            <w:noWrap/>
            <w:vAlign w:val="center"/>
          </w:tcPr>
          <w:p w:rsidR="009D46E6" w:rsidRPr="00DB1559" w:rsidRDefault="009D46E6" w:rsidP="00DB1559">
            <w:pPr>
              <w:spacing w:after="0" w:line="240" w:lineRule="auto"/>
              <w:jc w:val="right"/>
              <w:rPr>
                <w:rFonts w:cs="Tahoma"/>
                <w:b/>
                <w:bCs/>
                <w:color w:val="000000"/>
                <w:sz w:val="13"/>
                <w:szCs w:val="13"/>
                <w:lang w:eastAsia="cs-CZ"/>
              </w:rPr>
            </w:pPr>
            <w:r w:rsidRPr="00DB1559">
              <w:rPr>
                <w:rFonts w:cs="Tahoma"/>
                <w:b/>
                <w:bCs/>
                <w:color w:val="000000"/>
                <w:sz w:val="13"/>
                <w:szCs w:val="13"/>
                <w:lang w:eastAsia="cs-CZ"/>
              </w:rPr>
              <w:t>320 456</w:t>
            </w:r>
          </w:p>
        </w:tc>
        <w:tc>
          <w:tcPr>
            <w:tcW w:w="709" w:type="dxa"/>
            <w:shd w:val="clear" w:color="auto" w:fill="D8D8D8"/>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415 193</w:t>
            </w:r>
          </w:p>
        </w:tc>
        <w:tc>
          <w:tcPr>
            <w:tcW w:w="779" w:type="dxa"/>
            <w:shd w:val="clear" w:color="auto" w:fill="D8D8D8"/>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208 172</w:t>
            </w:r>
          </w:p>
        </w:tc>
        <w:tc>
          <w:tcPr>
            <w:tcW w:w="780" w:type="dxa"/>
            <w:shd w:val="clear" w:color="auto" w:fill="D8D8D8"/>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146 537</w:t>
            </w:r>
          </w:p>
        </w:tc>
        <w:tc>
          <w:tcPr>
            <w:tcW w:w="661" w:type="dxa"/>
            <w:shd w:val="clear" w:color="auto" w:fill="D8D8D8"/>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93 055</w:t>
            </w:r>
          </w:p>
        </w:tc>
        <w:tc>
          <w:tcPr>
            <w:tcW w:w="661" w:type="dxa"/>
            <w:shd w:val="clear" w:color="auto" w:fill="D8D8D8"/>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59 890</w:t>
            </w:r>
          </w:p>
        </w:tc>
        <w:tc>
          <w:tcPr>
            <w:tcW w:w="662" w:type="dxa"/>
            <w:shd w:val="clear" w:color="auto" w:fill="D8D8D8"/>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35 045</w:t>
            </w:r>
          </w:p>
        </w:tc>
        <w:tc>
          <w:tcPr>
            <w:tcW w:w="585" w:type="dxa"/>
            <w:shd w:val="clear" w:color="auto" w:fill="D8D8D8"/>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9 762</w:t>
            </w:r>
          </w:p>
        </w:tc>
        <w:tc>
          <w:tcPr>
            <w:tcW w:w="585" w:type="dxa"/>
            <w:shd w:val="clear" w:color="auto" w:fill="D8D8D8"/>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7 635</w:t>
            </w:r>
          </w:p>
        </w:tc>
        <w:tc>
          <w:tcPr>
            <w:tcW w:w="585" w:type="dxa"/>
            <w:shd w:val="clear" w:color="auto" w:fill="D8D8D8"/>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6 228</w:t>
            </w:r>
          </w:p>
        </w:tc>
        <w:tc>
          <w:tcPr>
            <w:tcW w:w="655" w:type="dxa"/>
            <w:shd w:val="clear" w:color="auto" w:fill="D8D8D8"/>
            <w:noWrap/>
            <w:vAlign w:val="center"/>
          </w:tcPr>
          <w:p w:rsidR="009D46E6" w:rsidRPr="00DB1559" w:rsidRDefault="009D46E6" w:rsidP="00DB1559">
            <w:pPr>
              <w:spacing w:after="0" w:line="240" w:lineRule="auto"/>
              <w:jc w:val="right"/>
              <w:rPr>
                <w:rFonts w:cs="Tahoma"/>
                <w:b/>
                <w:bCs/>
                <w:color w:val="000000"/>
                <w:sz w:val="13"/>
                <w:szCs w:val="13"/>
                <w:lang w:eastAsia="cs-CZ"/>
              </w:rPr>
            </w:pPr>
            <w:r w:rsidRPr="00DB1559">
              <w:rPr>
                <w:rFonts w:cs="Tahoma"/>
                <w:b/>
                <w:bCs/>
                <w:color w:val="000000"/>
                <w:sz w:val="13"/>
                <w:szCs w:val="13"/>
                <w:lang w:eastAsia="cs-CZ"/>
              </w:rPr>
              <w:t>5 086</w:t>
            </w:r>
          </w:p>
        </w:tc>
        <w:tc>
          <w:tcPr>
            <w:tcW w:w="567" w:type="dxa"/>
            <w:shd w:val="clear" w:color="auto" w:fill="D8D8D8"/>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2 582</w:t>
            </w:r>
          </w:p>
        </w:tc>
        <w:tc>
          <w:tcPr>
            <w:tcW w:w="533" w:type="dxa"/>
            <w:shd w:val="clear" w:color="auto" w:fill="D8D8D8"/>
            <w:noWrap/>
            <w:vAlign w:val="center"/>
          </w:tcPr>
          <w:p w:rsidR="009D46E6" w:rsidRPr="00DB1559" w:rsidRDefault="009D46E6" w:rsidP="00DB1559">
            <w:pPr>
              <w:spacing w:after="0" w:line="240" w:lineRule="auto"/>
              <w:jc w:val="right"/>
              <w:rPr>
                <w:rFonts w:cs="Tahoma"/>
                <w:color w:val="000000"/>
                <w:sz w:val="13"/>
                <w:szCs w:val="13"/>
                <w:lang w:eastAsia="cs-CZ"/>
              </w:rPr>
            </w:pPr>
            <w:r w:rsidRPr="00DB1559">
              <w:rPr>
                <w:rFonts w:cs="Tahoma"/>
                <w:color w:val="000000"/>
                <w:sz w:val="13"/>
                <w:szCs w:val="13"/>
                <w:lang w:eastAsia="cs-CZ"/>
              </w:rPr>
              <w:t>882</w:t>
            </w:r>
          </w:p>
        </w:tc>
      </w:tr>
      <w:tr w:rsidR="009D46E6" w:rsidRPr="00DB1559" w:rsidTr="00DB1559">
        <w:trPr>
          <w:trHeight w:val="224"/>
        </w:trPr>
        <w:tc>
          <w:tcPr>
            <w:tcW w:w="567" w:type="dxa"/>
            <w:tcBorders>
              <w:left w:val="nil"/>
              <w:bottom w:val="nil"/>
              <w:right w:val="nil"/>
            </w:tcBorders>
            <w:shd w:val="clear" w:color="auto" w:fill="4F81BD"/>
            <w:noWrap/>
            <w:vAlign w:val="center"/>
          </w:tcPr>
          <w:p w:rsidR="009D46E6" w:rsidRPr="00DB1559" w:rsidRDefault="009D46E6" w:rsidP="00DB1559">
            <w:pPr>
              <w:spacing w:after="0" w:line="240" w:lineRule="auto"/>
              <w:jc w:val="center"/>
              <w:rPr>
                <w:rFonts w:cs="Tahoma"/>
                <w:b/>
                <w:bCs/>
                <w:i/>
                <w:iCs/>
                <w:color w:val="FFFFFF"/>
                <w:sz w:val="13"/>
                <w:szCs w:val="13"/>
                <w:lang w:eastAsia="cs-CZ"/>
              </w:rPr>
            </w:pPr>
            <w:r w:rsidRPr="00DB1559">
              <w:rPr>
                <w:rFonts w:cs="Tahoma"/>
                <w:b/>
                <w:bCs/>
                <w:i/>
                <w:iCs/>
                <w:color w:val="FFFFFF"/>
                <w:sz w:val="13"/>
                <w:szCs w:val="13"/>
                <w:lang w:eastAsia="cs-CZ"/>
              </w:rPr>
              <w:t>2000</w:t>
            </w:r>
          </w:p>
        </w:tc>
        <w:tc>
          <w:tcPr>
            <w:tcW w:w="851" w:type="dxa"/>
            <w:noWrap/>
            <w:vAlign w:val="center"/>
          </w:tcPr>
          <w:p w:rsidR="009D46E6" w:rsidRPr="00DB1559" w:rsidRDefault="009D46E6" w:rsidP="00DB1559">
            <w:pPr>
              <w:spacing w:after="0" w:line="240" w:lineRule="auto"/>
              <w:jc w:val="right"/>
              <w:rPr>
                <w:rFonts w:cs="Tahoma"/>
                <w:b/>
                <w:bCs/>
                <w:i/>
                <w:iCs/>
                <w:color w:val="000000"/>
                <w:sz w:val="13"/>
                <w:szCs w:val="13"/>
                <w:lang w:eastAsia="cs-CZ"/>
              </w:rPr>
            </w:pPr>
            <w:r w:rsidRPr="00DB1559">
              <w:rPr>
                <w:rFonts w:cs="Tahoma"/>
                <w:b/>
                <w:bCs/>
                <w:i/>
                <w:iCs/>
                <w:color w:val="000000"/>
                <w:sz w:val="13"/>
                <w:szCs w:val="13"/>
                <w:lang w:eastAsia="cs-CZ"/>
              </w:rPr>
              <w:t>100,0</w:t>
            </w:r>
          </w:p>
        </w:tc>
        <w:tc>
          <w:tcPr>
            <w:tcW w:w="709" w:type="dxa"/>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145,6</w:t>
            </w:r>
          </w:p>
        </w:tc>
        <w:tc>
          <w:tcPr>
            <w:tcW w:w="779" w:type="dxa"/>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14,8</w:t>
            </w:r>
          </w:p>
        </w:tc>
        <w:tc>
          <w:tcPr>
            <w:tcW w:w="780" w:type="dxa"/>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53,6</w:t>
            </w:r>
          </w:p>
        </w:tc>
        <w:tc>
          <w:tcPr>
            <w:tcW w:w="661" w:type="dxa"/>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28,4</w:t>
            </w:r>
          </w:p>
        </w:tc>
        <w:tc>
          <w:tcPr>
            <w:tcW w:w="661" w:type="dxa"/>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10,1</w:t>
            </w:r>
          </w:p>
        </w:tc>
        <w:tc>
          <w:tcPr>
            <w:tcW w:w="662" w:type="dxa"/>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5,7</w:t>
            </w:r>
          </w:p>
        </w:tc>
        <w:tc>
          <w:tcPr>
            <w:tcW w:w="585" w:type="dxa"/>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2,4</w:t>
            </w:r>
          </w:p>
        </w:tc>
        <w:tc>
          <w:tcPr>
            <w:tcW w:w="585" w:type="dxa"/>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2,4</w:t>
            </w:r>
          </w:p>
        </w:tc>
        <w:tc>
          <w:tcPr>
            <w:tcW w:w="585" w:type="dxa"/>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1,41</w:t>
            </w:r>
          </w:p>
        </w:tc>
        <w:tc>
          <w:tcPr>
            <w:tcW w:w="655" w:type="dxa"/>
            <w:noWrap/>
            <w:vAlign w:val="center"/>
          </w:tcPr>
          <w:p w:rsidR="009D46E6" w:rsidRPr="00DB1559" w:rsidRDefault="009D46E6" w:rsidP="00DB1559">
            <w:pPr>
              <w:spacing w:after="0" w:line="240" w:lineRule="auto"/>
              <w:jc w:val="right"/>
              <w:rPr>
                <w:rFonts w:cs="Tahoma"/>
                <w:b/>
                <w:bCs/>
                <w:i/>
                <w:iCs/>
                <w:color w:val="000000"/>
                <w:sz w:val="13"/>
                <w:szCs w:val="13"/>
                <w:lang w:eastAsia="cs-CZ"/>
              </w:rPr>
            </w:pPr>
            <w:r w:rsidRPr="00DB1559">
              <w:rPr>
                <w:rFonts w:cs="Tahoma"/>
                <w:b/>
                <w:bCs/>
                <w:i/>
                <w:iCs/>
                <w:color w:val="000000"/>
                <w:sz w:val="13"/>
                <w:szCs w:val="13"/>
                <w:lang w:eastAsia="cs-CZ"/>
              </w:rPr>
              <w:t>1,01</w:t>
            </w:r>
          </w:p>
        </w:tc>
        <w:tc>
          <w:tcPr>
            <w:tcW w:w="567" w:type="dxa"/>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0,53</w:t>
            </w:r>
          </w:p>
        </w:tc>
        <w:tc>
          <w:tcPr>
            <w:tcW w:w="533" w:type="dxa"/>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0,21</w:t>
            </w:r>
          </w:p>
        </w:tc>
      </w:tr>
      <w:tr w:rsidR="009D46E6" w:rsidRPr="00DB1559" w:rsidTr="00DB1559">
        <w:trPr>
          <w:trHeight w:val="224"/>
        </w:trPr>
        <w:tc>
          <w:tcPr>
            <w:tcW w:w="567" w:type="dxa"/>
            <w:tcBorders>
              <w:left w:val="nil"/>
              <w:bottom w:val="nil"/>
              <w:right w:val="nil"/>
            </w:tcBorders>
            <w:shd w:val="clear" w:color="auto" w:fill="4F81BD"/>
            <w:noWrap/>
            <w:vAlign w:val="center"/>
          </w:tcPr>
          <w:p w:rsidR="009D46E6" w:rsidRPr="00DB1559" w:rsidRDefault="009D46E6" w:rsidP="00DB1559">
            <w:pPr>
              <w:spacing w:after="0" w:line="240" w:lineRule="auto"/>
              <w:jc w:val="center"/>
              <w:rPr>
                <w:rFonts w:cs="Tahoma"/>
                <w:b/>
                <w:bCs/>
                <w:i/>
                <w:iCs/>
                <w:color w:val="FFFFFF"/>
                <w:sz w:val="13"/>
                <w:szCs w:val="13"/>
                <w:lang w:eastAsia="cs-CZ"/>
              </w:rPr>
            </w:pPr>
            <w:r w:rsidRPr="00DB1559">
              <w:rPr>
                <w:rFonts w:cs="Tahoma"/>
                <w:b/>
                <w:bCs/>
                <w:i/>
                <w:iCs/>
                <w:color w:val="FFFFFF"/>
                <w:sz w:val="13"/>
                <w:szCs w:val="13"/>
                <w:lang w:eastAsia="cs-CZ"/>
              </w:rPr>
              <w:t>2007</w:t>
            </w:r>
          </w:p>
        </w:tc>
        <w:tc>
          <w:tcPr>
            <w:tcW w:w="851" w:type="dxa"/>
            <w:shd w:val="clear" w:color="auto" w:fill="D8D8D8"/>
            <w:noWrap/>
            <w:vAlign w:val="center"/>
          </w:tcPr>
          <w:p w:rsidR="009D46E6" w:rsidRPr="00DB1559" w:rsidRDefault="009D46E6" w:rsidP="00DB1559">
            <w:pPr>
              <w:spacing w:after="0" w:line="240" w:lineRule="auto"/>
              <w:jc w:val="right"/>
              <w:rPr>
                <w:rFonts w:cs="Tahoma"/>
                <w:b/>
                <w:bCs/>
                <w:i/>
                <w:iCs/>
                <w:color w:val="000000"/>
                <w:sz w:val="13"/>
                <w:szCs w:val="13"/>
                <w:lang w:eastAsia="cs-CZ"/>
              </w:rPr>
            </w:pPr>
            <w:r w:rsidRPr="00DB1559">
              <w:rPr>
                <w:rFonts w:cs="Tahoma"/>
                <w:b/>
                <w:bCs/>
                <w:i/>
                <w:iCs/>
                <w:color w:val="000000"/>
                <w:sz w:val="13"/>
                <w:szCs w:val="13"/>
                <w:lang w:eastAsia="cs-CZ"/>
              </w:rPr>
              <w:t>100,0</w:t>
            </w:r>
          </w:p>
        </w:tc>
        <w:tc>
          <w:tcPr>
            <w:tcW w:w="709" w:type="dxa"/>
            <w:shd w:val="clear" w:color="auto" w:fill="D8D8D8"/>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140,3</w:t>
            </w:r>
          </w:p>
        </w:tc>
        <w:tc>
          <w:tcPr>
            <w:tcW w:w="779" w:type="dxa"/>
            <w:shd w:val="clear" w:color="auto" w:fill="D8D8D8"/>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37,8</w:t>
            </w:r>
          </w:p>
        </w:tc>
        <w:tc>
          <w:tcPr>
            <w:tcW w:w="780" w:type="dxa"/>
            <w:shd w:val="clear" w:color="auto" w:fill="D8D8D8"/>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54,5</w:t>
            </w:r>
          </w:p>
        </w:tc>
        <w:tc>
          <w:tcPr>
            <w:tcW w:w="661" w:type="dxa"/>
            <w:shd w:val="clear" w:color="auto" w:fill="D8D8D8"/>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27,3</w:t>
            </w:r>
          </w:p>
        </w:tc>
        <w:tc>
          <w:tcPr>
            <w:tcW w:w="661" w:type="dxa"/>
            <w:shd w:val="clear" w:color="auto" w:fill="D8D8D8"/>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15,0</w:t>
            </w:r>
          </w:p>
        </w:tc>
        <w:tc>
          <w:tcPr>
            <w:tcW w:w="662" w:type="dxa"/>
            <w:shd w:val="clear" w:color="auto" w:fill="D8D8D8"/>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9,8</w:t>
            </w:r>
          </w:p>
        </w:tc>
        <w:tc>
          <w:tcPr>
            <w:tcW w:w="585" w:type="dxa"/>
            <w:shd w:val="clear" w:color="auto" w:fill="D8D8D8"/>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2,9</w:t>
            </w:r>
          </w:p>
        </w:tc>
        <w:tc>
          <w:tcPr>
            <w:tcW w:w="585" w:type="dxa"/>
            <w:shd w:val="clear" w:color="auto" w:fill="D8D8D8"/>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2,4</w:t>
            </w:r>
          </w:p>
        </w:tc>
        <w:tc>
          <w:tcPr>
            <w:tcW w:w="585" w:type="dxa"/>
            <w:shd w:val="clear" w:color="auto" w:fill="D8D8D8"/>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1,34</w:t>
            </w:r>
          </w:p>
        </w:tc>
        <w:tc>
          <w:tcPr>
            <w:tcW w:w="655" w:type="dxa"/>
            <w:shd w:val="clear" w:color="auto" w:fill="D8D8D8"/>
            <w:noWrap/>
            <w:vAlign w:val="center"/>
          </w:tcPr>
          <w:p w:rsidR="009D46E6" w:rsidRPr="00DB1559" w:rsidRDefault="009D46E6" w:rsidP="00DB1559">
            <w:pPr>
              <w:spacing w:after="0" w:line="240" w:lineRule="auto"/>
              <w:jc w:val="right"/>
              <w:rPr>
                <w:rFonts w:cs="Tahoma"/>
                <w:b/>
                <w:bCs/>
                <w:i/>
                <w:iCs/>
                <w:color w:val="000000"/>
                <w:sz w:val="13"/>
                <w:szCs w:val="13"/>
                <w:lang w:eastAsia="cs-CZ"/>
              </w:rPr>
            </w:pPr>
            <w:r w:rsidRPr="00DB1559">
              <w:rPr>
                <w:rFonts w:cs="Tahoma"/>
                <w:b/>
                <w:bCs/>
                <w:i/>
                <w:iCs/>
                <w:color w:val="000000"/>
                <w:sz w:val="13"/>
                <w:szCs w:val="13"/>
                <w:lang w:eastAsia="cs-CZ"/>
              </w:rPr>
              <w:t>1,44</w:t>
            </w:r>
          </w:p>
        </w:tc>
        <w:tc>
          <w:tcPr>
            <w:tcW w:w="567" w:type="dxa"/>
            <w:shd w:val="clear" w:color="auto" w:fill="D8D8D8"/>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0,69</w:t>
            </w:r>
          </w:p>
        </w:tc>
        <w:tc>
          <w:tcPr>
            <w:tcW w:w="533" w:type="dxa"/>
            <w:shd w:val="clear" w:color="auto" w:fill="D8D8D8"/>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0,19</w:t>
            </w:r>
          </w:p>
        </w:tc>
      </w:tr>
      <w:tr w:rsidR="009D46E6" w:rsidRPr="00DB1559" w:rsidTr="00DB1559">
        <w:trPr>
          <w:trHeight w:val="239"/>
        </w:trPr>
        <w:tc>
          <w:tcPr>
            <w:tcW w:w="567" w:type="dxa"/>
            <w:tcBorders>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i/>
                <w:iCs/>
                <w:color w:val="FFFFFF"/>
                <w:sz w:val="13"/>
                <w:szCs w:val="13"/>
                <w:lang w:eastAsia="cs-CZ"/>
              </w:rPr>
            </w:pPr>
            <w:r w:rsidRPr="00DB1559">
              <w:rPr>
                <w:rFonts w:cs="Tahoma"/>
                <w:b/>
                <w:bCs/>
                <w:i/>
                <w:iCs/>
                <w:color w:val="FFFFFF"/>
                <w:sz w:val="13"/>
                <w:szCs w:val="13"/>
                <w:lang w:eastAsia="cs-CZ"/>
              </w:rPr>
              <w:t>2011</w:t>
            </w:r>
          </w:p>
        </w:tc>
        <w:tc>
          <w:tcPr>
            <w:tcW w:w="851" w:type="dxa"/>
            <w:tcBorders>
              <w:bottom w:val="single" w:sz="18" w:space="0" w:color="auto"/>
            </w:tcBorders>
            <w:noWrap/>
            <w:vAlign w:val="center"/>
          </w:tcPr>
          <w:p w:rsidR="009D46E6" w:rsidRPr="00DB1559" w:rsidRDefault="009D46E6" w:rsidP="00DB1559">
            <w:pPr>
              <w:spacing w:after="0" w:line="240" w:lineRule="auto"/>
              <w:jc w:val="right"/>
              <w:rPr>
                <w:rFonts w:cs="Tahoma"/>
                <w:b/>
                <w:bCs/>
                <w:i/>
                <w:iCs/>
                <w:color w:val="000000"/>
                <w:sz w:val="13"/>
                <w:szCs w:val="13"/>
                <w:lang w:eastAsia="cs-CZ"/>
              </w:rPr>
            </w:pPr>
            <w:r w:rsidRPr="00DB1559">
              <w:rPr>
                <w:rFonts w:cs="Tahoma"/>
                <w:b/>
                <w:bCs/>
                <w:i/>
                <w:iCs/>
                <w:color w:val="000000"/>
                <w:sz w:val="13"/>
                <w:szCs w:val="13"/>
                <w:lang w:eastAsia="cs-CZ"/>
              </w:rPr>
              <w:t>100,0</w:t>
            </w:r>
          </w:p>
        </w:tc>
        <w:tc>
          <w:tcPr>
            <w:tcW w:w="709" w:type="dxa"/>
            <w:tcBorders>
              <w:bottom w:val="single" w:sz="18" w:space="0" w:color="auto"/>
            </w:tcBorders>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129,6</w:t>
            </w:r>
          </w:p>
        </w:tc>
        <w:tc>
          <w:tcPr>
            <w:tcW w:w="779" w:type="dxa"/>
            <w:tcBorders>
              <w:bottom w:val="single" w:sz="18" w:space="0" w:color="auto"/>
            </w:tcBorders>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65,0</w:t>
            </w:r>
          </w:p>
        </w:tc>
        <w:tc>
          <w:tcPr>
            <w:tcW w:w="780" w:type="dxa"/>
            <w:tcBorders>
              <w:bottom w:val="single" w:sz="18" w:space="0" w:color="auto"/>
            </w:tcBorders>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45,7</w:t>
            </w:r>
          </w:p>
        </w:tc>
        <w:tc>
          <w:tcPr>
            <w:tcW w:w="661" w:type="dxa"/>
            <w:tcBorders>
              <w:bottom w:val="single" w:sz="18" w:space="0" w:color="auto"/>
            </w:tcBorders>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29,0</w:t>
            </w:r>
          </w:p>
        </w:tc>
        <w:tc>
          <w:tcPr>
            <w:tcW w:w="661" w:type="dxa"/>
            <w:tcBorders>
              <w:bottom w:val="single" w:sz="18" w:space="0" w:color="auto"/>
            </w:tcBorders>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18,7</w:t>
            </w:r>
          </w:p>
        </w:tc>
        <w:tc>
          <w:tcPr>
            <w:tcW w:w="662" w:type="dxa"/>
            <w:tcBorders>
              <w:bottom w:val="single" w:sz="18" w:space="0" w:color="auto"/>
            </w:tcBorders>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10,9</w:t>
            </w:r>
          </w:p>
        </w:tc>
        <w:tc>
          <w:tcPr>
            <w:tcW w:w="585" w:type="dxa"/>
            <w:tcBorders>
              <w:bottom w:val="single" w:sz="18" w:space="0" w:color="auto"/>
            </w:tcBorders>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3,0</w:t>
            </w:r>
          </w:p>
        </w:tc>
        <w:tc>
          <w:tcPr>
            <w:tcW w:w="585" w:type="dxa"/>
            <w:tcBorders>
              <w:bottom w:val="single" w:sz="18" w:space="0" w:color="auto"/>
            </w:tcBorders>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2,4</w:t>
            </w:r>
          </w:p>
        </w:tc>
        <w:tc>
          <w:tcPr>
            <w:tcW w:w="585" w:type="dxa"/>
            <w:tcBorders>
              <w:bottom w:val="single" w:sz="18" w:space="0" w:color="auto"/>
            </w:tcBorders>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1,94</w:t>
            </w:r>
          </w:p>
        </w:tc>
        <w:tc>
          <w:tcPr>
            <w:tcW w:w="655" w:type="dxa"/>
            <w:tcBorders>
              <w:bottom w:val="single" w:sz="18" w:space="0" w:color="auto"/>
            </w:tcBorders>
            <w:noWrap/>
            <w:vAlign w:val="center"/>
          </w:tcPr>
          <w:p w:rsidR="009D46E6" w:rsidRPr="00DB1559" w:rsidRDefault="009D46E6" w:rsidP="00DB1559">
            <w:pPr>
              <w:spacing w:after="0" w:line="240" w:lineRule="auto"/>
              <w:jc w:val="right"/>
              <w:rPr>
                <w:rFonts w:cs="Tahoma"/>
                <w:b/>
                <w:bCs/>
                <w:i/>
                <w:iCs/>
                <w:color w:val="000000"/>
                <w:sz w:val="13"/>
                <w:szCs w:val="13"/>
                <w:lang w:eastAsia="cs-CZ"/>
              </w:rPr>
            </w:pPr>
            <w:r w:rsidRPr="00DB1559">
              <w:rPr>
                <w:rFonts w:cs="Tahoma"/>
                <w:b/>
                <w:bCs/>
                <w:i/>
                <w:iCs/>
                <w:color w:val="000000"/>
                <w:sz w:val="13"/>
                <w:szCs w:val="13"/>
                <w:lang w:eastAsia="cs-CZ"/>
              </w:rPr>
              <w:t>1,59</w:t>
            </w:r>
          </w:p>
        </w:tc>
        <w:tc>
          <w:tcPr>
            <w:tcW w:w="567" w:type="dxa"/>
            <w:tcBorders>
              <w:bottom w:val="single" w:sz="18" w:space="0" w:color="auto"/>
            </w:tcBorders>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0,81</w:t>
            </w:r>
          </w:p>
        </w:tc>
        <w:tc>
          <w:tcPr>
            <w:tcW w:w="533" w:type="dxa"/>
            <w:tcBorders>
              <w:bottom w:val="single" w:sz="18" w:space="0" w:color="auto"/>
            </w:tcBorders>
            <w:noWrap/>
            <w:vAlign w:val="center"/>
          </w:tcPr>
          <w:p w:rsidR="009D46E6" w:rsidRPr="00DB1559" w:rsidRDefault="009D46E6" w:rsidP="00DB1559">
            <w:pPr>
              <w:spacing w:after="0" w:line="240" w:lineRule="auto"/>
              <w:jc w:val="right"/>
              <w:rPr>
                <w:rFonts w:cs="Tahoma"/>
                <w:i/>
                <w:iCs/>
                <w:color w:val="000000"/>
                <w:sz w:val="13"/>
                <w:szCs w:val="13"/>
                <w:lang w:eastAsia="cs-CZ"/>
              </w:rPr>
            </w:pPr>
            <w:r w:rsidRPr="00DB1559">
              <w:rPr>
                <w:rFonts w:cs="Tahoma"/>
                <w:i/>
                <w:iCs/>
                <w:color w:val="000000"/>
                <w:sz w:val="13"/>
                <w:szCs w:val="13"/>
                <w:lang w:eastAsia="cs-CZ"/>
              </w:rPr>
              <w:t>0,28</w:t>
            </w:r>
          </w:p>
        </w:tc>
      </w:tr>
    </w:tbl>
    <w:p w:rsidR="009D46E6" w:rsidRDefault="009D46E6" w:rsidP="0015053A">
      <w:pPr>
        <w:pStyle w:val="Zdroj"/>
      </w:pPr>
      <w:r>
        <w:t>Zdroj: OECD MSTI 2013/1, Eurostat září 2013 a vlastní dopočty ČSÚ</w:t>
      </w:r>
    </w:p>
    <w:p w:rsidR="009D46E6" w:rsidRDefault="009D46E6" w:rsidP="00070A59"/>
    <w:p w:rsidR="009D46E6" w:rsidRDefault="009D46E6" w:rsidP="00070A59">
      <w:r>
        <w:t>Celkové výdaje na VaV (GERD) se pro mezinárodní srovnání nejčastěji poměřují k HDP. Tento poměrový ukazatel se nazývá: „Intenzita VaV - R&amp;D Intensity“ a patří do skupiny základních strukturálních ukazatelů hodnotících postup plnění cílů Lisabonské strategie v jednotlivých zemích EU. Intenzita VaV byla zařazena i mezi ukazatele k hodnocení realizace strategie Evropa 2020.</w:t>
      </w:r>
      <w:r>
        <w:rPr>
          <w:rStyle w:val="FootnoteReference"/>
          <w:rFonts w:cs="MetaPro-Normal"/>
        </w:rPr>
        <w:footnoteReference w:id="7"/>
      </w:r>
    </w:p>
    <w:p w:rsidR="009D46E6" w:rsidRDefault="009D46E6" w:rsidP="00070A59">
      <w:r>
        <w:t xml:space="preserve">Srovnání s členskými státy EU (údaje za rok 2011) ukazuje, že ČR vykazuje nejen nejvyšší intenzitu výzkumu a vývoje (GERD jako % HDP) mezi novými členskými státy (s výjimkou Estonska a Slovinska), ale i v porovnání se všemi jihoevropskými státy jako je Španělsko, Itálie, Portugalsko nebo Řecko. Na pomyslném žebříčku zemí EU jsme v tomto ukazateli na 13. místě za Irskem a Velkou Británií. </w:t>
      </w:r>
    </w:p>
    <w:p w:rsidR="009D46E6" w:rsidRDefault="009D46E6" w:rsidP="00F806A3">
      <w:pPr>
        <w:pStyle w:val="Caption"/>
        <w:tabs>
          <w:tab w:val="clear" w:pos="1276"/>
        </w:tabs>
        <w:ind w:left="993" w:hanging="993"/>
      </w:pPr>
      <w:bookmarkStart w:id="40" w:name="_Toc369091970"/>
      <w:r>
        <w:t xml:space="preserve">Graf </w:t>
      </w:r>
      <w:fldSimple w:instr=" STYLEREF 1 \s ">
        <w:r>
          <w:rPr>
            <w:noProof/>
          </w:rPr>
          <w:t>A</w:t>
        </w:r>
      </w:fldSimple>
      <w:r>
        <w:t>.</w:t>
      </w:r>
      <w:fldSimple w:instr=" SEQ Graf \* ARABIC \s 1 ">
        <w:r>
          <w:rPr>
            <w:noProof/>
          </w:rPr>
          <w:t>9</w:t>
        </w:r>
      </w:fldSimple>
      <w:r w:rsidRPr="00BD5EC7">
        <w:t xml:space="preserve">: </w:t>
      </w:r>
      <w:r w:rsidRPr="00F806A3">
        <w:t>Intenzita celkových výdajů na VaV, 2000 a 2011 (GERD jako % HDP)</w:t>
      </w:r>
      <w:bookmarkEnd w:id="40"/>
    </w:p>
    <w:p w:rsidR="009D46E6" w:rsidRDefault="009D46E6" w:rsidP="00070A59">
      <w:r w:rsidRPr="001D1D98">
        <w:rPr>
          <w:noProof/>
          <w:lang w:eastAsia="cs-CZ"/>
        </w:rPr>
        <w:pict>
          <v:shape id="Graf 393" o:spid="_x0000_i1053" type="#_x0000_t75" style="width:472.2pt;height:194.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brHlq2gAAAAUBAAAPAAAAZHJzL2Rvd25y&#10;ZXYueG1sTI/BTsMwEETvSPyDtZW4UaeJSGmIU0UgPqCllKsbL0kgXkf2tg1/j9sLXFYazWjmbbme&#10;7CBO6EPvSMFinoBAapzpqVWwe3u9fwQRWJPRgyNU8IMB1tXtTakL4860wdOWWxFLKBRaQcc8FlKG&#10;pkOrw9yNSNH7dN5qjtK30nh9juV2kGmS5NLqnuJCp0d87rD53h6tgvqdA/tdnqRptnnw9cf+5Wu5&#10;V+puNtVPIBgn/gvDBT+iQxWZDu5IJohBQXyErzd6qzzLQRwUZKtlCrIq5X/66hc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">
            <v:imagedata r:id="rId40" o:title="" croptop="-4001f" cropbottom="-2335f" cropleft="-1765f" cropright="-741f"/>
            <o:lock v:ext="edit" aspectratio="f"/>
          </v:shape>
        </w:pict>
      </w:r>
    </w:p>
    <w:p w:rsidR="009D46E6" w:rsidRDefault="009D46E6" w:rsidP="00F806A3">
      <w:pPr>
        <w:pStyle w:val="Zdroj"/>
      </w:pPr>
      <w:r>
        <w:t>Pozn.: Dánsko a Švédsko:1999; Řecko: 1999 a 2007; Nizozemsko: 2010 a Švýcarsko: 2008</w:t>
      </w:r>
    </w:p>
    <w:p w:rsidR="009D46E6" w:rsidRDefault="009D46E6" w:rsidP="00F806A3">
      <w:pPr>
        <w:pStyle w:val="Zdroj"/>
      </w:pPr>
      <w:r>
        <w:t>Zdroj: OECD MSTI 2013/1, Eurostat září 2013 a vlastní dopočty ČSÚ</w:t>
      </w:r>
    </w:p>
    <w:p w:rsidR="009D46E6" w:rsidRDefault="009D46E6" w:rsidP="00070A59"/>
    <w:p w:rsidR="009D46E6" w:rsidRDefault="009D46E6" w:rsidP="00070A59">
      <w:r>
        <w:t xml:space="preserve">V roce 2011 byla ze zemí EU28 nejvyšší intenzita VaV, více jak 3 % HDP, dosažena ve všech třech skandinávských státech. V případě Dánska a především Finska došlo k výraznému nárůstu intenzity VaV zejména ve druhé polovině 90. let. Švédsko si drží 3% a vyšší podíl již od roku 1993. Vyšších hodnot intenzity VaV, přes 2,5 % HDP, dosahuje ze zemí EU i Německo a Rakousko. Zatímco podíl celkových výdajů na VaV na HDP se v Německu držel nad hranicí 2,5 % již po celou druhou polovinu 80. Let, tak v Rakousku došlo k nárůstu intenzity VaV až v posledních 15 letech. Nejvyššího podílu celkových výdajů na VaV ve vztahu k HDP ze zemí OECD dosahuje od roku 2000 Izrael, kde se v roce 2011 investice do VaV rovnaly 4,4 % HDP. Mezi další státy OECD s podílem výdajů na VaV k HDP vyšším jak 3 % patří Korea, Japonsko a Švýcarsko. Ve Spojených státech se výdaje na VaV pohybují již od poloviny 80. let mezi 2,5 a 2,9 % HDP. </w:t>
      </w:r>
    </w:p>
    <w:p w:rsidR="009D46E6" w:rsidRDefault="009D46E6" w:rsidP="00070A59">
      <w:r>
        <w:t xml:space="preserve">Kromě Německa a Švédska mezi státy EU s nejvyšší intenzitou VaV patřily až do začátku 90. let také Francie a Spojené království. Tyto dva státy ovšem svoji pozici v rámci EU pomalu ztrácejí. Z nových zemí EU zaznamenáváme velmi dynamický a stabilní nárůst intenzity VaV v Estonsku a ve Slovinsku. Naopak v delším časovém období ke stagnaci či dokonce poklesu intenzity VaV došlo v případě Bulharska, Polska a Slovenska, kde tamní statistiky zaznamenaly především v 90. letech minulého století výrazné snížení výdajů na VaV, které na rozdíl od ČR, nebylo dodnes plně kompenzováno. Obdobný osud potkal i Rusko po rozpadu Sovětského svazu, kde se ještě v roce 1990 výdaje na VaV pohybovaly kolem 2 % HDP oproti hodnotám mezi 0,7 % a 1 % HDP v letech 1992 až 1999. </w:t>
      </w:r>
    </w:p>
    <w:p w:rsidR="009D46E6" w:rsidRDefault="009D46E6" w:rsidP="00070A59">
      <w:r>
        <w:t xml:space="preserve">Ze zemí mimo EU stabilně rostou investice do VaV v asijských státech, především v Koreji a Číně, kde se intenzita VaV navyšuje i přes velmi vysoké meziroční nárůsty HDP. V reálných cenách výdaje v těchto dvou zemích za posledních pět let vzrostly v případě Číny dvojnásobně a o polovinu u Koreje (průměr za EU15 dosáhl za stejné období 12 % nárůst).     </w:t>
      </w:r>
    </w:p>
    <w:p w:rsidR="009D46E6" w:rsidRDefault="009D46E6" w:rsidP="00F806A3">
      <w:pPr>
        <w:pStyle w:val="Caption"/>
        <w:tabs>
          <w:tab w:val="clear" w:pos="1276"/>
        </w:tabs>
        <w:ind w:left="993" w:hanging="993"/>
      </w:pPr>
      <w:bookmarkStart w:id="41" w:name="_Toc369091971"/>
      <w:r>
        <w:t xml:space="preserve">Graf </w:t>
      </w:r>
      <w:fldSimple w:instr=" STYLEREF 1 \s ">
        <w:r>
          <w:rPr>
            <w:noProof/>
          </w:rPr>
          <w:t>A</w:t>
        </w:r>
      </w:fldSimple>
      <w:r>
        <w:t>.</w:t>
      </w:r>
      <w:fldSimple w:instr=" SEQ Graf \* ARABIC \s 1 ">
        <w:r>
          <w:rPr>
            <w:noProof/>
          </w:rPr>
          <w:t>10</w:t>
        </w:r>
      </w:fldSimple>
      <w:r w:rsidRPr="00BD5EC7">
        <w:t xml:space="preserve">: </w:t>
      </w:r>
      <w:r w:rsidRPr="00F806A3">
        <w:t>Vývoj intenzity celkových výdajů na VaV ve vybraných velkých a menších zemích v posledních deseti letech, 2001-2011 (GERD jako % HDP)</w:t>
      </w:r>
      <w:bookmarkEnd w:id="41"/>
    </w:p>
    <w:p w:rsidR="009D46E6" w:rsidRDefault="009D46E6" w:rsidP="00F806A3">
      <w:pPr>
        <w:pStyle w:val="Objekt"/>
      </w:pPr>
      <w:r w:rsidRPr="001D1D98">
        <w:pict>
          <v:shape id="Graf 394" o:spid="_x0000_i1054" type="#_x0000_t75" style="width:226.8pt;height:169.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pocUT2gAAAAUBAAAPAAAAZHJzL2Rvd25y&#10;ZXYueG1sTI9BS8NAEIXvgv9hGcGb3Whs0JhNEcWjYGup9DbJjkkwOxuykzb+e1cv9TLweI/3vilW&#10;s+vVgcbQeTZwvUhAEdfedtwY2L6/XN2BCoJssfdMBr4pwKo8Pyswt/7IazpspFGxhEOOBlqRIdc6&#10;1C05DAs/EEfv048OJcqx0XbEYyx3vb5Jkkw77DgutDjQU0v112ZyBtxS3l4/sHPPO5l4Pcq+2u72&#10;xlxezI8PoIRmOYXhFz+iQxmZKj+xDao3EB+Rvxu922WagaoMpOl9Bros9H/68gc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">
            <v:imagedata r:id="rId41" o:title="" croptop="-3176f" cropbottom="-1444f" cropleft="-1168f" cropright="-2109f"/>
            <o:lock v:ext="edit" aspectratio="f"/>
          </v:shape>
        </w:pict>
      </w:r>
      <w:r>
        <w:tab/>
      </w:r>
      <w:r>
        <w:tab/>
      </w:r>
      <w:r w:rsidRPr="001D1D98">
        <w:pict>
          <v:shape id="Graf 395" o:spid="_x0000_i1055" type="#_x0000_t75" style="width:226.8pt;height:169.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m4Dy23QAAAAUBAAAPAAAAZHJzL2Rvd25y&#10;ZXYueG1sTI/BTsMwEETvSPyDtUjcqFNCQwlxqgqpl54g9AA3N16SqPE62G6b/D0Ll3JZaTSjmbfF&#10;arS9OKEPnSMF81kCAql2pqNGwe59c7cEEaImo3tHqGDCAKvy+qrQuXFnesNTFRvBJRRyraCNccil&#10;DHWLVoeZG5DY+3Le6sjSN9J4feZy28v7JMmk1R3xQqsHfGmxPlRHq+D78PixnX9Oflvvqo1cLF+n&#10;rlordXszrp9BRBzjJQy/+IwOJTPt3ZFMEL0CfiT+XfYeFmkGYq8gTZ8ykGUh/9OXPw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">
            <v:imagedata r:id="rId42" o:title="" croptop="-3176f" cropbottom="-1444f" cropleft="-1173f" cropright="-2408f"/>
            <o:lock v:ext="edit" aspectratio="f"/>
          </v:shape>
        </w:pict>
      </w:r>
    </w:p>
    <w:p w:rsidR="009D46E6" w:rsidRDefault="009D46E6" w:rsidP="00F806A3">
      <w:pPr>
        <w:pStyle w:val="Zdroj"/>
      </w:pPr>
      <w:r>
        <w:t>Zdroj: OECD MSTI 2013/1, Eurostat září 2013 a vlastní dopočty ČSÚ</w:t>
      </w:r>
    </w:p>
    <w:p w:rsidR="009D46E6" w:rsidRDefault="009D46E6" w:rsidP="00070A59"/>
    <w:p w:rsidR="009D46E6" w:rsidRDefault="009D46E6" w:rsidP="00070A59">
      <w:r>
        <w:t xml:space="preserve">Kromě intenzity VaV, jež je ovlivněna jak rozdílnou výší a nárůstem HDP v jednotlivých zemích, se pro mezinárodní srovnání používají celkové výdaje na VaV v paritě kupní síly (PPP) připadající na jednoho obyvatele. V hodnocení pomocí tohoto indikátoru dominují opět skandinávské země (Finsko a Švédsko) společně se Švýcarskem a Spojenými státy s celkovými výdaji na VaV vyššími než 1 300 USD v PPP na osobu. Průměr EU28 dosáhl v roce 2011 hodnoty 631 USD v PPP. </w:t>
      </w:r>
    </w:p>
    <w:p w:rsidR="009D46E6" w:rsidRDefault="009D46E6" w:rsidP="00070A59">
      <w:r>
        <w:t>ve vztahu GERD na 1 obyvatele stále dosahujeme pouze 2/3 hodnoty průměru EU28 v PPP a poloviční hodnoty při použití běžného kurzu měn (242 Eur na obyvatele v ČR oproti 509 za EU28). V ČR jsou sice výdaje na VaV vztažené na jednoho obyvatele dvakrát vyšší než v Maďarsku a 3krát vyšší než v Polsku, ale i v přepočtu na paritu kupní síly jsou tyto výdaje zároveň přibližně 2,5krát nižší než v Rakousku nebo Německu a dokonce 3krát nižší než v Dánsku, Finsku nebo Švédsku či ze zemí mimo EU ve Švýcarsku, Spojených státech nebo Izraeli.</w:t>
      </w:r>
    </w:p>
    <w:p w:rsidR="009D46E6" w:rsidRDefault="009D46E6" w:rsidP="00F806A3">
      <w:pPr>
        <w:pStyle w:val="Caption"/>
        <w:tabs>
          <w:tab w:val="clear" w:pos="1276"/>
        </w:tabs>
        <w:ind w:left="993" w:hanging="993"/>
      </w:pPr>
      <w:bookmarkStart w:id="42" w:name="_Toc369091972"/>
      <w:r>
        <w:t xml:space="preserve">Graf </w:t>
      </w:r>
      <w:fldSimple w:instr=" STYLEREF 1 \s ">
        <w:r>
          <w:rPr>
            <w:noProof/>
          </w:rPr>
          <w:t>A</w:t>
        </w:r>
      </w:fldSimple>
      <w:r>
        <w:t>.</w:t>
      </w:r>
      <w:fldSimple w:instr=" SEQ Graf \* ARABIC \s 1 ">
        <w:r>
          <w:rPr>
            <w:noProof/>
          </w:rPr>
          <w:t>11</w:t>
        </w:r>
      </w:fldSimple>
      <w:r w:rsidRPr="00BD5EC7">
        <w:t xml:space="preserve">: </w:t>
      </w:r>
      <w:r w:rsidRPr="00F806A3">
        <w:t>Celkové výdaje na VaV (GERD) na 1 obyvatele, 2011 (US</w:t>
      </w:r>
      <w:r>
        <w:t>D</w:t>
      </w:r>
      <w:r w:rsidRPr="00F806A3">
        <w:t xml:space="preserve"> v PPP a Eur)</w:t>
      </w:r>
      <w:bookmarkEnd w:id="42"/>
    </w:p>
    <w:p w:rsidR="009D46E6" w:rsidRPr="00F806A3" w:rsidRDefault="009D46E6" w:rsidP="00F806A3">
      <w:pPr>
        <w:pStyle w:val="Objekt"/>
        <w:rPr>
          <w:lang w:eastAsia="en-US"/>
        </w:rPr>
      </w:pPr>
      <w:r w:rsidRPr="001D1D98">
        <w:pict>
          <v:shape id="Graf 396" o:spid="_x0000_i1056" type="#_x0000_t75" style="width:472.2pt;height:210.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6shDS2gAAAAUBAAAPAAAAZHJzL2Rvd25y&#10;ZXYueG1sTI/BTsMwDIbvSLxDZCRuLGWMaitNJ4TEjQtlUq9eY5qIJqnqrOv69AQucLFk/b8+fy73&#10;s+vFRCPb4BXcrzIQ5Nugre8UHD5e77YgOKLX2AdPCi7EsK+ur0osdDj7d5rq2IkE8VygAhPjUEjJ&#10;rSGHvAoD+ZR9htFhTOvYST3iOcFdL9dZlkuH1qcLBgd6MdR+1SeXKLaZ3tg2vPCjOdTNYi4Lzkrd&#10;3szPTyAizfGvDD/6SR2q5HQMJ69Z9ArSI/F3pmyXP+Qgjgo2680WZFXK//bVNwA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">
            <v:imagedata r:id="rId43" o:title="" croptop="-5216f" cropbottom="-3676f" cropleft="-1624f" cropright="-875f"/>
            <o:lock v:ext="edit" aspectratio="f"/>
          </v:shape>
        </w:pict>
      </w:r>
    </w:p>
    <w:p w:rsidR="009D46E6" w:rsidRDefault="009D46E6" w:rsidP="00F806A3">
      <w:pPr>
        <w:pStyle w:val="Zdroj"/>
      </w:pPr>
      <w:r>
        <w:t>Zdroj: OECD MSTI 2013/1, Eurostat září 2013 a vlastní dopočty ČSÚ</w:t>
      </w:r>
    </w:p>
    <w:p w:rsidR="009D46E6" w:rsidRDefault="009D46E6" w:rsidP="00070A59"/>
    <w:p w:rsidR="009D46E6" w:rsidRDefault="009D46E6" w:rsidP="00F806A3">
      <w:pPr>
        <w:pStyle w:val="Heading4"/>
      </w:pPr>
      <w:r>
        <w:t>Mezinárodní srovnání – GERD podle zdrojů financování a sektorů provádění VaV</w:t>
      </w:r>
    </w:p>
    <w:p w:rsidR="009D46E6" w:rsidRDefault="009D46E6" w:rsidP="00070A59">
      <w:r>
        <w:t xml:space="preserve">Evropská komise si v roce 2000 stanovila za cíl dosáhnout do roku 2010 podílu celkových výdajů na VaV ve výši 3 % HDP, přičemž dvě třetiny těchto výdajů by měly být financovány z podnikatelských (soukromých) zdrojů. Druhé kritérium ze zemí EU v roce 2010 (novější údaje za většinu zemí podle zdrojů financování nejsou k dispozici) již splnilo Finsko a Německo. EU 28 jako celek však tento cíl zatím nenaplňuje. </w:t>
      </w:r>
    </w:p>
    <w:p w:rsidR="009D46E6" w:rsidRDefault="009D46E6" w:rsidP="00070A59">
      <w:r>
        <w:t xml:space="preserve">Struktura financování VaV s nízkým podílem veřejných zdrojů a vysokým podílem soukromých zdrojů je kromě Německa, Belgie a severských zemí EU typická především pro asijské země. V roce 2010 se tamější podnikatelský sektor svými zdroji podílel 70 a více procenty na financování VaV v Japonsku, Koreji i v Číně. Naopak vysoké zastoupení veřejných a tedy nízké soukromých zdrojů na financování VaV je typické především pro nové členské státy EU28 kromě Slovinska, Estonska a částečně i ČR. </w:t>
      </w:r>
    </w:p>
    <w:p w:rsidR="009D46E6" w:rsidRDefault="009D46E6" w:rsidP="00070A59">
      <w:r>
        <w:t>Jelikož pro mezinárodní srovnání jsou pro většinu ze sledovaných států k dispozici nejnovější údaje pouze za rok 2010, lze očekávat, že především v nových členských zemích EU, dojde stejně jako v ČR v nejbližších letech k nárůstu podílu financování VaV ze zahraničních veřejných zdrojů. Podrobněji k financování VaV z domácích a zahraničních veřejných v samostatných kapitolách A2 a E2.</w:t>
      </w:r>
    </w:p>
    <w:p w:rsidR="009D46E6" w:rsidRDefault="009D46E6" w:rsidP="00F806A3">
      <w:pPr>
        <w:pStyle w:val="Caption"/>
        <w:tabs>
          <w:tab w:val="clear" w:pos="1276"/>
        </w:tabs>
        <w:ind w:left="993" w:hanging="993"/>
      </w:pPr>
      <w:bookmarkStart w:id="43" w:name="_Toc369091973"/>
      <w:r>
        <w:t xml:space="preserve">Graf </w:t>
      </w:r>
      <w:fldSimple w:instr=" STYLEREF 1 \s ">
        <w:r>
          <w:rPr>
            <w:noProof/>
          </w:rPr>
          <w:t>A</w:t>
        </w:r>
      </w:fldSimple>
      <w:r>
        <w:t>.</w:t>
      </w:r>
      <w:fldSimple w:instr=" SEQ Graf \* ARABIC \s 1 ">
        <w:r>
          <w:rPr>
            <w:noProof/>
          </w:rPr>
          <w:t>12</w:t>
        </w:r>
      </w:fldSimple>
      <w:r w:rsidRPr="00BD5EC7">
        <w:t xml:space="preserve">: </w:t>
      </w:r>
      <w:r w:rsidRPr="00F806A3">
        <w:t>Celkové výdaje na VaV podle zdrojů financování a sektorů užití, 2010 (%)</w:t>
      </w:r>
      <w:bookmarkEnd w:id="43"/>
    </w:p>
    <w:p w:rsidR="009D46E6" w:rsidRPr="00F806A3" w:rsidRDefault="009D46E6" w:rsidP="00F806A3">
      <w:pPr>
        <w:pStyle w:val="Objekt"/>
        <w:rPr>
          <w:lang w:eastAsia="en-US"/>
        </w:rPr>
      </w:pPr>
      <w:r w:rsidRPr="001D1D98">
        <w:pict>
          <v:shape id="Graf 398" o:spid="_x0000_i1057" type="#_x0000_t75" style="width:222pt;height:510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hsLou3gAAAAYBAAAPAAAAZHJzL2Rvd25y&#10;ZXYueG1sTI/NTsMwEITvSH0HaytxozZ/BaVxKlSEKLeSIqHe3HhJ0sbrEDtt4Om7cIHLSquZnfk2&#10;nQ+uEQfsQu1Jw+VEgUAqvK2p1PC2frq4BxGiIWsaT6jhCwPMs9FZahLrj/SKhzyWgkMoJEZDFWOb&#10;SBmKCp0JE98isfbhO2cir10pbWeOHO4aeaXUVDpTEzdUpsVFhcU+7x1j7J/v+tX792b56Haf65dd&#10;rparhdbn4+FhBiLiEP/M8IPPN5Ax09b3ZINoNPAj8XeydnN7PQWxZZPiUpBZKv/jZycA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">
            <v:imagedata r:id="rId44" o:title="" croptop="-1167f" cropbottom="-2138f" cropleft="-434f" cropright="-1931f"/>
            <o:lock v:ext="edit" aspectratio="f"/>
          </v:shape>
        </w:pict>
      </w:r>
      <w:r>
        <w:rPr>
          <w:lang w:eastAsia="en-US"/>
        </w:rPr>
        <w:tab/>
      </w:r>
      <w:r>
        <w:rPr>
          <w:lang w:eastAsia="en-US"/>
        </w:rPr>
        <w:tab/>
      </w:r>
      <w:r w:rsidRPr="001D1D98">
        <w:pict>
          <v:shape id="Graf 397" o:spid="_x0000_i1058" type="#_x0000_t75" style="width:222pt;height:510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SrB1X2wAAAAYBAAAPAAAAZHJzL2Rvd25y&#10;ZXYueG1sTI5NSwMxEIbvgv8hjOBFbGLVIutmi4oi0pP1A4/pZrpZm0yWJG3Xf+/oRS8Dw/vwvk89&#10;H4MXO0y5j6ThbKJAILXR9tRpeH15OL0CkYsha3wk1PCFGebN4UFtKhv39Iy7ZekEl1CujAZXylBJ&#10;mVuHweRJHJA4W8cUTOE3ddIms+fy4OVUqZkMpidecGbAO4ftZrkNGtT49vm4XpxMn0rb33rnN+nj&#10;/V7r46Px5hpEwbH8wfCjz+rQsNMqbslm4bmDud/L2cXl+QzEiiHFoyCbWv7Xb74B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">
            <v:imagedata r:id="rId45" o:title="" croptop="-1167f" cropbottom="-2138f" cropleft="-434f" cropright="-1931f"/>
            <o:lock v:ext="edit" aspectratio="f"/>
          </v:shape>
        </w:pict>
      </w:r>
    </w:p>
    <w:p w:rsidR="009D46E6" w:rsidRDefault="009D46E6" w:rsidP="00F806A3">
      <w:pPr>
        <w:pStyle w:val="Zdroj"/>
      </w:pPr>
      <w:r>
        <w:t>Pozn.:  Belgie, Nizozemsko a Švédsko: 2009; Švýcarsko: 2008; Řecko: 2007</w:t>
      </w:r>
    </w:p>
    <w:p w:rsidR="009D46E6" w:rsidRDefault="009D46E6" w:rsidP="00F806A3">
      <w:pPr>
        <w:pStyle w:val="Zdroj"/>
      </w:pPr>
      <w:r>
        <w:t>Zdroj: OECD MSTI 2013/1, Eurostat září 2013 a vlastní dopočty ČSÚ</w:t>
      </w:r>
    </w:p>
    <w:p w:rsidR="009D46E6" w:rsidRDefault="009D46E6" w:rsidP="00070A59"/>
    <w:p w:rsidR="009D46E6" w:rsidRDefault="009D46E6" w:rsidP="00070A59">
      <w:r>
        <w:t xml:space="preserve">Struktura výdajů na VaV podle sektorů jejich užití vykazuje poměrně značné rozdíly napříč státy EU a OECD, které z velké části odráží strukturu financování VaV uvedenou v předchozí části. ČR se s 58 % podílem finančních prostředků utracených za VaV provedený v podnikatelském sektoru spolu s Maďarskem blíží průměru za EU28. Podrobnější informace o výdajích na VaV uskutečněných v jednotlivých sektorech provádění jsou uvedeny v následujících kapitolách. </w:t>
      </w:r>
    </w:p>
    <w:p w:rsidR="009D46E6" w:rsidRDefault="009D46E6" w:rsidP="00070A59">
      <w:r>
        <w:t>Jestliže u většiny zemí s vysokými výdaji na VaV, měřeno jejich podílem na HDP, se výše uvedené členění GERD podle zdrojů financování (pokud jde o podíl soukromého a veřejného sektoru na financování a užití)  v čase zásadně nemění, u zemí s nízkou intenzitou VaV můžeme pozorovat v čase značnou rozkolísanost těchto podílů.</w:t>
      </w:r>
    </w:p>
    <w:p w:rsidR="009D46E6" w:rsidRDefault="009D46E6" w:rsidP="00070A59"/>
    <w:p w:rsidR="009D46E6" w:rsidRDefault="009D46E6" w:rsidP="00F806A3">
      <w:pPr>
        <w:pStyle w:val="Heading3"/>
      </w:pPr>
      <w:bookmarkStart w:id="44" w:name="_Toc369091867"/>
      <w:r>
        <w:t>Výdaje za VaV provedený ve vládním a vysokoškolském sektoru – Veřejný VaV</w:t>
      </w:r>
      <w:bookmarkEnd w:id="44"/>
    </w:p>
    <w:p w:rsidR="009D46E6" w:rsidRDefault="009D46E6" w:rsidP="00070A59">
      <w:r>
        <w:t>Veřejný VaV je ve vládním sektoru prováděn především v jednotlivých ústavech Akademie věd ČR</w:t>
      </w:r>
      <w:r>
        <w:rPr>
          <w:rStyle w:val="FootnoteReference"/>
          <w:rFonts w:cs="MetaPro-Normal"/>
        </w:rPr>
        <w:footnoteReference w:id="8"/>
      </w:r>
      <w:r>
        <w:t xml:space="preserve"> a v resortních výzkumných pracovištích</w:t>
      </w:r>
      <w:r>
        <w:rPr>
          <w:rStyle w:val="FootnoteReference"/>
          <w:rFonts w:cs="MetaPro-Normal"/>
        </w:rPr>
        <w:footnoteReference w:id="9"/>
      </w:r>
      <w:r>
        <w:t xml:space="preserve">, která provádějí VaV jako svoji hlavní ekonomickou činnost (CZ-NACE 72). Mezi ostatní pracoviště vládního sektoru, kde se provádí VaV, patří veřejné knihovny, archivy, muzea a jiná kulturní zařízení (CZ-NACE 91) a pracoviště působící v oblasti veřejné správy, hospodářské a sociální politiky (CZ-NACE 841). I když z hlediska počtu představovala tato pracoviště v posledních 5 letech téměř polovinu z VaV pracovišť ve vládním sektoru, jejich podíl na výdajích utracených za provedený VaV se ve stejném období pohyboval pouze kolem 7 %. </w:t>
      </w:r>
    </w:p>
    <w:p w:rsidR="009D46E6" w:rsidRDefault="009D46E6" w:rsidP="00070A59">
      <w:r>
        <w:t>Pokud jde o vysokoškolský sektor, většinu jeho pracovišť, na kterých se provádí VaV, tvoří jednotlivé fakulty veřejných vysokých škol a od roku 2005 i 11 fakultních nemocnic. Kromě těchto pracovišť je VaV prováděn i na 24 soukromých vysokých školách a ostatních vzdělávacích institucích postsekundárního vzdělávání. Význam soukromého vysokoškolského VaV je však u nás, pokud jde o výši výdajů na VaV, zcela zanedbatelný.</w:t>
      </w:r>
    </w:p>
    <w:p w:rsidR="009D46E6" w:rsidRDefault="009D46E6" w:rsidP="00070A59">
      <w:r>
        <w:t xml:space="preserve">V roce 2012 byl VaV ve vládním a vysokoškolském sektoru prováděn ve 200 ekonomických subjektech na 376 pracovištích, z nichž většina připadala na veřejné vysoké školy (167 pracovišť) a ústavy Akademie věd ČR (60 pracovišť). Z výše uvedených 376 pracovišť přibližně pouze na pětině z nich bylo v roce 2012 za VaV utraceno více jak 100 mil. Kč a ve čtvrtině pracovalo více jak 100 přepočtených osob ve VaV. Z hlediska jednotlivých skupin vědních oblastí nejvíce pracovišť VaV ve vládním a vysokoškolském sektoru zařadilo svoji převažující činnost do oblati humanitních věd (92,25 %). Jde především o veřejné knihovny, archivy, muzea a jiná kulturní zařízení, která provádějí VaV jako svoji vedlejší činnost. Pokud jde o velká pracoviště s výdaji na VaV vyššími jak 100 mil. Kč, většina z nich provádí VaV v technických a přírodních vědách. Podrobné informace o počtu pracovišť ve vládním a vysokoškolském sektoru v různých tříděních jsou uvedeny v tabulkové příloze této analýzy. </w:t>
      </w:r>
    </w:p>
    <w:p w:rsidR="009D46E6" w:rsidRDefault="009D46E6" w:rsidP="00F806A3">
      <w:pPr>
        <w:pStyle w:val="Caption"/>
        <w:tabs>
          <w:tab w:val="clear" w:pos="1276"/>
        </w:tabs>
        <w:ind w:left="993" w:hanging="993"/>
      </w:pPr>
      <w:bookmarkStart w:id="45" w:name="_Toc369091974"/>
      <w:r>
        <w:t xml:space="preserve">Graf </w:t>
      </w:r>
      <w:fldSimple w:instr=" STYLEREF 1 \s ">
        <w:r>
          <w:rPr>
            <w:noProof/>
          </w:rPr>
          <w:t>A</w:t>
        </w:r>
      </w:fldSimple>
      <w:r>
        <w:t>.</w:t>
      </w:r>
      <w:fldSimple w:instr=" SEQ Graf \* ARABIC \s 1 ">
        <w:r>
          <w:rPr>
            <w:noProof/>
          </w:rPr>
          <w:t>13</w:t>
        </w:r>
      </w:fldSimple>
      <w:r w:rsidRPr="00BD5EC7">
        <w:t xml:space="preserve">: </w:t>
      </w:r>
      <w:r w:rsidRPr="00F806A3">
        <w:t>Výdaje za VaV ve vládním a vy</w:t>
      </w:r>
      <w:r>
        <w:t>sokoškolském sektoru ČR, 2000-</w:t>
      </w:r>
      <w:r w:rsidRPr="00F806A3">
        <w:t>2012</w:t>
      </w:r>
      <w:bookmarkEnd w:id="45"/>
    </w:p>
    <w:p w:rsidR="009D46E6" w:rsidRPr="00F806A3" w:rsidRDefault="009D46E6" w:rsidP="00F806A3">
      <w:pPr>
        <w:pStyle w:val="Objekt"/>
        <w:rPr>
          <w:lang w:eastAsia="en-US"/>
        </w:rPr>
      </w:pPr>
      <w:r w:rsidRPr="001D1D98">
        <w:pict>
          <v:shape id="Graf 399" o:spid="_x0000_i1059" type="#_x0000_t75" style="width:283.8pt;height:180.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Z0Ajd3AAAAAUBAAAPAAAAZHJzL2Rvd25y&#10;ZXYueG1sTI/BTsMwEETvSPyDtZW4UadA0xLiVIBED+2J0g9w4iWJGq8je9OmfD0ul3JZaTSjmbf5&#10;arSdOKIPrSMFs2kCAqlypqVawf7r434JIrAmoztHqOCMAVbF7U2uM+NO9InHHdcillDItIKGuc+k&#10;DFWDVoep65Gi9+281Rylr6Xx+hTLbScfkiSVVrcUFxrd43uD1WE3WAWb0bD54fOw2R4W63n9Vu7X&#10;pVfqbjK+voBgHPkahgt+RIciMpVuIBNEpyA+wn83evPFcwqiVPCYLp9AFrn8T1/8Ag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">
            <v:imagedata r:id="rId46" o:title="" croptop="-4163f" cropbottom="-2999f" cropleft="-216f" cropright="-171f"/>
            <o:lock v:ext="edit" aspectratio="f"/>
          </v:shape>
        </w:pict>
      </w:r>
      <w:r>
        <w:rPr>
          <w:lang w:eastAsia="en-US"/>
        </w:rPr>
        <w:tab/>
      </w:r>
      <w:r w:rsidRPr="001D1D98">
        <w:pict>
          <v:shape id="Graf 400" o:spid="_x0000_i1060" type="#_x0000_t75" style="width:168pt;height:184.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sRP803QAAAAUBAAAPAAAAZHJzL2Rvd25y&#10;ZXYueG1sTI9BT8MwDIXvSPyHyEjcWLoxpqo0nSY2DggJwbYLt6zx2qqNU5Ks6/49hgtcLD896/l7&#10;+XK0nRjQh8aRgukkAYFUOtNQpWC/e75LQYSoyejOESq4YIBlcX2V68y4M33gsI2V4BAKmVZQx9hn&#10;UoayRqvDxPVI7B2dtzqy9JU0Xp853HZyliQLaXVD/KHWPT7VWLbbk1Wwe1u3Zu3T4fOh3Wy+LvF9&#10;//qyUur2Zlw9gog4xr9j+MFndCiY6eBOZILoFHCR+DvZu5/PWB54WaRzkEUu/9MX3w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">
            <v:imagedata r:id="rId47" o:title="" croptop="-2431f" cropbottom="-3714f" cropleft="-580f" cropright="-2442f"/>
            <o:lock v:ext="edit" aspectratio="f"/>
          </v:shape>
        </w:pict>
      </w:r>
    </w:p>
    <w:p w:rsidR="009D46E6" w:rsidRDefault="009D46E6" w:rsidP="00F806A3">
      <w:pPr>
        <w:pStyle w:val="Zdroj"/>
      </w:pPr>
      <w:r>
        <w:t>* Podíl na celkových výdajích za provedený VaV ve vládním a vysokoškolském sektoru (GOVERD + HERD)</w:t>
      </w:r>
    </w:p>
    <w:p w:rsidR="009D46E6" w:rsidRDefault="009D46E6" w:rsidP="00F806A3">
      <w:pPr>
        <w:pStyle w:val="Zdroj"/>
      </w:pPr>
      <w:r>
        <w:t>Zdroj: Český statistický úřad 2013, Roční statistické šetření výzkumu a vývoje VTR 5-01</w:t>
      </w:r>
    </w:p>
    <w:p w:rsidR="009D46E6" w:rsidRDefault="009D46E6" w:rsidP="00070A59"/>
    <w:p w:rsidR="009D46E6" w:rsidRDefault="009D46E6" w:rsidP="00070A59">
      <w:r>
        <w:t xml:space="preserve">V roce 2012 bylo v ČR na výše uvedených 376 pracovištích za provedený VaV ve vládním a vysokoškolském sektoru celkem utraceno 33,2 mld. Kč (v roce 2007 to bylo o 12,8 mld. Kč méně). Jelikož v posledních pěti letech průměrné roční výdaje na VaV rostly ve vládním a vysokoškolském sektoru dvakrát rychleji než v sektoru podnikatelském (o 10,2 % oproti 5,7 %), vzrostl jejich podíl na celkových výdajích na VaV ze 41 % v roce 2007 na 46 % v roce 2012. Obdobně vzrostl i podíl těchto výdajů na HDP, a to z 0,56 % v roce 2007 na 0,87 % v roce 2012. </w:t>
      </w:r>
    </w:p>
    <w:p w:rsidR="009D46E6" w:rsidRDefault="009D46E6" w:rsidP="00070A59">
      <w:r>
        <w:t>Vysokoškolský VaV je u nás realizován především na veřejných a státních VŠ. V roce 2012 zde bylo utraceno za provedený VaV 19 mld. Kč, tj o 8,9 mld. Kč více než v roce 2010, Tyto instituce se tak podílely z 96 % na celkových výdajích za VaV utracených ve vysokoškolském sektoru, 3 % (750 mil. Kč) připadala na fakultní nemocnice a necelé 1 % (152 mil. Kč) na soukromé vysoké školy.</w:t>
      </w:r>
    </w:p>
    <w:p w:rsidR="009D46E6" w:rsidRDefault="009D46E6" w:rsidP="00070A59">
      <w:r>
        <w:t xml:space="preserve">Největší část výdajů na VaV ve vládním sektoru je dlouhodobě spotřebována na pracovištích jednotlivých ústavů AV ČR, v roce 2012 se jednalo o 10,6 mld. Kč, tj. 79 % z celkových výdajů na VaV uskutečněných ve vládním sektoru. Do resortních výzkumných pracovišť směřovaly ve stejném roce necelé 2 miliardy Kč a 882 miliónů Kč bylo určeno na VaV v ostatních subjektech vládního sektoru, přičemž přibližně polovina z této částky byla utracena ve veřejných kulturních zařízeních. V rámci jednotlivých druhů VaV pracovišť vládního sektoru již od roku 1995 postupně klesá význam jak resortních výzkumných ústavů, měřeno jejich podílem na celkových výdajích na VaV uskutečněný ve vládním sektoru, tak především ‘ostatních‘ pracovišť (CZ-NACE 841). </w:t>
      </w:r>
    </w:p>
    <w:p w:rsidR="009D46E6" w:rsidRDefault="009D46E6" w:rsidP="00070A59">
      <w:r>
        <w:t>V roce 2011 výdaje za vysokoškolský VaV poprvé dosáhly vyšší hodnoty než ve veřejných výzkumných institucích a ostatních subjektech vládního sektoru. Pokud bychom porovnávali přepočtený počet osob pracujících ve VaV, tak vysokoškolský sektor překonal sektor vládní podle tohoto ukazatele již v roce 2005 a v roce 2012 v něm pracovalo ve VaV o třetinu více přepočtených osob než v sektoru vládním – více viz kapitola B. I když trend v posilování vysokoškolského výzkumu oproti výzkumu ve vládním sektoru lze pozorovat již delší dobu, v posledních dvou letech došlo k jeho výraznému zrychlení. Podíl vysokoškolského sektoru na celkových výdajích na VaV vzrostl za posledních 11 let z 14 % v roce 2000 na 28 % v roce 2012 a na veřejném výzkumu dokonce z 36 % na 60 %</w:t>
      </w:r>
      <w:r>
        <w:rPr>
          <w:rStyle w:val="FootnoteReference"/>
          <w:rFonts w:cs="MetaPro-Normal"/>
        </w:rPr>
        <w:footnoteReference w:id="10"/>
      </w:r>
      <w:r>
        <w:t xml:space="preserve">. Na rozdíl od vládního sektoru, výdaje za vysokoškolský VaV v tomto období výrazně vzrostly i ve vztahu k HDP, a to z 0,17 % v roce 2000 na 0,52 % v roce 2012. </w:t>
      </w:r>
    </w:p>
    <w:p w:rsidR="009D46E6" w:rsidRDefault="009D46E6" w:rsidP="00070A59">
      <w:r>
        <w:t xml:space="preserve">Naopak během posledních 11 let se výrazně změnil význam vládního výzkumu jak v rámci celkových VaV aktivit prováděných v České republice, tak i v rámci veřejného sektoru. V roce 2000 se vládní sektor podílel čtvrtinou na celkových výdajích na VaV uskutečněných v ČR, o jedenáct let později to již nebylo ani pětinou (18,4 %). </w:t>
      </w:r>
    </w:p>
    <w:p w:rsidR="009D46E6" w:rsidRDefault="009D46E6" w:rsidP="00070A59">
      <w:r>
        <w:t>Za posledních pět let rostly výdaje na VaV ve vládním sektoru průměrným meziročním tempem 3,3 %, tj. výrazně pomaleji než výdaje na VaV uskutečněný ve vysokoškolském sektoru (průměrný roční růst o 16,8 %). Následující graf obsahuje podrobné informace nejen o nárůstu celkových výdajů za provedený VaV na hlavních pracovištích ve vládním a vysokoškolském sektoru, ale i běžných výdajů na VaV a financovaných z domácích veřejných zdrojů. Tyto údaje jsou prezentovány z toho důvodu, že především v posledních dvou letech díky veřejným zahraničním zdrojům, které u veřejných vysokých škol vzrostly 8,5krát (o 6,6 mld. Kč), došlo k enormnímu nárůstu investičních výdajů na VaV ve vysokoškolském sektoru.</w:t>
      </w:r>
    </w:p>
    <w:p w:rsidR="009D46E6" w:rsidRDefault="009D46E6">
      <w:pPr>
        <w:spacing w:before="200" w:after="200" w:line="276" w:lineRule="auto"/>
        <w:jc w:val="left"/>
        <w:rPr>
          <w:rFonts w:cs="Tahoma"/>
          <w:b/>
          <w:bCs/>
          <w:i/>
          <w:color w:val="595959"/>
          <w:szCs w:val="18"/>
        </w:rPr>
      </w:pPr>
      <w:r>
        <w:br w:type="page"/>
      </w:r>
    </w:p>
    <w:p w:rsidR="009D46E6" w:rsidRDefault="009D46E6" w:rsidP="000753E2">
      <w:pPr>
        <w:pStyle w:val="Caption"/>
        <w:tabs>
          <w:tab w:val="clear" w:pos="1276"/>
        </w:tabs>
        <w:ind w:left="1134" w:hanging="1134"/>
      </w:pPr>
      <w:bookmarkStart w:id="46" w:name="_Toc369091975"/>
      <w:r>
        <w:t xml:space="preserve">Graf </w:t>
      </w:r>
      <w:fldSimple w:instr=" STYLEREF 1 \s ">
        <w:r>
          <w:rPr>
            <w:noProof/>
          </w:rPr>
          <w:t>A</w:t>
        </w:r>
      </w:fldSimple>
      <w:r>
        <w:t>.</w:t>
      </w:r>
      <w:fldSimple w:instr=" SEQ Graf \* ARABIC \s 1 ">
        <w:r>
          <w:rPr>
            <w:noProof/>
          </w:rPr>
          <w:t>14</w:t>
        </w:r>
      </w:fldSimple>
      <w:r w:rsidRPr="00BD5EC7">
        <w:t xml:space="preserve">: </w:t>
      </w:r>
      <w:r w:rsidRPr="000753E2">
        <w:t>Roční změny ve výdajích za VaV provedený na hlavních pracovištích ve vládním a vys</w:t>
      </w:r>
      <w:r>
        <w:t>okoškolském sektoru ČR, 2008-</w:t>
      </w:r>
      <w:r w:rsidRPr="000753E2">
        <w:t>2012 (mld. Kč, %)</w:t>
      </w:r>
      <w:bookmarkEnd w:id="46"/>
    </w:p>
    <w:p w:rsidR="009D46E6" w:rsidRDefault="009D46E6" w:rsidP="000753E2">
      <w:pPr>
        <w:pStyle w:val="Objekt"/>
      </w:pPr>
      <w:r>
        <w:t>1) Roční nominální nárůsty v mld. Kč</w:t>
      </w:r>
    </w:p>
    <w:p w:rsidR="009D46E6" w:rsidRDefault="009D46E6" w:rsidP="000753E2">
      <w:pPr>
        <w:pStyle w:val="Objekt"/>
      </w:pPr>
      <w:r w:rsidRPr="001D1D98">
        <w:pict>
          <v:shape id="Graf 401" o:spid="_x0000_i1061" type="#_x0000_t75" style="width:161.4pt;height:142.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5SPXf3QAAAAUBAAAPAAAAZHJzL2Rvd25y&#10;ZXYueG1sTI/BTsMwEETvSPyDtUjcqNNUKiHEqRAIwYUDpULtzY6XJCJeR7bbBr6epRe4jLSa1cyb&#10;ajW5QRwwxN6TgvksA4HUeNtTq2Dz9nhVgIhJk9WDJ1TwhRFW9flZpUvrj/SKh3VqBYdQLLWCLqWx&#10;lDI2HTodZ35EYu/DB6cTn6GVNugjh7tB5lm2lE73xA2dHvG+w+ZzvXcKgjHTe6Gvn3eL7dNL5vOH&#10;ZDbfSl1eTHe3IBJO6e8ZfvEZHWpmMn5PNopBAQ9JJ2VvkRc8wyjIb+ZLkHUl/9PXPw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">
            <v:imagedata r:id="rId48" o:title="" croptop="-3987f" cropbottom="-1835f" cropleft="-589f" cropright="-691f"/>
            <o:lock v:ext="edit" aspectratio="f"/>
          </v:shape>
        </w:pict>
      </w:r>
      <w:r w:rsidRPr="001D1D98">
        <w:pict>
          <v:shape id="Graf 402" o:spid="_x0000_i1062" type="#_x0000_t75" style="width:147.6pt;height:149.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Zm/Iw2wAAAAUBAAAPAAAAZHJzL2Rvd25y&#10;ZXYueG1sTI9Bb8IwDIXvSPsPkSftBuk6DZWuKUJIHBinFbZdTWPaao1TJQG6f7+wy3axnvWs9z4X&#10;y9H04kLOd5YVPM4SEMS11R03Cg77zTQD4QOyxt4yKfgmD8vyblJgru2V3+hShUbEEPY5KmhDGHIp&#10;fd2SQT+zA3H0TtYZDHF1jdQOrzHc9DJNkrk02HFsaHGgdUv1V3U2Cp4Sv6s2W/O5d6/b3SFb4Pvp&#10;Y67Uw/24egERaAx/x3DDj+hQRqajPbP2olcQHwm/M3rp4jkFcbyJLANZFvI/ffkD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">
            <v:imagedata r:id="rId49" o:title="" croptop="-5406f" cropbottom="-2055f" cropleft="-427f" cropright="-225f"/>
            <o:lock v:ext="edit" aspectratio="f"/>
          </v:shape>
        </w:pict>
      </w:r>
      <w:r w:rsidRPr="001D1D98">
        <w:pict>
          <v:shape id="Graf 403" o:spid="_x0000_i1063" type="#_x0000_t75" style="width:144.6pt;height:145.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6T91F2gAAAAUBAAAPAAAAZHJzL2Rvd25y&#10;ZXYueG1sTI9BT8MwDIXvSPyHyEjctrTVNkFpOlWI3VmHkHbLGtNWa5yqybaMX4/HBS6WrWe9971i&#10;He0gzjj53pGCdJ6AQGqc6alV8LHbzJ5A+KDJ6MERKriih3V5f1fo3LgLbfFch1awCflcK+hCGHMp&#10;fdOh1X7uRiTWvtxkdeBzaqWZ9IXN7SCzJFlJq3vihE6P+Nphc6xPlnOrOqXtZ1y8V8frW1zGvfze&#10;j0o9PsTqBUTAGP6e4YbP6FAy08GdyHgxKOAi4Xeylj0vMxCH25KuQJaF/E9f/gA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">
            <v:imagedata r:id="rId50" o:title="" croptop="-3755f" cropbottom="-1829f" cropleft="-656f" cropright="-452f"/>
            <o:lock v:ext="edit" aspectratio="f"/>
          </v:shape>
        </w:pict>
      </w:r>
    </w:p>
    <w:p w:rsidR="009D46E6" w:rsidRDefault="009D46E6" w:rsidP="000753E2">
      <w:pPr>
        <w:pStyle w:val="Objekt"/>
      </w:pPr>
      <w:r>
        <w:t>2) Roční procentuální nárůsty v běžných cenách</w:t>
      </w:r>
    </w:p>
    <w:p w:rsidR="009D46E6" w:rsidRDefault="009D46E6" w:rsidP="00496024">
      <w:pPr>
        <w:pStyle w:val="Objekt"/>
      </w:pPr>
      <w:r w:rsidRPr="001D1D98">
        <w:pict>
          <v:shape id="Graf 404" o:spid="_x0000_i1064" type="#_x0000_t75" style="width:164.4pt;height:145.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ENZd/2wAAAAUBAAAPAAAAZHJzL2Rvd25y&#10;ZXYueG1sTI9BS8QwEIXvgv8hjODNTbZKWWvTZREEj1pXxFu2GdtiM+km2bb+e0cvenkwvOG975Xb&#10;xQ1iwhB7TxrWKwUCqfG2p1bD/uXhagMiJkPWDJ5QwxdG2FbnZ6UprJ/pGac6tYJDKBZGQ5fSWEgZ&#10;mw6diSs/IrH34YMzic/QShvMzOFukJlSuXSmJ27ozIj3HTaf9clpeHpV+Y2alvgeH/d128zH8LY7&#10;an15sezuQCRc0t8z/OAzOlTMdPAnslEMGnhI+lX2rrMNzzhoyG7XOciqlP/pq28A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">
            <v:imagedata r:id="rId51" o:title="" croptop="-3755f" cropbottom="-1829f" cropleft="-383f" cropright="-302f"/>
            <o:lock v:ext="edit" aspectratio="f"/>
          </v:shape>
        </w:pict>
      </w:r>
      <w:r w:rsidRPr="001D1D98">
        <w:pict>
          <v:shape id="Graf 405" o:spid="_x0000_i1065" type="#_x0000_t75" style="width:144.6pt;height:145.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hLffM2gAAAAUBAAAPAAAAZHJzL2Rvd25y&#10;ZXYueG1sTI9BT8MwDIXvSPyHyEjcWLoCE5SmE6oEJxBaQZy9xrQdjV012Vr+PRmXcbGe9az3Pufr&#10;2fXqQKPvhA0sFwko4lpsx42Bj/enqztQPiBb7IXJwA95WBfnZzlmVibe0KEKjYoh7DM00IYwZFr7&#10;uiWHfiEDcfS+ZHQY4jo22o44xXDX6zRJVtphx7GhxYHKlurvau8M7G5eynRT2bHsple8fv6UN9mJ&#10;MZcX8+MDqEBzOB3DET+iQxGZtrJn61VvID4S/mb00vvbFNT2KJYr0EWu/9MXvwA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">
            <v:imagedata r:id="rId52" o:title="" croptop="-4248f" cropbottom="-1842f" cropleft="-425f" cropright="-22f"/>
            <o:lock v:ext="edit" aspectratio="f"/>
          </v:shape>
        </w:pict>
      </w:r>
      <w:r w:rsidRPr="001D1D98">
        <w:pict>
          <v:shape id="Graf 406" o:spid="_x0000_i1066" type="#_x0000_t75" style="width:147.6pt;height:145.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31JWw2wAAAAUBAAAPAAAAZHJzL2Rvd25y&#10;ZXYueG1sTI9Ba8JAEIXvBf/DMoXe6sZgJcZsRCo99CJUC8XbmB2T0Oxs3F01/fdde6mX4Q1veO+b&#10;YjmYTlzI+daygsk4AUFcWd1yreBz9/acgfABWWNnmRT8kIdlOXooMNf2yh902YZaxBD2OSpoQuhz&#10;KX3VkEE/tj1x9I7WGQxxdbXUDq8x3HQyTZKZNNhybGiwp9eGqu/t2ShotX/P3Gm63uynXGf2tPvC&#10;zVqpp8dhtQARaAj/x3DDj+hQRqaDPbP2olMQHwl/M3rp/CUFcbiJyQxkWch7+vIX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">
            <v:imagedata r:id="rId53" o:title="" croptop="-3015f" cropbottom="-1809f" cropleft="-653f" cropright="-225f"/>
            <o:lock v:ext="edit" aspectratio="f"/>
          </v:shape>
        </w:pict>
      </w:r>
    </w:p>
    <w:p w:rsidR="009D46E6" w:rsidRDefault="009D46E6" w:rsidP="000753E2">
      <w:pPr>
        <w:pStyle w:val="Zdroj"/>
      </w:pPr>
      <w:r>
        <w:t>Zdroj: Český statistický úřad 2013, Roční statistické šetření výzkumu a vývoje VTR 5-01</w:t>
      </w:r>
    </w:p>
    <w:p w:rsidR="009D46E6" w:rsidRDefault="009D46E6" w:rsidP="00070A59"/>
    <w:p w:rsidR="009D46E6" w:rsidRDefault="009D46E6" w:rsidP="00070A59">
      <w:r>
        <w:t xml:space="preserve">Přestože v posledních třech letech došlo k poměrně výrazným změnám ve financování VaV ve vládním a především vysokoškolském sektoru, jsou oba tyto sektory stále financovány především z domácích veřejných zdrojů, i když výrazně méně než v minulosti. Zajímavý obrázek přinášejí údaje o nárůstu financování VaV ve vysokoškolském sektoru z veřejných zahraničních zdrojů. Jestliže v roce 2005 šlo z veřejných zahraničních zdrojů do vysokoškolského VaV 182 mil. Kč, v roce 2010 to bylo již 881 mil. Kč a v následujících dvou letech dokonce 3,6 resp. 7,4 mld. Kč. Obdobný či dokonce vyšší objem finančních prostředků ze zahraničních veřejných zdrojů se předpokládá i v nejbližších třech letech. </w:t>
      </w:r>
    </w:p>
    <w:p w:rsidR="009D46E6" w:rsidRDefault="009D46E6" w:rsidP="000753E2">
      <w:pPr>
        <w:pStyle w:val="Caption"/>
        <w:tabs>
          <w:tab w:val="clear" w:pos="1276"/>
        </w:tabs>
        <w:ind w:left="1134" w:hanging="1134"/>
      </w:pPr>
      <w:bookmarkStart w:id="47" w:name="_Toc369091976"/>
      <w:r>
        <w:t xml:space="preserve">Graf </w:t>
      </w:r>
      <w:fldSimple w:instr=" STYLEREF 1 \s ">
        <w:r>
          <w:rPr>
            <w:noProof/>
          </w:rPr>
          <w:t>A</w:t>
        </w:r>
      </w:fldSimple>
      <w:r>
        <w:t>.</w:t>
      </w:r>
      <w:fldSimple w:instr=" SEQ Graf \* ARABIC \s 1 ">
        <w:r>
          <w:rPr>
            <w:noProof/>
          </w:rPr>
          <w:t>15</w:t>
        </w:r>
      </w:fldSimple>
      <w:r w:rsidRPr="00BD5EC7">
        <w:t xml:space="preserve">: </w:t>
      </w:r>
      <w:r w:rsidRPr="000753E2">
        <w:t>Výdaje za VaV ve veřejném sektoru ČR podle zdrojů financování (%)</w:t>
      </w:r>
      <w:bookmarkEnd w:id="47"/>
    </w:p>
    <w:p w:rsidR="009D46E6" w:rsidRPr="000753E2" w:rsidRDefault="009D46E6" w:rsidP="000753E2">
      <w:pPr>
        <w:pStyle w:val="Objekt"/>
      </w:pPr>
      <w:r w:rsidRPr="001D1D98">
        <w:pict>
          <v:shape id="Graf 407" o:spid="_x0000_i1067" type="#_x0000_t75" style="width:189pt;height:176.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">
            <v:imagedata r:id="rId54" o:title="" croptop="-3352f" cropbottom="-5100f" cropleft="-531f" cropright="-4502f"/>
            <o:lock v:ext="edit" aspectratio="f"/>
          </v:shape>
        </w:pict>
      </w:r>
      <w:r>
        <w:tab/>
      </w:r>
      <w:r>
        <w:tab/>
      </w:r>
      <w:r w:rsidRPr="001D1D98">
        <w:pict>
          <v:shape id="Graf 408" o:spid="_x0000_i1068" type="#_x0000_t75" style="width:252.6pt;height:177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cWXIn3QAAAAUBAAAPAAAAZHJzL2Rvd25y&#10;ZXYueG1sTI9BS8NAEIXvQv/DMgVvdpOqQWI2pRR6KILQVKrHbXaahGZnY3bTRn+9Yy96efB4w3vf&#10;ZIvRtuKMvW8cKYhnEQik0pmGKgVvu/XdEwgfNBndOkIFX+hhkU9uMp0ad6EtnotQCS4hn2oFdQhd&#10;KqUva7Taz1yHxNnR9VYHtn0lTa8vXG5bOY+iRFrdEC/UusNVjeWpGKyC7yHs1w/25TR8fLrtar/b&#10;FO+vG6Vup+PyGUTAMfwdwy8+o0POTAc3kPGiVcCPhKty9hgnbA8K7pN4DjLP5H/6/Ac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">
            <v:imagedata r:id="rId55" o:title="" croptop="-3355f" cropbottom="-1144f" cropleft="-1167f" cropright="-3311f"/>
            <o:lock v:ext="edit" aspectratio="f"/>
          </v:shape>
        </w:pict>
      </w:r>
    </w:p>
    <w:p w:rsidR="009D46E6" w:rsidRDefault="009D46E6" w:rsidP="000753E2">
      <w:pPr>
        <w:pStyle w:val="Poznmka"/>
      </w:pPr>
      <w:r>
        <w:t>Poznámka: V grafu a) se 1 % za r. 2007 rovnalo 204,7 mil. Kč; za r. 2011: 276,9 mil. Kč a za r. 2012: 332,0 mil. Kč. V grafu b) se 1 % za Pracoviště AV ČR rovnalo 105,6 mil. Kč; za Resortní výzkumná pracoviště 18,8 mil. Kč a za Veřejné vysoké školy 189,8 mil. Kč.</w:t>
      </w:r>
    </w:p>
    <w:p w:rsidR="009D46E6" w:rsidRDefault="009D46E6" w:rsidP="000753E2">
      <w:pPr>
        <w:pStyle w:val="Poznmka"/>
      </w:pPr>
      <w:r>
        <w:t>Zdroj: Český statistický úřad 2013, Roční statistické šetření výzkumu a vývoje VTR 5-01</w:t>
      </w:r>
    </w:p>
    <w:p w:rsidR="009D46E6" w:rsidRDefault="009D46E6" w:rsidP="00070A59"/>
    <w:p w:rsidR="009D46E6" w:rsidRDefault="009D46E6" w:rsidP="00A4084F">
      <w:r>
        <w:t>Na rozdíl od vysokoškolského sektoru hrají ve financování VaV prováděného ve vládním sektoru významnou roli i soukromé zahraniční zdroje. Jde o příjmy z licenčních poplatků získané za poskytnutí práv využívat objevy (vynálezy) chráněné patentovým právem, které každý rok výrazně rostou (kapitola C.3).</w:t>
      </w:r>
    </w:p>
    <w:p w:rsidR="009D46E6" w:rsidRDefault="009D46E6" w:rsidP="00070A59">
      <w:r>
        <w:t>Ve vysokoškolském sektoru uvedlo 22 výzkumných pracovišť (10 %), že v roce 2012 provedlo VaV na zakázku pro podnikatelský sektor, celkové příjmy z těchto zakázek však dosáhly pouze 136 mil. Kč, které byly použity na financování prováděného VaV v těchto subjektech. Tato částka tvořila přesně 1 % z celkových výdajů za provedený VaV ve vysokoškolském sektoru. Obdobný podíl zaznamenáváme od počátku sledování tohoto ukazatele. I když ve vládním sektoru deklarovalo, že v roce 2012 provedlo VaV na zakázku pro podnikatelský sektor 61 pracovišť (33 %), celkové příjmy z těchto zakázek dosáhly pouze 245 mil. Kč. Pokud jde tedy o financování VaV provedeného ve vládním sektoru z tuzemských podnikatelských zdrojů, platí stejně jako v případě vysokých škol, že jde pro vládní VaV o zanedbatelný zdroj.</w:t>
      </w:r>
    </w:p>
    <w:p w:rsidR="009D46E6" w:rsidRDefault="009D46E6" w:rsidP="00070A59">
      <w:r>
        <w:t>Většina VaV činností uskutečněných jak ve vládním, tak i vysokoškolském sektoru patří z hlediska typu prováděného VaV do oblasti základního výzkumu. Přesto jak v čase, tak především v porovnání sledovaných typů pracovišť VaV, můžeme nalézt poměrně výrazné rozdíly v tomto ukazateli. Více viz následujíc graf.</w:t>
      </w:r>
    </w:p>
    <w:p w:rsidR="009D46E6" w:rsidRDefault="009D46E6" w:rsidP="000753E2">
      <w:pPr>
        <w:pStyle w:val="Caption"/>
        <w:tabs>
          <w:tab w:val="clear" w:pos="1276"/>
        </w:tabs>
        <w:ind w:left="1134" w:hanging="1134"/>
      </w:pPr>
      <w:bookmarkStart w:id="48" w:name="_Toc369091977"/>
      <w:r>
        <w:t xml:space="preserve">Graf </w:t>
      </w:r>
      <w:fldSimple w:instr=" STYLEREF 1 \s ">
        <w:r>
          <w:rPr>
            <w:noProof/>
          </w:rPr>
          <w:t>A</w:t>
        </w:r>
      </w:fldSimple>
      <w:r>
        <w:t>.</w:t>
      </w:r>
      <w:fldSimple w:instr=" SEQ Graf \* ARABIC \s 1 ">
        <w:r>
          <w:rPr>
            <w:noProof/>
          </w:rPr>
          <w:t>16</w:t>
        </w:r>
      </w:fldSimple>
      <w:r w:rsidRPr="00BD5EC7">
        <w:t xml:space="preserve">: </w:t>
      </w:r>
      <w:r w:rsidRPr="000753E2">
        <w:t>Výdaje za VaV ve veřejném sektoru ČR podle prováděné činnosti (%)</w:t>
      </w:r>
      <w:bookmarkEnd w:id="48"/>
    </w:p>
    <w:p w:rsidR="009D46E6" w:rsidRPr="000753E2" w:rsidRDefault="009D46E6" w:rsidP="000753E2">
      <w:pPr>
        <w:pStyle w:val="Objekt"/>
        <w:rPr>
          <w:lang w:eastAsia="en-US"/>
        </w:rPr>
      </w:pPr>
      <w:r w:rsidRPr="001D1D98">
        <w:pict>
          <v:shape id="Graf 411" o:spid="_x0000_i1069" type="#_x0000_t75" style="width:201pt;height:187.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rw6mU2wAAAAUBAAAPAAAAZHJzL2Rvd25y&#10;ZXYueG1sTI/NTsMwEITvSLyDtUjcqENpC4RsqoqfG0KicICbEy9ORLyOYqcJb8/CBS4jjWY1822x&#10;nX2nDjTENjDC+SIDRVwH27JDeH15OLsCFZNha7rAhPBFEbbl8VFhchsmfqbDPjklJRxzg9Ck1Oda&#10;x7ohb+Ii9MSSfYTBmyR2cNoOZpJy3+lllm20Ny3LQmN6um2o/tyPHqFy02oK7f1ufnob7/z6PdXu&#10;8Rrx9GTe3YBKNKe/Y/jBF3QohakKI9uoOgR5JP2qZKtsKbZCuLhcb0CXhf5PX34D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">
            <v:imagedata r:id="rId56" o:title="" croptop="-3731f" cropbottom="-7790f" cropleft="-501f" cropright="-3526f"/>
            <o:lock v:ext="edit" aspectratio="f"/>
          </v:shape>
        </w:pict>
      </w:r>
      <w:r w:rsidRPr="001D1D98">
        <w:pict>
          <v:shape id="Graf 412" o:spid="_x0000_i1070" type="#_x0000_t75" style="width:269.4pt;height:188.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SVkuS2wAAAAUBAAAPAAAAZHJzL2Rvd25y&#10;ZXYueG1sTI9LT8MwEITvSPwHa5G4UQcKJQpxKlQJcUDiUThw3MZLbPAj2G4b/j0LF7iMtJrVzDft&#10;cvJO7ChlG4OC01kFgkIftQ2Dgpfnm5MaRC4YNLoYSMEXZVh2hwctNjruwxPt1mUQHBJygwpMKWMj&#10;Ze4NecyzOFJg7y0mj4XPNEidcM/h3smzqlpIjzZwg8GRVob6j/XWK8hZJ2vsQ3x09/r99g7PV5/9&#10;q1LHR9P1FYhCU/l7hh98RoeOmTZxG3QWTgEPKb/K3sW85hkbBfPLRQ2ya+V/+u4b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">
            <v:imagedata r:id="rId57" o:title="" croptop="-3394f" cropbottom="-1380f" cropleft="-375f" cropright="-3723f"/>
            <o:lock v:ext="edit" aspectratio="f"/>
          </v:shape>
        </w:pict>
      </w:r>
    </w:p>
    <w:p w:rsidR="009D46E6" w:rsidRDefault="009D46E6" w:rsidP="000753E2">
      <w:pPr>
        <w:pStyle w:val="Zdroj"/>
      </w:pPr>
      <w:r>
        <w:t>Zdroj: Český statistický úřad 2013, Roční statistické šetření výzkumu a vývoje VTR 5-01</w:t>
      </w:r>
    </w:p>
    <w:p w:rsidR="009D46E6" w:rsidRDefault="009D46E6" w:rsidP="00070A59"/>
    <w:p w:rsidR="009D46E6" w:rsidRDefault="009D46E6" w:rsidP="00070A59">
      <w:r>
        <w:t>Na základě omezeného mezinárodního srovnání o typu VaV činností prováděných ve vládním sektoru (údaje jsou k dispozici za cca 20 zemí EU v různých letech – více viz tabulková příloha), lze konstatovat, že role a význam veřejných výzkumných institucí jsou ve většině jednotlivých zemí rozdílné, nejen v rámci EU ale i při analýze zemí OECD</w:t>
      </w:r>
      <w:r>
        <w:rPr>
          <w:rStyle w:val="FootnoteReference"/>
          <w:rFonts w:cs="MetaPro-Normal"/>
        </w:rPr>
        <w:footnoteReference w:id="11"/>
      </w:r>
      <w:r>
        <w:t>. Jak již bylo uvedeno, v postkomunistických zemích ve vládním sektoru převažují instituce typu AV ČR, které se zaměřují spíše na základní výzkum. Naprosto odlišnou situaci zaznamenáváme v některých západoevropských zemích, ale i v USA, Japonsku nebo Číně, kde se takovéto instituce orientují na experimentální VaV. Jedná se tedy o instituce, které mají za cíl podporu průmyslového rozvoje prostřednictvím poskytování služeb v rámci tržně orientovaného VaV.</w:t>
      </w:r>
      <w:r>
        <w:rPr>
          <w:rStyle w:val="FootnoteReference"/>
          <w:rFonts w:cs="MetaPro-Normal"/>
        </w:rPr>
        <w:footnoteReference w:id="12"/>
      </w:r>
    </w:p>
    <w:p w:rsidR="009D46E6" w:rsidRDefault="009D46E6" w:rsidP="00070A59">
      <w:r>
        <w:t>Převážná část výdajů na VaV ve vládním sektoru směřuje do oblasti přírodních věd, která je doménou zejména pracovišť AV ČR. Podíl přírodních věd ve vládním sektoru v ČR je jeden nejvyšších v rámci dostupných údajů za jednotlivé země EU. Kromě přírodních věd, na rozdíl od vysokoškolského sektoru, je poměrně významné zastoupení i věd humanitních. V tomto případě se kromě pracovišť AV ČR jedná především o veřejné knihovny, archivy, muzea a jiná kulturní zařízení, která provádějí VaV jako svoji vedlejší činnost právě v této oblasti. Kromě přírodních věd jsou hlavní náplní resortních VaV pracovišť i vědy zemědělské a sociální, které se neprovádí na pracovištích AV ČR. Od roku 2007 se ve vládním sektoru výrazně zvýšilo zastoupení především přírodních věd, naopak pokles zaznamenaly během tohoto období vědy zemědělské a technické.</w:t>
      </w:r>
    </w:p>
    <w:p w:rsidR="009D46E6" w:rsidRDefault="009D46E6" w:rsidP="00070A59">
      <w:r>
        <w:t>V případě vysokoškolského sektoru je rozložení výdajů na VaV mezi jednotlivé vědní oblasti výrazně odlišné, než je tomu v sektoru vládním, resp. na pracovištích AV ČR. Ve vysokoškolském sektoru je nejvíce finančních prostředků určených na VaV nasměrováno do technických věd a vysoké zastoupení mají, kromě věd přírodních, také vědy lékařské a částečně i sociální a zemědělské. V případě lékařských věd hraje významnou roli zařazení fakultních nemocnic do vysokoškolského sektoru.</w:t>
      </w:r>
    </w:p>
    <w:p w:rsidR="009D46E6" w:rsidRDefault="009D46E6" w:rsidP="000753E2">
      <w:pPr>
        <w:pStyle w:val="Caption"/>
        <w:tabs>
          <w:tab w:val="clear" w:pos="1276"/>
        </w:tabs>
        <w:ind w:left="1134" w:hanging="1134"/>
      </w:pPr>
      <w:bookmarkStart w:id="49" w:name="_Toc369091978"/>
      <w:r>
        <w:t xml:space="preserve">Graf </w:t>
      </w:r>
      <w:fldSimple w:instr=" STYLEREF 1 \s ">
        <w:r>
          <w:rPr>
            <w:noProof/>
          </w:rPr>
          <w:t>A</w:t>
        </w:r>
      </w:fldSimple>
      <w:r>
        <w:t>.</w:t>
      </w:r>
      <w:fldSimple w:instr=" SEQ Graf \* ARABIC \s 1 ">
        <w:r>
          <w:rPr>
            <w:noProof/>
          </w:rPr>
          <w:t>17</w:t>
        </w:r>
      </w:fldSimple>
      <w:r w:rsidRPr="00BD5EC7">
        <w:t xml:space="preserve">: </w:t>
      </w:r>
      <w:r w:rsidRPr="000753E2">
        <w:t>Výdaje za VaV ve veřejném sektoru ČR podle prováděné činnosti (%)</w:t>
      </w:r>
      <w:bookmarkEnd w:id="49"/>
    </w:p>
    <w:p w:rsidR="009D46E6" w:rsidRPr="000753E2" w:rsidRDefault="009D46E6" w:rsidP="000753E2">
      <w:pPr>
        <w:pStyle w:val="Objekt"/>
        <w:rPr>
          <w:lang w:eastAsia="en-US"/>
        </w:rPr>
      </w:pPr>
      <w:r w:rsidRPr="001D1D98">
        <w:pict>
          <v:shape id="Graf 413" o:spid="_x0000_i1071" type="#_x0000_t75" style="width:201pt;height:187.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b2ONl2wAAAAUBAAAPAAAAZHJzL2Rvd25y&#10;ZXYueG1sTI/BTsMwEETvSPyDtUjcqEOhoQpxqqoCCU6UgHrexNskYK+j2EnD32O4wGWk0axm3uab&#10;2Rox0eA7xwquFwkI4trpjhsF72+PV2sQPiBrNI5JwRd52BTnZzlm2p34laYyNCKWsM9QQRtCn0np&#10;65Ys+oXriWN2dIPFEO3QSD3gKZZbI5dJkkqLHceFFnvatVR/lqNV8DFVh/0qNevq6Xk74mHXPRxf&#10;SqUuL+btPYhAc/g7hh/8iA5FZKrcyNoLoyA+En41ZrfJMtpKwc3dKgVZ5PI/ffEN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">
            <v:imagedata r:id="rId58" o:title="" croptop="-3622f" cropbottom="-5652f" cropleft="-658f" cropright="-3534f"/>
            <o:lock v:ext="edit" aspectratio="f"/>
          </v:shape>
        </w:pict>
      </w:r>
      <w:r w:rsidRPr="001D1D98">
        <w:pict>
          <v:shape id="Graf 414" o:spid="_x0000_i1072" type="#_x0000_t75" style="width:266.4pt;height:188.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eGdLM3QAAAAUBAAAPAAAAZHJzL2Rvd25y&#10;ZXYueG1sTI/BTsMwEETvSPyDtUjcqAOFNoQ4FUQCThxaChK3bbwkEfE6it0m8PUsXOAy0mpWM2/y&#10;1eQ6daAhtJ4NnM8SUMSVty3XBrbP92cpqBCRLXaeycAnBVgVx0c5ZtaPvKbDJtZKQjhkaKCJsc+0&#10;DlVDDsPM98TivfvBYZRzqLUdcJRw1+mLJFlohy1LQ4M9lQ1VH5u9M7B8+HrE9eXL0+t4zUm1vWvd&#10;W1kac3oy3d6AijTFv2f4wRd0KIRp5/dsg+oMyJD4q+JdzVOZsTMwXy5S0EWu/9MX3w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">
            <v:imagedata r:id="rId59" o:title="" croptop="-3431f" cropbottom="-2112f" cropleft="-2053f" cropright="-4226f"/>
            <o:lock v:ext="edit" aspectratio="f"/>
          </v:shape>
        </w:pict>
      </w:r>
    </w:p>
    <w:p w:rsidR="009D46E6" w:rsidRDefault="009D46E6" w:rsidP="000753E2">
      <w:pPr>
        <w:pStyle w:val="Zdroj"/>
      </w:pPr>
      <w:r>
        <w:t>Zdroj: Český statistický úřad 2013, Roční statistické šetření výzkumu a vývoje VTR 5-01</w:t>
      </w:r>
    </w:p>
    <w:p w:rsidR="009D46E6" w:rsidRDefault="009D46E6" w:rsidP="00070A59"/>
    <w:p w:rsidR="009D46E6" w:rsidRDefault="009D46E6" w:rsidP="00070A59">
      <w:r>
        <w:t>Podíl technických věd na celkových výdajích na VaV je v českém vysokoškolském sektoru zásadní, a to i v dostupném mezinárodním srovnání.</w:t>
      </w:r>
      <w:r>
        <w:rPr>
          <w:rStyle w:val="FootnoteReference"/>
          <w:rFonts w:cs="MetaPro-Normal"/>
        </w:rPr>
        <w:footnoteReference w:id="13"/>
      </w:r>
      <w:r>
        <w:t xml:space="preserve"> Na základě těchto údajů a s přihlédnutím ke struktuře české ekonomiky lze předpokládat, že český vysokoškolský sektor má potenciál pro výzkumnou spolupráci s podniky. Přesto měřeno podílem podnikatelských zdrojů na financování vysokoškolského sektoru, dosahuje český vysokoškolský sektor jedné z nejnižších hodnot ze všech sledovaných zemí EU a OECD (průměr EU27 je 6 % - více viz mezinárodní srovnání).</w:t>
      </w:r>
    </w:p>
    <w:p w:rsidR="009D46E6" w:rsidRDefault="009D46E6" w:rsidP="000753E2">
      <w:pPr>
        <w:pStyle w:val="Heading4"/>
      </w:pPr>
      <w:r>
        <w:t xml:space="preserve">Mezinárodní srovnání </w:t>
      </w:r>
    </w:p>
    <w:p w:rsidR="009D46E6" w:rsidRDefault="009D46E6" w:rsidP="00070A59">
      <w:r>
        <w:t xml:space="preserve">V roce 2010 dosáhly v zemích EU28 výdaje za VaV provedený ve vládním a vysokoškolském sektoru celkem 91,6 mld. Eur, tj. o 3 % (2,7 mld. Eur) více než v roce předchozím. Státy EU tak jako celek vynaložily na VaV prováděný v těchto sektorech, na rozdíl od celkových výdajů na VaV, o 7 mld. Eur více peněz než Spojené státy. ČR s 1,1 mld. Eur se podílela na této částce 1,2 %. V následující tabulce jsou uvedeny opět údaje o výdajích ve veřejném VaV vybraných zemí podle parity kupní síly (PPP) v běžných cenách, jenž eliminuje rozdíly v cenových hladinách jednotlivých zemí. </w:t>
      </w:r>
    </w:p>
    <w:p w:rsidR="009D46E6" w:rsidRDefault="009D46E6" w:rsidP="000753E2">
      <w:pPr>
        <w:pStyle w:val="Caption"/>
      </w:pPr>
      <w:bookmarkStart w:id="50" w:name="_Toc369091924"/>
      <w:r>
        <w:t xml:space="preserve">Tabulka </w:t>
      </w:r>
      <w:fldSimple w:instr=" STYLEREF 1 \s ">
        <w:r>
          <w:rPr>
            <w:noProof/>
          </w:rPr>
          <w:t>A</w:t>
        </w:r>
      </w:fldSimple>
      <w:r>
        <w:t>.</w:t>
      </w:r>
      <w:fldSimple w:instr=" SEQ Tabulka \* ARABIC \s 1 ">
        <w:r>
          <w:rPr>
            <w:noProof/>
          </w:rPr>
          <w:t>3</w:t>
        </w:r>
      </w:fldSimple>
      <w:r w:rsidRPr="00BC1D05">
        <w:t xml:space="preserve">: </w:t>
      </w:r>
      <w:r w:rsidRPr="000753E2">
        <w:t>Výdaje na veřejný VaV ve vybraných zemích (mil. US$ v PPP; EU28= 100)</w:t>
      </w:r>
      <w:bookmarkEnd w:id="50"/>
    </w:p>
    <w:tbl>
      <w:tblPr>
        <w:tblW w:w="9639" w:type="dxa"/>
        <w:tblInd w:w="108" w:type="dxa"/>
        <w:tblBorders>
          <w:top w:val="single" w:sz="18" w:space="0" w:color="auto"/>
          <w:bottom w:val="single" w:sz="18" w:space="0" w:color="auto"/>
        </w:tblBorders>
        <w:tblLayout w:type="fixed"/>
        <w:tblLook w:val="00A0"/>
      </w:tblPr>
      <w:tblGrid>
        <w:gridCol w:w="743"/>
        <w:gridCol w:w="893"/>
        <w:gridCol w:w="893"/>
        <w:gridCol w:w="688"/>
        <w:gridCol w:w="688"/>
        <w:gridCol w:w="688"/>
        <w:gridCol w:w="688"/>
        <w:gridCol w:w="688"/>
        <w:gridCol w:w="611"/>
        <w:gridCol w:w="612"/>
        <w:gridCol w:w="611"/>
        <w:gridCol w:w="680"/>
        <w:gridCol w:w="578"/>
        <w:gridCol w:w="578"/>
      </w:tblGrid>
      <w:tr w:rsidR="009D46E6" w:rsidRPr="00DB1559" w:rsidTr="00DB1559">
        <w:trPr>
          <w:trHeight w:val="239"/>
        </w:trPr>
        <w:tc>
          <w:tcPr>
            <w:tcW w:w="709" w:type="dxa"/>
            <w:tcBorders>
              <w:top w:val="single" w:sz="18" w:space="0" w:color="auto"/>
              <w:left w:val="nil"/>
              <w:bottom w:val="single" w:sz="18" w:space="0" w:color="auto"/>
              <w:right w:val="nil"/>
            </w:tcBorders>
            <w:shd w:val="clear" w:color="auto" w:fill="4F81BD"/>
            <w:noWrap/>
          </w:tcPr>
          <w:p w:rsidR="009D46E6" w:rsidRPr="00DB1559" w:rsidRDefault="009D46E6" w:rsidP="00DB1559">
            <w:pPr>
              <w:spacing w:after="0" w:line="240" w:lineRule="auto"/>
              <w:jc w:val="center"/>
              <w:rPr>
                <w:rFonts w:cs="Tahoma"/>
                <w:b/>
                <w:bCs/>
                <w:color w:val="FFFFFF"/>
                <w:sz w:val="14"/>
                <w:szCs w:val="14"/>
                <w:lang w:eastAsia="cs-CZ"/>
              </w:rPr>
            </w:pPr>
            <w:r w:rsidRPr="00DB1559">
              <w:rPr>
                <w:rFonts w:cs="Tahoma"/>
                <w:b/>
                <w:bCs/>
                <w:color w:val="FFFFFF"/>
                <w:sz w:val="14"/>
                <w:szCs w:val="14"/>
                <w:lang w:eastAsia="cs-CZ"/>
              </w:rPr>
              <w:t> </w:t>
            </w:r>
          </w:p>
        </w:tc>
        <w:tc>
          <w:tcPr>
            <w:tcW w:w="851"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4"/>
                <w:szCs w:val="14"/>
                <w:lang w:eastAsia="cs-CZ"/>
              </w:rPr>
            </w:pPr>
            <w:r w:rsidRPr="00DB1559">
              <w:rPr>
                <w:rFonts w:cs="Tahoma"/>
                <w:b/>
                <w:bCs/>
                <w:color w:val="FFFFFF"/>
                <w:sz w:val="14"/>
                <w:szCs w:val="14"/>
                <w:lang w:eastAsia="cs-CZ"/>
              </w:rPr>
              <w:t>EU28</w:t>
            </w:r>
          </w:p>
        </w:tc>
        <w:tc>
          <w:tcPr>
            <w:tcW w:w="850"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4"/>
                <w:szCs w:val="14"/>
                <w:lang w:eastAsia="cs-CZ"/>
              </w:rPr>
            </w:pPr>
            <w:r w:rsidRPr="00DB1559">
              <w:rPr>
                <w:rFonts w:cs="Tahoma"/>
                <w:b/>
                <w:bCs/>
                <w:color w:val="FFFFFF"/>
                <w:sz w:val="14"/>
                <w:szCs w:val="14"/>
                <w:lang w:eastAsia="cs-CZ"/>
              </w:rPr>
              <w:t>USA</w:t>
            </w:r>
          </w:p>
        </w:tc>
        <w:tc>
          <w:tcPr>
            <w:tcW w:w="655"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4"/>
                <w:szCs w:val="14"/>
                <w:lang w:eastAsia="cs-CZ"/>
              </w:rPr>
            </w:pPr>
            <w:r w:rsidRPr="00DB1559">
              <w:rPr>
                <w:rFonts w:cs="Tahoma"/>
                <w:b/>
                <w:bCs/>
                <w:color w:val="FFFFFF"/>
                <w:sz w:val="14"/>
                <w:szCs w:val="14"/>
                <w:lang w:eastAsia="cs-CZ"/>
              </w:rPr>
              <w:t>Čína</w:t>
            </w:r>
          </w:p>
        </w:tc>
        <w:tc>
          <w:tcPr>
            <w:tcW w:w="655"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4"/>
                <w:szCs w:val="14"/>
                <w:lang w:eastAsia="cs-CZ"/>
              </w:rPr>
            </w:pPr>
            <w:r w:rsidRPr="00DB1559">
              <w:rPr>
                <w:rFonts w:cs="Tahoma"/>
                <w:b/>
                <w:bCs/>
                <w:color w:val="FFFFFF"/>
                <w:sz w:val="14"/>
                <w:szCs w:val="14"/>
                <w:lang w:eastAsia="cs-CZ"/>
              </w:rPr>
              <w:t>Jap.</w:t>
            </w:r>
          </w:p>
        </w:tc>
        <w:tc>
          <w:tcPr>
            <w:tcW w:w="655"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4"/>
                <w:szCs w:val="14"/>
                <w:lang w:eastAsia="cs-CZ"/>
              </w:rPr>
            </w:pPr>
            <w:r w:rsidRPr="00DB1559">
              <w:rPr>
                <w:rFonts w:cs="Tahoma"/>
                <w:b/>
                <w:bCs/>
                <w:color w:val="FFFFFF"/>
                <w:sz w:val="14"/>
                <w:szCs w:val="14"/>
                <w:lang w:eastAsia="cs-CZ"/>
              </w:rPr>
              <w:t>Něm.</w:t>
            </w:r>
          </w:p>
        </w:tc>
        <w:tc>
          <w:tcPr>
            <w:tcW w:w="655"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jc w:val="center"/>
              <w:rPr>
                <w:rFonts w:cs="Tahoma"/>
                <w:b/>
                <w:bCs/>
                <w:color w:val="FFFFFF"/>
                <w:sz w:val="14"/>
                <w:szCs w:val="14"/>
                <w:lang w:eastAsia="cs-CZ"/>
              </w:rPr>
            </w:pPr>
            <w:r w:rsidRPr="00DB1559">
              <w:rPr>
                <w:rFonts w:cs="Tahoma"/>
                <w:b/>
                <w:color w:val="FFFFFF"/>
                <w:sz w:val="14"/>
                <w:szCs w:val="14"/>
                <w:lang w:eastAsia="cs-CZ"/>
              </w:rPr>
              <w:t>Rusko</w:t>
            </w:r>
          </w:p>
        </w:tc>
        <w:tc>
          <w:tcPr>
            <w:tcW w:w="655"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jc w:val="center"/>
              <w:rPr>
                <w:rFonts w:cs="Tahoma"/>
                <w:b/>
                <w:bCs/>
                <w:color w:val="FFFFFF"/>
                <w:sz w:val="14"/>
                <w:szCs w:val="14"/>
                <w:lang w:eastAsia="cs-CZ"/>
              </w:rPr>
            </w:pPr>
            <w:r w:rsidRPr="00DB1559">
              <w:rPr>
                <w:rFonts w:cs="Tahoma"/>
                <w:b/>
                <w:color w:val="FFFFFF"/>
                <w:sz w:val="14"/>
                <w:szCs w:val="14"/>
                <w:lang w:eastAsia="cs-CZ"/>
              </w:rPr>
              <w:t>Korea</w:t>
            </w:r>
          </w:p>
        </w:tc>
        <w:tc>
          <w:tcPr>
            <w:tcW w:w="582"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jc w:val="center"/>
              <w:rPr>
                <w:rFonts w:cs="Tahoma"/>
                <w:b/>
                <w:bCs/>
                <w:color w:val="FFFFFF"/>
                <w:sz w:val="14"/>
                <w:szCs w:val="14"/>
                <w:lang w:eastAsia="cs-CZ"/>
              </w:rPr>
            </w:pPr>
            <w:r w:rsidRPr="00DB1559">
              <w:rPr>
                <w:rFonts w:cs="Tahoma"/>
                <w:b/>
                <w:color w:val="FFFFFF"/>
                <w:sz w:val="14"/>
                <w:szCs w:val="14"/>
                <w:lang w:eastAsia="cs-CZ"/>
              </w:rPr>
              <w:t>Pol.</w:t>
            </w:r>
          </w:p>
        </w:tc>
        <w:tc>
          <w:tcPr>
            <w:tcW w:w="583"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jc w:val="center"/>
              <w:rPr>
                <w:rFonts w:cs="Tahoma"/>
                <w:b/>
                <w:bCs/>
                <w:color w:val="FFFFFF"/>
                <w:sz w:val="14"/>
                <w:szCs w:val="14"/>
                <w:lang w:eastAsia="cs-CZ"/>
              </w:rPr>
            </w:pPr>
            <w:r w:rsidRPr="00DB1559">
              <w:rPr>
                <w:rFonts w:cs="Tahoma"/>
                <w:b/>
                <w:color w:val="FFFFFF"/>
                <w:sz w:val="14"/>
                <w:szCs w:val="14"/>
                <w:lang w:eastAsia="cs-CZ"/>
              </w:rPr>
              <w:t>Rak.</w:t>
            </w:r>
          </w:p>
        </w:tc>
        <w:tc>
          <w:tcPr>
            <w:tcW w:w="582"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jc w:val="center"/>
              <w:rPr>
                <w:rFonts w:cs="Tahoma"/>
                <w:b/>
                <w:bCs/>
                <w:color w:val="FFFFFF"/>
                <w:sz w:val="14"/>
                <w:szCs w:val="14"/>
                <w:lang w:eastAsia="cs-CZ"/>
              </w:rPr>
            </w:pPr>
            <w:r w:rsidRPr="00DB1559">
              <w:rPr>
                <w:rFonts w:cs="Tahoma"/>
                <w:b/>
                <w:color w:val="FFFFFF"/>
                <w:sz w:val="14"/>
                <w:szCs w:val="14"/>
                <w:lang w:eastAsia="cs-CZ"/>
              </w:rPr>
              <w:t>Fin.</w:t>
            </w:r>
          </w:p>
        </w:tc>
        <w:tc>
          <w:tcPr>
            <w:tcW w:w="648"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jc w:val="center"/>
              <w:rPr>
                <w:rFonts w:cs="Tahoma"/>
                <w:b/>
                <w:bCs/>
                <w:color w:val="FFFFFF"/>
                <w:sz w:val="14"/>
                <w:szCs w:val="14"/>
                <w:lang w:eastAsia="cs-CZ"/>
              </w:rPr>
            </w:pPr>
            <w:r w:rsidRPr="00DB1559">
              <w:rPr>
                <w:rFonts w:cs="Tahoma"/>
                <w:b/>
                <w:color w:val="FFFFFF"/>
                <w:sz w:val="14"/>
                <w:szCs w:val="14"/>
                <w:lang w:eastAsia="cs-CZ"/>
              </w:rPr>
              <w:t>ČR</w:t>
            </w:r>
          </w:p>
        </w:tc>
        <w:tc>
          <w:tcPr>
            <w:tcW w:w="550"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jc w:val="center"/>
              <w:rPr>
                <w:rFonts w:cs="Tahoma"/>
                <w:b/>
                <w:bCs/>
                <w:color w:val="FFFFFF"/>
                <w:sz w:val="14"/>
                <w:szCs w:val="14"/>
                <w:lang w:eastAsia="cs-CZ"/>
              </w:rPr>
            </w:pPr>
            <w:r w:rsidRPr="00DB1559">
              <w:rPr>
                <w:rFonts w:cs="Tahoma"/>
                <w:b/>
                <w:color w:val="FFFFFF"/>
                <w:sz w:val="14"/>
                <w:szCs w:val="14"/>
                <w:lang w:eastAsia="cs-CZ"/>
              </w:rPr>
              <w:t>Maď</w:t>
            </w:r>
          </w:p>
        </w:tc>
        <w:tc>
          <w:tcPr>
            <w:tcW w:w="550"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jc w:val="center"/>
              <w:rPr>
                <w:rFonts w:cs="Tahoma"/>
                <w:b/>
                <w:bCs/>
                <w:color w:val="FFFFFF"/>
                <w:sz w:val="14"/>
                <w:szCs w:val="14"/>
                <w:lang w:eastAsia="cs-CZ"/>
              </w:rPr>
            </w:pPr>
            <w:r w:rsidRPr="00DB1559">
              <w:rPr>
                <w:rFonts w:cs="Tahoma"/>
                <w:b/>
                <w:color w:val="FFFFFF"/>
                <w:sz w:val="14"/>
                <w:szCs w:val="14"/>
                <w:lang w:eastAsia="cs-CZ"/>
              </w:rPr>
              <w:t>SR</w:t>
            </w:r>
          </w:p>
        </w:tc>
      </w:tr>
      <w:tr w:rsidR="009D46E6" w:rsidRPr="00DB1559" w:rsidTr="00DB1559">
        <w:trPr>
          <w:trHeight w:val="224"/>
        </w:trPr>
        <w:tc>
          <w:tcPr>
            <w:tcW w:w="709" w:type="dxa"/>
            <w:tcBorders>
              <w:left w:val="nil"/>
              <w:bottom w:val="nil"/>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4"/>
                <w:szCs w:val="14"/>
                <w:lang w:eastAsia="cs-CZ"/>
              </w:rPr>
            </w:pPr>
            <w:r w:rsidRPr="00DB1559">
              <w:rPr>
                <w:rFonts w:cs="Tahoma"/>
                <w:b/>
                <w:bCs/>
                <w:color w:val="FFFFFF"/>
                <w:sz w:val="14"/>
                <w:szCs w:val="14"/>
                <w:lang w:eastAsia="cs-CZ"/>
              </w:rPr>
              <w:t>2000</w:t>
            </w:r>
          </w:p>
        </w:tc>
        <w:tc>
          <w:tcPr>
            <w:tcW w:w="851" w:type="dxa"/>
            <w:shd w:val="clear" w:color="auto" w:fill="D8D8D8"/>
            <w:noWrap/>
            <w:vAlign w:val="bottom"/>
          </w:tcPr>
          <w:p w:rsidR="009D46E6" w:rsidRPr="00DB1559" w:rsidRDefault="009D46E6" w:rsidP="00DB1559">
            <w:pPr>
              <w:jc w:val="right"/>
              <w:rPr>
                <w:rFonts w:cs="Tahoma"/>
                <w:b/>
                <w:bCs/>
                <w:color w:val="000000"/>
                <w:sz w:val="14"/>
                <w:szCs w:val="14"/>
                <w:lang w:eastAsia="cs-CZ"/>
              </w:rPr>
            </w:pPr>
            <w:r w:rsidRPr="00DB1559">
              <w:rPr>
                <w:rFonts w:cs="Tahoma"/>
                <w:b/>
                <w:bCs/>
                <w:color w:val="000000"/>
                <w:sz w:val="14"/>
                <w:szCs w:val="14"/>
                <w:lang w:eastAsia="cs-CZ"/>
              </w:rPr>
              <w:t>65 206</w:t>
            </w:r>
          </w:p>
        </w:tc>
        <w:tc>
          <w:tcPr>
            <w:tcW w:w="850" w:type="dxa"/>
            <w:shd w:val="clear" w:color="auto" w:fill="D8D8D8"/>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58 378</w:t>
            </w:r>
          </w:p>
        </w:tc>
        <w:tc>
          <w:tcPr>
            <w:tcW w:w="655" w:type="dxa"/>
            <w:shd w:val="clear" w:color="auto" w:fill="D8D8D8"/>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10 897</w:t>
            </w:r>
          </w:p>
        </w:tc>
        <w:tc>
          <w:tcPr>
            <w:tcW w:w="655" w:type="dxa"/>
            <w:shd w:val="clear" w:color="auto" w:fill="D8D8D8"/>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24 093</w:t>
            </w:r>
          </w:p>
        </w:tc>
        <w:tc>
          <w:tcPr>
            <w:tcW w:w="655" w:type="dxa"/>
            <w:shd w:val="clear" w:color="auto" w:fill="D8D8D8"/>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15 532</w:t>
            </w:r>
          </w:p>
        </w:tc>
        <w:tc>
          <w:tcPr>
            <w:tcW w:w="655" w:type="dxa"/>
            <w:shd w:val="clear" w:color="auto" w:fill="D8D8D8"/>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3 043</w:t>
            </w:r>
          </w:p>
        </w:tc>
        <w:tc>
          <w:tcPr>
            <w:tcW w:w="655" w:type="dxa"/>
            <w:shd w:val="clear" w:color="auto" w:fill="D8D8D8"/>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4 564</w:t>
            </w:r>
          </w:p>
        </w:tc>
        <w:tc>
          <w:tcPr>
            <w:tcW w:w="582" w:type="dxa"/>
            <w:shd w:val="clear" w:color="auto" w:fill="D8D8D8"/>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1 662</w:t>
            </w:r>
          </w:p>
        </w:tc>
        <w:tc>
          <w:tcPr>
            <w:tcW w:w="583" w:type="dxa"/>
            <w:shd w:val="clear" w:color="auto" w:fill="D8D8D8"/>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1 339</w:t>
            </w:r>
          </w:p>
        </w:tc>
        <w:tc>
          <w:tcPr>
            <w:tcW w:w="582" w:type="dxa"/>
            <w:shd w:val="clear" w:color="auto" w:fill="D8D8D8"/>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1 264</w:t>
            </w:r>
          </w:p>
        </w:tc>
        <w:tc>
          <w:tcPr>
            <w:tcW w:w="648" w:type="dxa"/>
            <w:shd w:val="clear" w:color="auto" w:fill="D8D8D8"/>
            <w:noWrap/>
            <w:vAlign w:val="bottom"/>
          </w:tcPr>
          <w:p w:rsidR="009D46E6" w:rsidRPr="00DB1559" w:rsidRDefault="009D46E6" w:rsidP="00DB1559">
            <w:pPr>
              <w:jc w:val="right"/>
              <w:rPr>
                <w:rFonts w:cs="Tahoma"/>
                <w:b/>
                <w:bCs/>
                <w:color w:val="000000"/>
                <w:sz w:val="14"/>
                <w:szCs w:val="14"/>
                <w:lang w:eastAsia="cs-CZ"/>
              </w:rPr>
            </w:pPr>
            <w:r w:rsidRPr="00DB1559">
              <w:rPr>
                <w:rFonts w:cs="Tahoma"/>
                <w:b/>
                <w:bCs/>
                <w:color w:val="000000"/>
                <w:sz w:val="14"/>
                <w:szCs w:val="14"/>
                <w:lang w:eastAsia="cs-CZ"/>
              </w:rPr>
              <w:t>737</w:t>
            </w:r>
          </w:p>
        </w:tc>
        <w:tc>
          <w:tcPr>
            <w:tcW w:w="550" w:type="dxa"/>
            <w:shd w:val="clear" w:color="auto" w:fill="D8D8D8"/>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489</w:t>
            </w:r>
          </w:p>
        </w:tc>
        <w:tc>
          <w:tcPr>
            <w:tcW w:w="550" w:type="dxa"/>
            <w:shd w:val="clear" w:color="auto" w:fill="D8D8D8"/>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131</w:t>
            </w:r>
          </w:p>
        </w:tc>
      </w:tr>
      <w:tr w:rsidR="009D46E6" w:rsidRPr="00DB1559" w:rsidTr="00DB1559">
        <w:trPr>
          <w:trHeight w:val="224"/>
        </w:trPr>
        <w:tc>
          <w:tcPr>
            <w:tcW w:w="709" w:type="dxa"/>
            <w:tcBorders>
              <w:left w:val="nil"/>
              <w:bottom w:val="nil"/>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4"/>
                <w:szCs w:val="14"/>
                <w:lang w:eastAsia="cs-CZ"/>
              </w:rPr>
            </w:pPr>
            <w:r w:rsidRPr="00DB1559">
              <w:rPr>
                <w:rFonts w:cs="Tahoma"/>
                <w:b/>
                <w:bCs/>
                <w:color w:val="FFFFFF"/>
                <w:sz w:val="14"/>
                <w:szCs w:val="14"/>
                <w:lang w:eastAsia="cs-CZ"/>
              </w:rPr>
              <w:t>2007</w:t>
            </w:r>
          </w:p>
        </w:tc>
        <w:tc>
          <w:tcPr>
            <w:tcW w:w="851" w:type="dxa"/>
            <w:noWrap/>
            <w:vAlign w:val="bottom"/>
          </w:tcPr>
          <w:p w:rsidR="009D46E6" w:rsidRPr="00DB1559" w:rsidRDefault="009D46E6" w:rsidP="00DB1559">
            <w:pPr>
              <w:jc w:val="right"/>
              <w:rPr>
                <w:rFonts w:cs="Tahoma"/>
                <w:b/>
                <w:bCs/>
                <w:color w:val="000000"/>
                <w:sz w:val="14"/>
                <w:szCs w:val="14"/>
                <w:lang w:eastAsia="cs-CZ"/>
              </w:rPr>
            </w:pPr>
            <w:r w:rsidRPr="00DB1559">
              <w:rPr>
                <w:rFonts w:cs="Tahoma"/>
                <w:b/>
                <w:bCs/>
                <w:color w:val="000000"/>
                <w:sz w:val="14"/>
                <w:szCs w:val="14"/>
                <w:lang w:eastAsia="cs-CZ"/>
              </w:rPr>
              <w:t>97 179</w:t>
            </w:r>
          </w:p>
        </w:tc>
        <w:tc>
          <w:tcPr>
            <w:tcW w:w="850" w:type="dxa"/>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95 623</w:t>
            </w:r>
          </w:p>
        </w:tc>
        <w:tc>
          <w:tcPr>
            <w:tcW w:w="655" w:type="dxa"/>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28 359</w:t>
            </w:r>
          </w:p>
        </w:tc>
        <w:tc>
          <w:tcPr>
            <w:tcW w:w="655" w:type="dxa"/>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30 075</w:t>
            </w:r>
          </w:p>
        </w:tc>
        <w:tc>
          <w:tcPr>
            <w:tcW w:w="655" w:type="dxa"/>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22 209</w:t>
            </w:r>
          </w:p>
        </w:tc>
        <w:tc>
          <w:tcPr>
            <w:tcW w:w="655" w:type="dxa"/>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9 407</w:t>
            </w:r>
          </w:p>
        </w:tc>
        <w:tc>
          <w:tcPr>
            <w:tcW w:w="655" w:type="dxa"/>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9 084</w:t>
            </w:r>
          </w:p>
        </w:tc>
        <w:tc>
          <w:tcPr>
            <w:tcW w:w="582" w:type="dxa"/>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2 510</w:t>
            </w:r>
          </w:p>
        </w:tc>
        <w:tc>
          <w:tcPr>
            <w:tcW w:w="583" w:type="dxa"/>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2 311</w:t>
            </w:r>
          </w:p>
        </w:tc>
        <w:tc>
          <w:tcPr>
            <w:tcW w:w="582" w:type="dxa"/>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1 800</w:t>
            </w:r>
          </w:p>
        </w:tc>
        <w:tc>
          <w:tcPr>
            <w:tcW w:w="648" w:type="dxa"/>
            <w:noWrap/>
            <w:vAlign w:val="bottom"/>
          </w:tcPr>
          <w:p w:rsidR="009D46E6" w:rsidRPr="00DB1559" w:rsidRDefault="009D46E6" w:rsidP="00DB1559">
            <w:pPr>
              <w:jc w:val="right"/>
              <w:rPr>
                <w:rFonts w:cs="Tahoma"/>
                <w:b/>
                <w:bCs/>
                <w:color w:val="000000"/>
                <w:sz w:val="14"/>
                <w:szCs w:val="14"/>
                <w:lang w:eastAsia="cs-CZ"/>
              </w:rPr>
            </w:pPr>
            <w:r w:rsidRPr="00DB1559">
              <w:rPr>
                <w:rFonts w:cs="Tahoma"/>
                <w:b/>
                <w:bCs/>
                <w:color w:val="000000"/>
                <w:sz w:val="14"/>
                <w:szCs w:val="14"/>
                <w:lang w:eastAsia="cs-CZ"/>
              </w:rPr>
              <w:t>1 468</w:t>
            </w:r>
          </w:p>
        </w:tc>
        <w:tc>
          <w:tcPr>
            <w:tcW w:w="550" w:type="dxa"/>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889</w:t>
            </w:r>
          </w:p>
        </w:tc>
        <w:tc>
          <w:tcPr>
            <w:tcW w:w="550" w:type="dxa"/>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313</w:t>
            </w:r>
          </w:p>
        </w:tc>
      </w:tr>
      <w:tr w:rsidR="009D46E6" w:rsidRPr="00DB1559" w:rsidTr="00DB1559">
        <w:trPr>
          <w:trHeight w:val="224"/>
        </w:trPr>
        <w:tc>
          <w:tcPr>
            <w:tcW w:w="709" w:type="dxa"/>
            <w:tcBorders>
              <w:left w:val="nil"/>
              <w:bottom w:val="nil"/>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4"/>
                <w:szCs w:val="14"/>
                <w:lang w:eastAsia="cs-CZ"/>
              </w:rPr>
            </w:pPr>
            <w:r w:rsidRPr="00DB1559">
              <w:rPr>
                <w:rFonts w:cs="Tahoma"/>
                <w:b/>
                <w:bCs/>
                <w:color w:val="FFFFFF"/>
                <w:sz w:val="14"/>
                <w:szCs w:val="14"/>
                <w:lang w:eastAsia="cs-CZ"/>
              </w:rPr>
              <w:t>2011</w:t>
            </w:r>
          </w:p>
        </w:tc>
        <w:tc>
          <w:tcPr>
            <w:tcW w:w="851" w:type="dxa"/>
            <w:shd w:val="clear" w:color="auto" w:fill="D8D8D8"/>
            <w:noWrap/>
            <w:vAlign w:val="bottom"/>
          </w:tcPr>
          <w:p w:rsidR="009D46E6" w:rsidRPr="00DB1559" w:rsidRDefault="009D46E6" w:rsidP="00DB1559">
            <w:pPr>
              <w:jc w:val="right"/>
              <w:rPr>
                <w:rFonts w:cs="Tahoma"/>
                <w:b/>
                <w:bCs/>
                <w:color w:val="000000"/>
                <w:sz w:val="14"/>
                <w:szCs w:val="14"/>
                <w:lang w:eastAsia="cs-CZ"/>
              </w:rPr>
            </w:pPr>
            <w:r w:rsidRPr="00DB1559">
              <w:rPr>
                <w:rFonts w:cs="Tahoma"/>
                <w:b/>
                <w:bCs/>
                <w:color w:val="000000"/>
                <w:sz w:val="14"/>
                <w:szCs w:val="14"/>
                <w:lang w:eastAsia="cs-CZ"/>
              </w:rPr>
              <w:t>119 134</w:t>
            </w:r>
          </w:p>
        </w:tc>
        <w:tc>
          <w:tcPr>
            <w:tcW w:w="850" w:type="dxa"/>
            <w:shd w:val="clear" w:color="auto" w:fill="D8D8D8"/>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113 544</w:t>
            </w:r>
          </w:p>
        </w:tc>
        <w:tc>
          <w:tcPr>
            <w:tcW w:w="655" w:type="dxa"/>
            <w:shd w:val="clear" w:color="auto" w:fill="D8D8D8"/>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50 507</w:t>
            </w:r>
          </w:p>
        </w:tc>
        <w:tc>
          <w:tcPr>
            <w:tcW w:w="655" w:type="dxa"/>
            <w:shd w:val="clear" w:color="auto" w:fill="D8D8D8"/>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31 632</w:t>
            </w:r>
          </w:p>
        </w:tc>
        <w:tc>
          <w:tcPr>
            <w:tcW w:w="655" w:type="dxa"/>
            <w:shd w:val="clear" w:color="auto" w:fill="D8D8D8"/>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30 405</w:t>
            </w:r>
          </w:p>
        </w:tc>
        <w:tc>
          <w:tcPr>
            <w:tcW w:w="655" w:type="dxa"/>
            <w:shd w:val="clear" w:color="auto" w:fill="D8D8D8"/>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13 622</w:t>
            </w:r>
          </w:p>
        </w:tc>
        <w:tc>
          <w:tcPr>
            <w:tcW w:w="655" w:type="dxa"/>
            <w:shd w:val="clear" w:color="auto" w:fill="D8D8D8"/>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13 067</w:t>
            </w:r>
          </w:p>
        </w:tc>
        <w:tc>
          <w:tcPr>
            <w:tcW w:w="582" w:type="dxa"/>
            <w:shd w:val="clear" w:color="auto" w:fill="D8D8D8"/>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4 337</w:t>
            </w:r>
          </w:p>
        </w:tc>
        <w:tc>
          <w:tcPr>
            <w:tcW w:w="583" w:type="dxa"/>
            <w:shd w:val="clear" w:color="auto" w:fill="D8D8D8"/>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3 068</w:t>
            </w:r>
          </w:p>
        </w:tc>
        <w:tc>
          <w:tcPr>
            <w:tcW w:w="582" w:type="dxa"/>
            <w:shd w:val="clear" w:color="auto" w:fill="D8D8D8"/>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2 201</w:t>
            </w:r>
          </w:p>
        </w:tc>
        <w:tc>
          <w:tcPr>
            <w:tcW w:w="648" w:type="dxa"/>
            <w:shd w:val="clear" w:color="auto" w:fill="D8D8D8"/>
            <w:noWrap/>
            <w:vAlign w:val="bottom"/>
          </w:tcPr>
          <w:p w:rsidR="009D46E6" w:rsidRPr="00DB1559" w:rsidRDefault="009D46E6" w:rsidP="00DB1559">
            <w:pPr>
              <w:jc w:val="right"/>
              <w:rPr>
                <w:rFonts w:cs="Tahoma"/>
                <w:b/>
                <w:bCs/>
                <w:color w:val="000000"/>
                <w:sz w:val="14"/>
                <w:szCs w:val="14"/>
                <w:lang w:eastAsia="cs-CZ"/>
              </w:rPr>
            </w:pPr>
            <w:r w:rsidRPr="00DB1559">
              <w:rPr>
                <w:rFonts w:cs="Tahoma"/>
                <w:b/>
                <w:bCs/>
                <w:color w:val="000000"/>
                <w:sz w:val="14"/>
                <w:szCs w:val="14"/>
                <w:lang w:eastAsia="cs-CZ"/>
              </w:rPr>
              <w:t>1 992</w:t>
            </w:r>
          </w:p>
        </w:tc>
        <w:tc>
          <w:tcPr>
            <w:tcW w:w="550" w:type="dxa"/>
            <w:shd w:val="clear" w:color="auto" w:fill="D8D8D8"/>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928</w:t>
            </w:r>
          </w:p>
        </w:tc>
        <w:tc>
          <w:tcPr>
            <w:tcW w:w="550" w:type="dxa"/>
            <w:shd w:val="clear" w:color="auto" w:fill="D8D8D8"/>
            <w:noWrap/>
            <w:vAlign w:val="bottom"/>
          </w:tcPr>
          <w:p w:rsidR="009D46E6" w:rsidRPr="00DB1559" w:rsidRDefault="009D46E6" w:rsidP="00DB1559">
            <w:pPr>
              <w:jc w:val="right"/>
              <w:rPr>
                <w:rFonts w:cs="Tahoma"/>
                <w:color w:val="000000"/>
                <w:sz w:val="14"/>
                <w:szCs w:val="14"/>
                <w:lang w:eastAsia="cs-CZ"/>
              </w:rPr>
            </w:pPr>
            <w:r w:rsidRPr="00DB1559">
              <w:rPr>
                <w:rFonts w:cs="Tahoma"/>
                <w:color w:val="000000"/>
                <w:sz w:val="14"/>
                <w:szCs w:val="14"/>
                <w:lang w:eastAsia="cs-CZ"/>
              </w:rPr>
              <w:t>552</w:t>
            </w:r>
          </w:p>
        </w:tc>
      </w:tr>
      <w:tr w:rsidR="009D46E6" w:rsidRPr="00DB1559" w:rsidTr="00DB1559">
        <w:trPr>
          <w:trHeight w:val="224"/>
        </w:trPr>
        <w:tc>
          <w:tcPr>
            <w:tcW w:w="709" w:type="dxa"/>
            <w:tcBorders>
              <w:left w:val="nil"/>
              <w:bottom w:val="nil"/>
              <w:right w:val="nil"/>
            </w:tcBorders>
            <w:shd w:val="clear" w:color="auto" w:fill="4F81BD"/>
            <w:noWrap/>
            <w:vAlign w:val="center"/>
          </w:tcPr>
          <w:p w:rsidR="009D46E6" w:rsidRPr="00DB1559" w:rsidRDefault="009D46E6" w:rsidP="00DB1559">
            <w:pPr>
              <w:spacing w:after="0" w:line="240" w:lineRule="auto"/>
              <w:jc w:val="center"/>
              <w:rPr>
                <w:rFonts w:cs="Tahoma"/>
                <w:b/>
                <w:bCs/>
                <w:i/>
                <w:iCs/>
                <w:color w:val="FFFFFF"/>
                <w:sz w:val="14"/>
                <w:szCs w:val="14"/>
                <w:lang w:eastAsia="cs-CZ"/>
              </w:rPr>
            </w:pPr>
            <w:r w:rsidRPr="00DB1559">
              <w:rPr>
                <w:rFonts w:cs="Tahoma"/>
                <w:b/>
                <w:bCs/>
                <w:i/>
                <w:iCs/>
                <w:color w:val="FFFFFF"/>
                <w:sz w:val="14"/>
                <w:szCs w:val="14"/>
                <w:lang w:eastAsia="cs-CZ"/>
              </w:rPr>
              <w:t>2000</w:t>
            </w:r>
          </w:p>
        </w:tc>
        <w:tc>
          <w:tcPr>
            <w:tcW w:w="851" w:type="dxa"/>
            <w:noWrap/>
            <w:vAlign w:val="bottom"/>
          </w:tcPr>
          <w:p w:rsidR="009D46E6" w:rsidRPr="00DB1559" w:rsidRDefault="009D46E6" w:rsidP="00DB1559">
            <w:pPr>
              <w:jc w:val="right"/>
              <w:rPr>
                <w:rFonts w:cs="Tahoma"/>
                <w:b/>
                <w:bCs/>
                <w:i/>
                <w:iCs/>
                <w:color w:val="000000"/>
                <w:sz w:val="14"/>
                <w:szCs w:val="14"/>
                <w:lang w:eastAsia="cs-CZ"/>
              </w:rPr>
            </w:pPr>
            <w:r w:rsidRPr="00DB1559">
              <w:rPr>
                <w:rFonts w:cs="Tahoma"/>
                <w:b/>
                <w:bCs/>
                <w:i/>
                <w:iCs/>
                <w:color w:val="000000"/>
                <w:sz w:val="14"/>
                <w:szCs w:val="14"/>
                <w:lang w:eastAsia="cs-CZ"/>
              </w:rPr>
              <w:t>100,0</w:t>
            </w:r>
          </w:p>
        </w:tc>
        <w:tc>
          <w:tcPr>
            <w:tcW w:w="850" w:type="dxa"/>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89,5</w:t>
            </w:r>
          </w:p>
        </w:tc>
        <w:tc>
          <w:tcPr>
            <w:tcW w:w="655" w:type="dxa"/>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16,7</w:t>
            </w:r>
          </w:p>
        </w:tc>
        <w:tc>
          <w:tcPr>
            <w:tcW w:w="655" w:type="dxa"/>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36,9</w:t>
            </w:r>
          </w:p>
        </w:tc>
        <w:tc>
          <w:tcPr>
            <w:tcW w:w="655" w:type="dxa"/>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23,8</w:t>
            </w:r>
          </w:p>
        </w:tc>
        <w:tc>
          <w:tcPr>
            <w:tcW w:w="655" w:type="dxa"/>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4,7</w:t>
            </w:r>
          </w:p>
        </w:tc>
        <w:tc>
          <w:tcPr>
            <w:tcW w:w="655" w:type="dxa"/>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7,0</w:t>
            </w:r>
          </w:p>
        </w:tc>
        <w:tc>
          <w:tcPr>
            <w:tcW w:w="582" w:type="dxa"/>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2,5</w:t>
            </w:r>
          </w:p>
        </w:tc>
        <w:tc>
          <w:tcPr>
            <w:tcW w:w="583" w:type="dxa"/>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2,1</w:t>
            </w:r>
          </w:p>
        </w:tc>
        <w:tc>
          <w:tcPr>
            <w:tcW w:w="582" w:type="dxa"/>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1,9</w:t>
            </w:r>
          </w:p>
        </w:tc>
        <w:tc>
          <w:tcPr>
            <w:tcW w:w="648" w:type="dxa"/>
            <w:noWrap/>
            <w:vAlign w:val="bottom"/>
          </w:tcPr>
          <w:p w:rsidR="009D46E6" w:rsidRPr="00DB1559" w:rsidRDefault="009D46E6" w:rsidP="00DB1559">
            <w:pPr>
              <w:jc w:val="right"/>
              <w:rPr>
                <w:rFonts w:cs="Tahoma"/>
                <w:b/>
                <w:bCs/>
                <w:i/>
                <w:iCs/>
                <w:color w:val="000000"/>
                <w:sz w:val="14"/>
                <w:szCs w:val="14"/>
                <w:lang w:eastAsia="cs-CZ"/>
              </w:rPr>
            </w:pPr>
            <w:r w:rsidRPr="00DB1559">
              <w:rPr>
                <w:rFonts w:cs="Tahoma"/>
                <w:b/>
                <w:bCs/>
                <w:i/>
                <w:iCs/>
                <w:color w:val="000000"/>
                <w:sz w:val="14"/>
                <w:szCs w:val="14"/>
                <w:lang w:eastAsia="cs-CZ"/>
              </w:rPr>
              <w:t>1,13</w:t>
            </w:r>
          </w:p>
        </w:tc>
        <w:tc>
          <w:tcPr>
            <w:tcW w:w="550" w:type="dxa"/>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0,75</w:t>
            </w:r>
          </w:p>
        </w:tc>
        <w:tc>
          <w:tcPr>
            <w:tcW w:w="550" w:type="dxa"/>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0,20</w:t>
            </w:r>
          </w:p>
        </w:tc>
      </w:tr>
      <w:tr w:rsidR="009D46E6" w:rsidRPr="00DB1559" w:rsidTr="00DB1559">
        <w:trPr>
          <w:trHeight w:val="224"/>
        </w:trPr>
        <w:tc>
          <w:tcPr>
            <w:tcW w:w="709" w:type="dxa"/>
            <w:tcBorders>
              <w:left w:val="nil"/>
              <w:bottom w:val="nil"/>
              <w:right w:val="nil"/>
            </w:tcBorders>
            <w:shd w:val="clear" w:color="auto" w:fill="4F81BD"/>
            <w:noWrap/>
            <w:vAlign w:val="center"/>
          </w:tcPr>
          <w:p w:rsidR="009D46E6" w:rsidRPr="00DB1559" w:rsidRDefault="009D46E6" w:rsidP="00DB1559">
            <w:pPr>
              <w:spacing w:after="0" w:line="240" w:lineRule="auto"/>
              <w:jc w:val="center"/>
              <w:rPr>
                <w:rFonts w:cs="Tahoma"/>
                <w:b/>
                <w:bCs/>
                <w:i/>
                <w:iCs/>
                <w:color w:val="FFFFFF"/>
                <w:sz w:val="14"/>
                <w:szCs w:val="14"/>
                <w:lang w:eastAsia="cs-CZ"/>
              </w:rPr>
            </w:pPr>
            <w:r w:rsidRPr="00DB1559">
              <w:rPr>
                <w:rFonts w:cs="Tahoma"/>
                <w:b/>
                <w:bCs/>
                <w:i/>
                <w:iCs/>
                <w:color w:val="FFFFFF"/>
                <w:sz w:val="14"/>
                <w:szCs w:val="14"/>
                <w:lang w:eastAsia="cs-CZ"/>
              </w:rPr>
              <w:t>2007</w:t>
            </w:r>
          </w:p>
        </w:tc>
        <w:tc>
          <w:tcPr>
            <w:tcW w:w="851" w:type="dxa"/>
            <w:shd w:val="clear" w:color="auto" w:fill="D8D8D8"/>
            <w:noWrap/>
            <w:vAlign w:val="bottom"/>
          </w:tcPr>
          <w:p w:rsidR="009D46E6" w:rsidRPr="00DB1559" w:rsidRDefault="009D46E6" w:rsidP="00DB1559">
            <w:pPr>
              <w:jc w:val="right"/>
              <w:rPr>
                <w:rFonts w:cs="Tahoma"/>
                <w:b/>
                <w:bCs/>
                <w:i/>
                <w:iCs/>
                <w:color w:val="000000"/>
                <w:sz w:val="14"/>
                <w:szCs w:val="14"/>
                <w:lang w:eastAsia="cs-CZ"/>
              </w:rPr>
            </w:pPr>
            <w:r w:rsidRPr="00DB1559">
              <w:rPr>
                <w:rFonts w:cs="Tahoma"/>
                <w:b/>
                <w:bCs/>
                <w:i/>
                <w:iCs/>
                <w:color w:val="000000"/>
                <w:sz w:val="14"/>
                <w:szCs w:val="14"/>
                <w:lang w:eastAsia="cs-CZ"/>
              </w:rPr>
              <w:t>100,0</w:t>
            </w:r>
          </w:p>
        </w:tc>
        <w:tc>
          <w:tcPr>
            <w:tcW w:w="850" w:type="dxa"/>
            <w:shd w:val="clear" w:color="auto" w:fill="D8D8D8"/>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98,4</w:t>
            </w:r>
          </w:p>
        </w:tc>
        <w:tc>
          <w:tcPr>
            <w:tcW w:w="655" w:type="dxa"/>
            <w:shd w:val="clear" w:color="auto" w:fill="D8D8D8"/>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29,2</w:t>
            </w:r>
          </w:p>
        </w:tc>
        <w:tc>
          <w:tcPr>
            <w:tcW w:w="655" w:type="dxa"/>
            <w:shd w:val="clear" w:color="auto" w:fill="D8D8D8"/>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30,9</w:t>
            </w:r>
          </w:p>
        </w:tc>
        <w:tc>
          <w:tcPr>
            <w:tcW w:w="655" w:type="dxa"/>
            <w:shd w:val="clear" w:color="auto" w:fill="D8D8D8"/>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22,9</w:t>
            </w:r>
          </w:p>
        </w:tc>
        <w:tc>
          <w:tcPr>
            <w:tcW w:w="655" w:type="dxa"/>
            <w:shd w:val="clear" w:color="auto" w:fill="D8D8D8"/>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9,7</w:t>
            </w:r>
          </w:p>
        </w:tc>
        <w:tc>
          <w:tcPr>
            <w:tcW w:w="655" w:type="dxa"/>
            <w:shd w:val="clear" w:color="auto" w:fill="D8D8D8"/>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9,3</w:t>
            </w:r>
          </w:p>
        </w:tc>
        <w:tc>
          <w:tcPr>
            <w:tcW w:w="582" w:type="dxa"/>
            <w:shd w:val="clear" w:color="auto" w:fill="D8D8D8"/>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2,6</w:t>
            </w:r>
          </w:p>
        </w:tc>
        <w:tc>
          <w:tcPr>
            <w:tcW w:w="583" w:type="dxa"/>
            <w:shd w:val="clear" w:color="auto" w:fill="D8D8D8"/>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2,4</w:t>
            </w:r>
          </w:p>
        </w:tc>
        <w:tc>
          <w:tcPr>
            <w:tcW w:w="582" w:type="dxa"/>
            <w:shd w:val="clear" w:color="auto" w:fill="D8D8D8"/>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1,9</w:t>
            </w:r>
          </w:p>
        </w:tc>
        <w:tc>
          <w:tcPr>
            <w:tcW w:w="648" w:type="dxa"/>
            <w:shd w:val="clear" w:color="auto" w:fill="D8D8D8"/>
            <w:noWrap/>
            <w:vAlign w:val="bottom"/>
          </w:tcPr>
          <w:p w:rsidR="009D46E6" w:rsidRPr="00DB1559" w:rsidRDefault="009D46E6" w:rsidP="00DB1559">
            <w:pPr>
              <w:jc w:val="right"/>
              <w:rPr>
                <w:rFonts w:cs="Tahoma"/>
                <w:b/>
                <w:bCs/>
                <w:i/>
                <w:iCs/>
                <w:color w:val="000000"/>
                <w:sz w:val="14"/>
                <w:szCs w:val="14"/>
                <w:lang w:eastAsia="cs-CZ"/>
              </w:rPr>
            </w:pPr>
            <w:r w:rsidRPr="00DB1559">
              <w:rPr>
                <w:rFonts w:cs="Tahoma"/>
                <w:b/>
                <w:bCs/>
                <w:i/>
                <w:iCs/>
                <w:color w:val="000000"/>
                <w:sz w:val="14"/>
                <w:szCs w:val="14"/>
                <w:lang w:eastAsia="cs-CZ"/>
              </w:rPr>
              <w:t>1,51</w:t>
            </w:r>
          </w:p>
        </w:tc>
        <w:tc>
          <w:tcPr>
            <w:tcW w:w="550" w:type="dxa"/>
            <w:shd w:val="clear" w:color="auto" w:fill="D8D8D8"/>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0,91</w:t>
            </w:r>
          </w:p>
        </w:tc>
        <w:tc>
          <w:tcPr>
            <w:tcW w:w="550" w:type="dxa"/>
            <w:shd w:val="clear" w:color="auto" w:fill="D8D8D8"/>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0,32</w:t>
            </w:r>
          </w:p>
        </w:tc>
      </w:tr>
      <w:tr w:rsidR="009D46E6" w:rsidRPr="00DB1559" w:rsidTr="00DB1559">
        <w:trPr>
          <w:trHeight w:val="239"/>
        </w:trPr>
        <w:tc>
          <w:tcPr>
            <w:tcW w:w="709" w:type="dxa"/>
            <w:tcBorders>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i/>
                <w:iCs/>
                <w:color w:val="FFFFFF"/>
                <w:sz w:val="14"/>
                <w:szCs w:val="14"/>
                <w:lang w:eastAsia="cs-CZ"/>
              </w:rPr>
            </w:pPr>
            <w:r w:rsidRPr="00DB1559">
              <w:rPr>
                <w:rFonts w:cs="Tahoma"/>
                <w:b/>
                <w:bCs/>
                <w:i/>
                <w:iCs/>
                <w:color w:val="FFFFFF"/>
                <w:sz w:val="14"/>
                <w:szCs w:val="14"/>
                <w:lang w:eastAsia="cs-CZ"/>
              </w:rPr>
              <w:t>2011</w:t>
            </w:r>
          </w:p>
        </w:tc>
        <w:tc>
          <w:tcPr>
            <w:tcW w:w="851" w:type="dxa"/>
            <w:tcBorders>
              <w:bottom w:val="single" w:sz="18" w:space="0" w:color="auto"/>
            </w:tcBorders>
            <w:noWrap/>
            <w:vAlign w:val="bottom"/>
          </w:tcPr>
          <w:p w:rsidR="009D46E6" w:rsidRPr="00DB1559" w:rsidRDefault="009D46E6" w:rsidP="00DB1559">
            <w:pPr>
              <w:jc w:val="right"/>
              <w:rPr>
                <w:rFonts w:cs="Tahoma"/>
                <w:b/>
                <w:bCs/>
                <w:i/>
                <w:iCs/>
                <w:color w:val="000000"/>
                <w:sz w:val="14"/>
                <w:szCs w:val="14"/>
                <w:lang w:eastAsia="cs-CZ"/>
              </w:rPr>
            </w:pPr>
            <w:r w:rsidRPr="00DB1559">
              <w:rPr>
                <w:rFonts w:cs="Tahoma"/>
                <w:b/>
                <w:bCs/>
                <w:i/>
                <w:iCs/>
                <w:color w:val="000000"/>
                <w:sz w:val="14"/>
                <w:szCs w:val="14"/>
                <w:lang w:eastAsia="cs-CZ"/>
              </w:rPr>
              <w:t>100,0</w:t>
            </w:r>
          </w:p>
        </w:tc>
        <w:tc>
          <w:tcPr>
            <w:tcW w:w="850" w:type="dxa"/>
            <w:tcBorders>
              <w:bottom w:val="single" w:sz="18" w:space="0" w:color="auto"/>
            </w:tcBorders>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95,3</w:t>
            </w:r>
          </w:p>
        </w:tc>
        <w:tc>
          <w:tcPr>
            <w:tcW w:w="655" w:type="dxa"/>
            <w:tcBorders>
              <w:bottom w:val="single" w:sz="18" w:space="0" w:color="auto"/>
            </w:tcBorders>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42,4</w:t>
            </w:r>
          </w:p>
        </w:tc>
        <w:tc>
          <w:tcPr>
            <w:tcW w:w="655" w:type="dxa"/>
            <w:tcBorders>
              <w:bottom w:val="single" w:sz="18" w:space="0" w:color="auto"/>
            </w:tcBorders>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26,6</w:t>
            </w:r>
          </w:p>
        </w:tc>
        <w:tc>
          <w:tcPr>
            <w:tcW w:w="655" w:type="dxa"/>
            <w:tcBorders>
              <w:bottom w:val="single" w:sz="18" w:space="0" w:color="auto"/>
            </w:tcBorders>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25,5</w:t>
            </w:r>
          </w:p>
        </w:tc>
        <w:tc>
          <w:tcPr>
            <w:tcW w:w="655" w:type="dxa"/>
            <w:tcBorders>
              <w:bottom w:val="single" w:sz="18" w:space="0" w:color="auto"/>
            </w:tcBorders>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11,4</w:t>
            </w:r>
          </w:p>
        </w:tc>
        <w:tc>
          <w:tcPr>
            <w:tcW w:w="655" w:type="dxa"/>
            <w:tcBorders>
              <w:bottom w:val="single" w:sz="18" w:space="0" w:color="auto"/>
            </w:tcBorders>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11,0</w:t>
            </w:r>
          </w:p>
        </w:tc>
        <w:tc>
          <w:tcPr>
            <w:tcW w:w="582" w:type="dxa"/>
            <w:tcBorders>
              <w:bottom w:val="single" w:sz="18" w:space="0" w:color="auto"/>
            </w:tcBorders>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3,6</w:t>
            </w:r>
          </w:p>
        </w:tc>
        <w:tc>
          <w:tcPr>
            <w:tcW w:w="583" w:type="dxa"/>
            <w:tcBorders>
              <w:bottom w:val="single" w:sz="18" w:space="0" w:color="auto"/>
            </w:tcBorders>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2,6</w:t>
            </w:r>
          </w:p>
        </w:tc>
        <w:tc>
          <w:tcPr>
            <w:tcW w:w="582" w:type="dxa"/>
            <w:tcBorders>
              <w:bottom w:val="single" w:sz="18" w:space="0" w:color="auto"/>
            </w:tcBorders>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1,8</w:t>
            </w:r>
          </w:p>
        </w:tc>
        <w:tc>
          <w:tcPr>
            <w:tcW w:w="648" w:type="dxa"/>
            <w:tcBorders>
              <w:bottom w:val="single" w:sz="18" w:space="0" w:color="auto"/>
            </w:tcBorders>
            <w:noWrap/>
            <w:vAlign w:val="bottom"/>
          </w:tcPr>
          <w:p w:rsidR="009D46E6" w:rsidRPr="00DB1559" w:rsidRDefault="009D46E6" w:rsidP="00DB1559">
            <w:pPr>
              <w:jc w:val="right"/>
              <w:rPr>
                <w:rFonts w:cs="Tahoma"/>
                <w:b/>
                <w:bCs/>
                <w:i/>
                <w:iCs/>
                <w:color w:val="000000"/>
                <w:sz w:val="14"/>
                <w:szCs w:val="14"/>
                <w:lang w:eastAsia="cs-CZ"/>
              </w:rPr>
            </w:pPr>
            <w:r w:rsidRPr="00DB1559">
              <w:rPr>
                <w:rFonts w:cs="Tahoma"/>
                <w:b/>
                <w:bCs/>
                <w:i/>
                <w:iCs/>
                <w:color w:val="000000"/>
                <w:sz w:val="14"/>
                <w:szCs w:val="14"/>
                <w:lang w:eastAsia="cs-CZ"/>
              </w:rPr>
              <w:t>1,67</w:t>
            </w:r>
          </w:p>
        </w:tc>
        <w:tc>
          <w:tcPr>
            <w:tcW w:w="550" w:type="dxa"/>
            <w:tcBorders>
              <w:bottom w:val="single" w:sz="18" w:space="0" w:color="auto"/>
            </w:tcBorders>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0,78</w:t>
            </w:r>
          </w:p>
        </w:tc>
        <w:tc>
          <w:tcPr>
            <w:tcW w:w="550" w:type="dxa"/>
            <w:tcBorders>
              <w:bottom w:val="single" w:sz="18" w:space="0" w:color="auto"/>
            </w:tcBorders>
            <w:noWrap/>
            <w:vAlign w:val="bottom"/>
          </w:tcPr>
          <w:p w:rsidR="009D46E6" w:rsidRPr="00DB1559" w:rsidRDefault="009D46E6" w:rsidP="00DB1559">
            <w:pPr>
              <w:jc w:val="right"/>
              <w:rPr>
                <w:rFonts w:cs="Tahoma"/>
                <w:i/>
                <w:iCs/>
                <w:color w:val="000000"/>
                <w:sz w:val="14"/>
                <w:szCs w:val="14"/>
                <w:lang w:eastAsia="cs-CZ"/>
              </w:rPr>
            </w:pPr>
            <w:r w:rsidRPr="00DB1559">
              <w:rPr>
                <w:rFonts w:cs="Tahoma"/>
                <w:i/>
                <w:iCs/>
                <w:color w:val="000000"/>
                <w:sz w:val="14"/>
                <w:szCs w:val="14"/>
                <w:lang w:eastAsia="cs-CZ"/>
              </w:rPr>
              <w:t>0,46</w:t>
            </w:r>
          </w:p>
        </w:tc>
      </w:tr>
    </w:tbl>
    <w:p w:rsidR="009D46E6" w:rsidRDefault="009D46E6" w:rsidP="000753E2">
      <w:pPr>
        <w:pStyle w:val="Zdroj"/>
      </w:pPr>
      <w:r>
        <w:t>Zdroj: OECD MSTI 2013/1, Eurostat září 2013 a vlastní dopočty ČSÚ</w:t>
      </w:r>
    </w:p>
    <w:p w:rsidR="009D46E6" w:rsidRDefault="009D46E6" w:rsidP="00070A59"/>
    <w:p w:rsidR="009D46E6" w:rsidRDefault="009D46E6" w:rsidP="00070A59">
      <w:r>
        <w:t>VaV ve vládním sektoru a vysokoškolském sektoru hraje významnou roli (s nejméně 40 % podílem) ve vztahu k celkovým výdajům na VaV nejen v nových členských zemích EU (kromě Maďarska, Estonska a Slovinska), ale i v Řecku, Španělsku, Portugalsku, Itálii a možná překvapivě i v Nizozemsku (Graf A.18). Kromě Nizozemska s významným postavením vysokoškolského sektoru, jde však o státy s relativně nízkou celkovou intenzitou VaV.</w:t>
      </w:r>
    </w:p>
    <w:p w:rsidR="009D46E6" w:rsidRDefault="009D46E6" w:rsidP="00070A59">
      <w:r>
        <w:t>Postavení vysokoškolského sektoru v rámci veřejného VaV je v zemích EU nejsilnější v Dánsku, Maltě, Irsku a ve Švédsku, mimo státy EU pak třeba ve Švýcarsku</w:t>
      </w:r>
      <w:r>
        <w:rPr>
          <w:rStyle w:val="FootnoteReference"/>
          <w:rFonts w:cs="MetaPro-Normal"/>
        </w:rPr>
        <w:footnoteReference w:id="14"/>
      </w:r>
      <w:r>
        <w:t>. Je jistě zajímavou skutečností, že v případě Dánska, byly před deseti lety výdaje na VaV ve vládním a vysokoškolském sektoru téměř vyrovnané. Takřka ve všech sledovaných zemích, včetně České republiky, došlo během posledních deseti let k menšímu či většímu posílení významu vysokoškolského sektoru ve struktuře veřejného výzkumu.</w:t>
      </w:r>
    </w:p>
    <w:p w:rsidR="009D46E6" w:rsidRDefault="009D46E6" w:rsidP="00070A59">
      <w:r>
        <w:t xml:space="preserve">Naopak ve většině nových států EU (kromě pobaltských zemí) hraje významnější roli vládní sektor, a to především díky silnému postavení institucí typu AV ČR (např. v Polsku nebo Maďarsku) a/nebo kvůli velmi nízkým výdajům na VaV ve vysokoškolském sektoru (Bulharsko, Rumunsko a Slovensko). Mezi země s vyrovnaným podílem vysokoškolského a vládního sektoru patří i Francie, Spojené státy a Korea s významnými výdaji na obranný VaV a Německo se silným postavením čtyř výzkumných ústavů (Společnosti Maxe Plancka, Leibnizovy, Helmholtzovy a Fraunhoferovy společnosti). Vládní sektor pak jednoznačně převládá jak v Číně, tak především v Rusku s výrazným postavením tamní AV. </w:t>
      </w:r>
    </w:p>
    <w:p w:rsidR="009D46E6" w:rsidRDefault="009D46E6" w:rsidP="00394D8B">
      <w:pPr>
        <w:pStyle w:val="Caption"/>
        <w:tabs>
          <w:tab w:val="clear" w:pos="1276"/>
        </w:tabs>
        <w:ind w:left="1134" w:hanging="1134"/>
      </w:pPr>
      <w:bookmarkStart w:id="51" w:name="_Toc369091979"/>
      <w:r>
        <w:t xml:space="preserve">Graf </w:t>
      </w:r>
      <w:fldSimple w:instr=" STYLEREF 1 \s ">
        <w:r>
          <w:rPr>
            <w:noProof/>
          </w:rPr>
          <w:t>A</w:t>
        </w:r>
      </w:fldSimple>
      <w:r>
        <w:t>.</w:t>
      </w:r>
      <w:fldSimple w:instr=" SEQ Graf \* ARABIC \s 1 ">
        <w:r>
          <w:rPr>
            <w:noProof/>
          </w:rPr>
          <w:t>18</w:t>
        </w:r>
      </w:fldSimple>
      <w:r w:rsidRPr="00BD5EC7">
        <w:t xml:space="preserve">: </w:t>
      </w:r>
      <w:r w:rsidRPr="00394D8B">
        <w:t>Výdaje za provedený VaV ve vládním (GOVERD) a vysokoškolském (HERD) sektoru, 2011 (struktura, %)</w:t>
      </w:r>
      <w:bookmarkEnd w:id="51"/>
    </w:p>
    <w:p w:rsidR="009D46E6" w:rsidRDefault="009D46E6" w:rsidP="00394D8B">
      <w:pPr>
        <w:pStyle w:val="Objekt"/>
      </w:pPr>
      <w:r w:rsidRPr="001D1D98">
        <w:pict>
          <v:shape id="Graf 415" o:spid="_x0000_i1073" type="#_x0000_t75" style="width:481.8pt;height:226.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ZPWWc2wAAAAUBAAAPAAAAZHJzL2Rvd25y&#10;ZXYueG1sTI9BT8MwDIXvSPyHyEjcWMo2KihNJzRtt4FGmcQ1a0xb0Til8bby7zFc2MV61rPe+5wv&#10;Rt+pIw6xDWTgdpKAQqqCa6k2sHtb39yDimzJ2S4QGvjGCIvi8iK3mQsnesVjybWSEIqZNdAw95nW&#10;sWrQ2zgJPZJ4H2HwlmUdau0Ge5Jw3+lpkqTa25akobE9LhusPsuDNxA3s/fVNHi32jLv5mW/fPl6&#10;bo25vhqfHkExjvx/DL/4gg6FMO3DgVxUnQF5hP+meA/pLAW1NzC/E6GLXJ/TFz8A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">
            <v:imagedata r:id="rId60" o:title="" croptop="-2174f" cropbottom="-785f" cropleft="-1555f" cropright="-739f"/>
            <o:lock v:ext="edit" aspectratio="f"/>
          </v:shape>
        </w:pict>
      </w:r>
    </w:p>
    <w:p w:rsidR="009D46E6" w:rsidRDefault="009D46E6" w:rsidP="00394D8B">
      <w:pPr>
        <w:pStyle w:val="Zdroj"/>
      </w:pPr>
      <w:r>
        <w:t>Zdroj: OECD MSTI 2013/1, Eurostat září 2013 a vlastní dopočty ČSÚ</w:t>
      </w:r>
    </w:p>
    <w:p w:rsidR="009D46E6" w:rsidRDefault="009D46E6" w:rsidP="00070A59"/>
    <w:p w:rsidR="009D46E6" w:rsidRDefault="009D46E6" w:rsidP="00070A59">
      <w:r>
        <w:t xml:space="preserve">Zcela jiný obrázek o významu vládního a vysokoškolského sektoru v oblasti VaV, než výše uvedené pořadí zemí EU sestavené dle podílu těchto sektorů na GERD, dostaneme, pokud výdaje v těchto sektorech vyjádříme jako % HDP jednotlivých zemí. V roce 2011 se výdaje nasměrované do veřejného VaV v zemích Evropské unie podílely na HDP 0,72 % (v roce 2007 to bylo 0,63 %), tj. stejně jako v ČR. Nejvyššího zastoupení na HDP, kolem 1 %, dosahuje veřejný VaV ve Finsku, Švédsku, Dánsku a Nizozemsku. Takto vysoký podíl není způsoben výrazným zastoupením veřejného VaV na celkových výdajích na VaV, neboť ten se pohybuje, kromě Nizozemska, v těchto zemích pouze kolem 1/3, ale obecně velmi vysokými výdaji plynoucími do VaV. Naopak nejnižší podíl výdajů na veřejný VaV na HDP, méně než 0,5 %, byl zaznamenán ve většině nových členských zemí EU kromě Estonska, Slovinska a České republiky, a to i navzdory poměrně významnému zastoupení veřejného VaV na celkových výdajích na VaV. </w:t>
      </w:r>
    </w:p>
    <w:p w:rsidR="009D46E6" w:rsidRDefault="009D46E6" w:rsidP="00A4084F">
      <w:r>
        <w:t>Podíl vysokoškolského VaV na HDP dosahuje ze zemí EU28 nejvyšších hodnot, obdobně jako u řady jiných ukazatelů, ve skandinávských zemích, a to od 0,76 % ve Finsku po 0,92 % v Dánsku. Česká republika, stejně jako ostatní nové členské země EU, v tomto ukazateli sice stále zaostává za průměrem EU (0,47 % v roce 2011), ale v posledních letech se k němu rychle přibližuje. V roce 2012 s 0,52 % podílem na HDP by ČR již průměr EU dokonce překonala.</w:t>
      </w:r>
    </w:p>
    <w:p w:rsidR="009D46E6" w:rsidRDefault="009D46E6" w:rsidP="00070A59"/>
    <w:p w:rsidR="009D46E6" w:rsidRDefault="009D46E6" w:rsidP="00394D8B">
      <w:pPr>
        <w:pStyle w:val="Caption"/>
        <w:tabs>
          <w:tab w:val="clear" w:pos="1276"/>
        </w:tabs>
        <w:ind w:left="1134" w:hanging="1134"/>
      </w:pPr>
      <w:bookmarkStart w:id="52" w:name="_Toc369091980"/>
      <w:r>
        <w:t xml:space="preserve">Graf </w:t>
      </w:r>
      <w:fldSimple w:instr=" STYLEREF 1 \s ">
        <w:r>
          <w:rPr>
            <w:noProof/>
          </w:rPr>
          <w:t>A</w:t>
        </w:r>
      </w:fldSimple>
      <w:r>
        <w:t>.</w:t>
      </w:r>
      <w:fldSimple w:instr=" SEQ Graf \* ARABIC \s 1 ">
        <w:r>
          <w:rPr>
            <w:noProof/>
          </w:rPr>
          <w:t>19</w:t>
        </w:r>
      </w:fldSimple>
      <w:r w:rsidRPr="00BD5EC7">
        <w:t xml:space="preserve">: </w:t>
      </w:r>
      <w:r w:rsidRPr="00394D8B">
        <w:t>Intenzita výdajů na VaV ve vládním a vysokoškolském sektoru (% HDP)</w:t>
      </w:r>
      <w:bookmarkEnd w:id="52"/>
    </w:p>
    <w:p w:rsidR="009D46E6" w:rsidRDefault="009D46E6" w:rsidP="00394D8B">
      <w:pPr>
        <w:pStyle w:val="Objekt"/>
      </w:pPr>
      <w:r w:rsidRPr="001D1D98">
        <w:pict>
          <v:shape id="Graf 192" o:spid="_x0000_i1074" type="#_x0000_t75" style="width:481.8pt;height:184.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PrhnS3QAAAAUBAAAPAAAAZHJzL2Rvd25y&#10;ZXYueG1sTI9PS8NAEMXvgt9hGcGb3diGJabZlCB4EPFfLUJv0+yYBLOzIbtN47d39aKXgcd7vPeb&#10;YjPbXkw0+s6xhutFAoK4dqbjRsPu7e4qA+EDssHeMWn4Ig+b8vyswNy4E7/StA2NiCXsc9TQhjDk&#10;Uvq6JYt+4Qbi6H240WKIcmykGfEUy20vl0mipMWO40KLA922VH9uj1aDel5m9y/pQ7V/zOZ09y4r&#10;Pz1VWl9ezNUaRKA5/IXhBz+iQxmZDu7IxoteQ3wk/N7o3aiVAnHQsFJZCrIs5H/68hs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">
            <v:imagedata r:id="rId61" o:title="" croptop="-3539f" cropbottom="-2586f" cropleft="-1078f" cropright="-868f"/>
            <o:lock v:ext="edit" aspectratio="f"/>
          </v:shape>
        </w:pict>
      </w:r>
    </w:p>
    <w:p w:rsidR="009D46E6" w:rsidRPr="00394D8B" w:rsidRDefault="009D46E6" w:rsidP="00394D8B">
      <w:pPr>
        <w:pStyle w:val="Objekt"/>
      </w:pPr>
      <w:r w:rsidRPr="001D1D98">
        <w:pict>
          <v:shape id="Graf 193" o:spid="_x0000_i1075" type="#_x0000_t75" style="width:228pt;height:31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349Dk2wAAAAUBAAAPAAAAZHJzL2Rvd25y&#10;ZXYueG1sTI9BS8QwEIXvgv8hzIIX2U0tpZTadFkEvehBd/cHpM3Ylm1mSpJu6783etHLwOM93vum&#10;2q92FFd0fmBS8LBLQCC1bAbqFJxPz9sChA+ajB6ZUMEXetjXtzeVLg0v9IHXY+hELCFfagV9CFMp&#10;pW97tNrveEKK3ic7q0OUrpPG6SWW21GmSZJLqweKC72e8KnH9nKcrYL3ZbkfXtypl+e5eD28dY6Z&#10;G6XuNuvhEUTANfyF4Qc/okMdmRqeyXgxKoiPhN8bvSzPMhCNgjxNC5B1Jf/T198A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">
            <v:imagedata r:id="rId62" o:title="" croptop="-1141f" cropbottom="-474f" cropleft="-145f" cropright="-1562f"/>
            <o:lock v:ext="edit" aspectratio="f"/>
          </v:shape>
        </w:pict>
      </w:r>
      <w:r>
        <w:tab/>
      </w:r>
      <w:r w:rsidRPr="001D1D98">
        <w:pict>
          <v:shape id="Graf 194" o:spid="_x0000_i1076" type="#_x0000_t75" style="width:228pt;height:31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">
            <v:imagedata r:id="rId63" o:title="" croptop="-1141f" cropbottom="-474f" cropleft="-145f" cropright="-1562f"/>
            <o:lock v:ext="edit" aspectratio="f"/>
          </v:shape>
        </w:pict>
      </w:r>
    </w:p>
    <w:p w:rsidR="009D46E6" w:rsidRDefault="009D46E6" w:rsidP="00394D8B">
      <w:pPr>
        <w:pStyle w:val="Zdroj"/>
      </w:pPr>
      <w:r>
        <w:t>Zdroj: OECD MSTI 2013/1, Eurostat září 2013 a vlastní dopočty ČSÚ</w:t>
      </w:r>
    </w:p>
    <w:p w:rsidR="009D46E6" w:rsidRDefault="009D46E6" w:rsidP="00070A59"/>
    <w:p w:rsidR="009D46E6" w:rsidRDefault="009D46E6" w:rsidP="00070A59">
      <w:r>
        <w:t xml:space="preserve">Česká republika je po Německu, Slovinsku a Finsku stát s nejvyššími výdaji na VaV ve vládním sektoru ve vztahu k HDP. Podíl výdajů na VaV ve vládním sektoru na HDP je v ČR o čtvrtinu vyšší než činí průměr za EU28, který v roce 2011 stejně jako v roce 2000 dosáhl 0,25 %. </w:t>
      </w:r>
    </w:p>
    <w:p w:rsidR="009D46E6" w:rsidRDefault="009D46E6" w:rsidP="00070A59">
      <w:r>
        <w:t xml:space="preserve">V absolutních hodnotách vynaložily v roce 2011 jednotlivé země EU28 za VaV provedený na vysokých školách celkem 59,3 mld. Eur, tedy o 27 mld. Eur (o 83 %) více než ve vládním sektoru. Nejvíce z této částky zužitkovaly vysokoškolské instituce v Německu (23 %), ve Francii (16 %) a ve Spojeném království (14 %). Česká republika se na výše uvedené částce podílela přesně 1 % (622 mil. Eur). </w:t>
      </w:r>
    </w:p>
    <w:p w:rsidR="009D46E6" w:rsidRDefault="009D46E6" w:rsidP="00070A59">
      <w:r>
        <w:t xml:space="preserve">V EU bylo v roce 2011 ve vládním sektoru utraceno za provedený VaV 32,3 mld. Eur, tj. přesně o miliardu více než v roce předchozím. Na této částce se více jak 1/3 (34,2 %) podílelo Německo a 1/5 Francie. Česká republika s 0,5 mld. Eur pak 1,6 %, tj. kromě Polska zdaleka nejvíce ze všech nových zemí EU. </w:t>
      </w:r>
    </w:p>
    <w:p w:rsidR="009D46E6" w:rsidRDefault="009D46E6" w:rsidP="00070A59">
      <w:r>
        <w:t xml:space="preserve">Na rozdíl od výdajů na VaV ve vládním sektoru, výdaje ve vysokoškolském sektoru v posledních 5 letech (2006-2011) rostly ve všech sledovaných státech EU a OECD, i když s různou intenzitou. Například v zemích EU15 za toto období tyto výdaje vzrostly reálně o čtvrtinu a v Polsku a ČR se téměř zdvojnásobily. Průměrný reálný nárůst pro země EU28 činil 4 % ročně. Je ovšem třeba zdůraznit, že tomuto výraznému nárůstu ve většině z nových členských zemí EU, na rozdíl třeba od Dánska, Rakouska nebo Švédska, neodpovídal odpovídající nárůst osob pracujících ve vysokoškolském VaV. </w:t>
      </w:r>
    </w:p>
    <w:p w:rsidR="009D46E6" w:rsidRDefault="009D46E6" w:rsidP="00070A59">
      <w:r>
        <w:t>Zajímavý pohled představuje informace o výdajích na VaV ve vysokoškolském sektoru připadající na 1 studenta těchto škol (ISCED 5A a ISCED6) uvedený v následujícím grafu.</w:t>
      </w:r>
    </w:p>
    <w:p w:rsidR="009D46E6" w:rsidRDefault="009D46E6" w:rsidP="00394D8B">
      <w:pPr>
        <w:pStyle w:val="Caption"/>
        <w:tabs>
          <w:tab w:val="clear" w:pos="1276"/>
        </w:tabs>
        <w:ind w:left="1134" w:hanging="1134"/>
      </w:pPr>
      <w:bookmarkStart w:id="53" w:name="_Toc369091981"/>
      <w:r>
        <w:t xml:space="preserve">Graf </w:t>
      </w:r>
      <w:fldSimple w:instr=" STYLEREF 1 \s ">
        <w:r>
          <w:rPr>
            <w:noProof/>
          </w:rPr>
          <w:t>A</w:t>
        </w:r>
      </w:fldSimple>
      <w:r>
        <w:t>.</w:t>
      </w:r>
      <w:fldSimple w:instr=" SEQ Graf \* ARABIC \s 1 ">
        <w:r>
          <w:rPr>
            <w:noProof/>
          </w:rPr>
          <w:t>20</w:t>
        </w:r>
      </w:fldSimple>
      <w:r w:rsidRPr="00BD5EC7">
        <w:t xml:space="preserve">: </w:t>
      </w:r>
      <w:r w:rsidRPr="00394D8B">
        <w:t>Výdaje na VaV ve vysokoškolském sektoru na studenta (US$ v PPP), 2011</w:t>
      </w:r>
      <w:bookmarkEnd w:id="53"/>
    </w:p>
    <w:p w:rsidR="009D46E6" w:rsidRPr="00394D8B" w:rsidRDefault="009D46E6" w:rsidP="00394D8B">
      <w:pPr>
        <w:pStyle w:val="Objekt"/>
        <w:rPr>
          <w:lang w:eastAsia="en-US"/>
        </w:rPr>
      </w:pPr>
      <w:r w:rsidRPr="001D1D98">
        <w:pict>
          <v:shape id="Graf 195" o:spid="_x0000_i1077" type="#_x0000_t75" style="width:472.2pt;height:198.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E+mEk3gAAAAUBAAAPAAAAZHJzL2Rvd25y&#10;ZXYueG1sTI/NTsMwEITvSLyDtUjcqNNQWhriVKgITvyopYKrGy9JRLyO4m2b8vQsXOAy0mpWM9/k&#10;i8G3ao99bAIZGI8SUEhlcA1VBjav9xfXoCJbcrYNhAaOGGFRnJ7kNnPhQCvcr7lSEkIxswZq5i7T&#10;OpY1ehtHoUMS7yP03rKcfaVdbw8S7ludJslUe9uQNNS2w2WN5ed65w28P6Wb8eTrbXaXHFdhefWY&#10;vjzzgzHnZ8PtDSjGgf+e4Qdf0KEQpm3YkYuqNSBD+FfFm08nMmNr4HI+S0EXuf5PX3wD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">
            <v:imagedata r:id="rId64" o:title="" croptop="-5086f" cropbottom="-4425f" cropleft="-936f" cropright="-866f"/>
            <o:lock v:ext="edit" aspectratio="f"/>
          </v:shape>
        </w:pict>
      </w:r>
    </w:p>
    <w:p w:rsidR="009D46E6" w:rsidRDefault="009D46E6" w:rsidP="00394D8B">
      <w:pPr>
        <w:pStyle w:val="Zdroj"/>
      </w:pPr>
      <w:r>
        <w:t>Zdroj: Eurostat září 2013 a vlastní dopočty ČSÚ</w:t>
      </w:r>
    </w:p>
    <w:p w:rsidR="009D46E6" w:rsidRPr="00A4084F" w:rsidRDefault="009D46E6" w:rsidP="00A4084F"/>
    <w:p w:rsidR="009D46E6" w:rsidRDefault="009D46E6" w:rsidP="00394D8B">
      <w:pPr>
        <w:pStyle w:val="Caption"/>
        <w:tabs>
          <w:tab w:val="clear" w:pos="1276"/>
        </w:tabs>
        <w:ind w:left="1134" w:hanging="1134"/>
      </w:pPr>
      <w:bookmarkStart w:id="54" w:name="_Toc369091982"/>
      <w:r>
        <w:t xml:space="preserve">Graf </w:t>
      </w:r>
      <w:fldSimple w:instr=" STYLEREF 1 \s ">
        <w:r>
          <w:rPr>
            <w:noProof/>
          </w:rPr>
          <w:t>A</w:t>
        </w:r>
      </w:fldSimple>
      <w:r>
        <w:t>.</w:t>
      </w:r>
      <w:fldSimple w:instr=" SEQ Graf \* ARABIC \s 1 ">
        <w:r>
          <w:rPr>
            <w:noProof/>
          </w:rPr>
          <w:t>21</w:t>
        </w:r>
      </w:fldSimple>
      <w:r w:rsidRPr="00BD5EC7">
        <w:t xml:space="preserve">: </w:t>
      </w:r>
      <w:r w:rsidRPr="00394D8B">
        <w:t>Výdaje na VaV ve vysokoškolském a vládním sektoru financované ze soukromých tuzemských zdrojů (%)</w:t>
      </w:r>
      <w:bookmarkEnd w:id="54"/>
    </w:p>
    <w:p w:rsidR="009D46E6" w:rsidRPr="00394D8B" w:rsidRDefault="009D46E6" w:rsidP="00394D8B">
      <w:pPr>
        <w:pStyle w:val="Objekt"/>
        <w:rPr>
          <w:lang w:eastAsia="en-US"/>
        </w:rPr>
      </w:pPr>
      <w:r w:rsidRPr="001D1D98">
        <w:pict>
          <v:shape id="Graf 197" o:spid="_x0000_i1078" type="#_x0000_t75" style="width:235.2pt;height:340.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fHxQn3AAAAAUBAAAPAAAAZHJzL2Rvd25y&#10;ZXYueG1sTI9Pa8JAEMXvhX6HZQq91Y0SrKTZiBRyaSlaFaG3NTv5g9nZkN1o+u2d9qKX4Q1veO83&#10;6XK0rThj7xtHCqaTCARS4UxDlYL9Ln9ZgPBBk9GtI1Twix6W2eNDqhPjLvSN522oBIeQT7SCOoQu&#10;kdIXNVrtJ65DYq90vdWB176SptcXDretnEXRXFrdEDfUusP3GovTdrAKDnE+TA/lnsoPCuvPvNn8&#10;zL42Sj0/jas3EAHHcDuGP3xGh4yZjm4g40WrgB8J/5O9+DWKQRwVzBcsZJbKe/rsCg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">
            <v:imagedata r:id="rId65" o:title="" croptop="-1242f" cropbottom="-825f" cropleft="-143f" cropright="-1397f"/>
            <o:lock v:ext="edit" aspectratio="f"/>
          </v:shape>
        </w:pict>
      </w:r>
      <w:r>
        <w:rPr>
          <w:lang w:eastAsia="en-US"/>
        </w:rPr>
        <w:tab/>
      </w:r>
      <w:r w:rsidRPr="001D1D98">
        <w:pict>
          <v:shape id="Graf 202" o:spid="_x0000_i1079" type="#_x0000_t75" style="width:235.2pt;height:340.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x7ROG3gAAAAUBAAAPAAAAZHJzL2Rvd25y&#10;ZXYueG1sTI9BS8NAEIXvgv9hGcGLtBu11hIzKVpRDwrSqqC3TXZMgtnZkN200V/v6EUvwxve8N43&#10;2XJ0rdpSHxrPCMfTBBRx6W3DFcLz081kASpEw9a0ngnhkwIs8/29zKTW73hN202slIRwSA1CHWOX&#10;ah3KmpwJU98Ri/fue2eirH2lbW92Eu5afZIkc+1Mw9JQm45WNZUfm8EhfN3G1/BQlKfD9dnV49tR&#10;x6v7lzvEw4Px8gJUpDH+HcMPvqBDLkyFH9gG1SLII/F3ijc7T2agCoT5QoTOM/2fPv8G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">
            <v:imagedata r:id="rId66" o:title="" croptop="-1242f" cropbottom="-825f" cropleft="-143f" cropright="-1397f"/>
            <o:lock v:ext="edit" aspectratio="f"/>
          </v:shape>
        </w:pict>
      </w:r>
    </w:p>
    <w:p w:rsidR="009D46E6" w:rsidRDefault="009D46E6" w:rsidP="00394D8B">
      <w:pPr>
        <w:pStyle w:val="Zdroj"/>
      </w:pPr>
      <w:r>
        <w:t>Zdroj: OECD MSTI 2013/1, Eurostat září 2013 a vlastní dopočty ČSÚ</w:t>
      </w:r>
    </w:p>
    <w:p w:rsidR="009D46E6" w:rsidRDefault="009D46E6" w:rsidP="00070A59"/>
    <w:p w:rsidR="009D46E6" w:rsidRDefault="009D46E6" w:rsidP="00A4084F"/>
    <w:p w:rsidR="009D46E6" w:rsidRDefault="009D46E6" w:rsidP="00A4084F">
      <w:r>
        <w:t xml:space="preserve">V údajích za ČR bylo poměrně podrobně rozebráno financování VaV ve vládním a vysokoškolském sektoru ze soukromých domácích zdrojů. Graf A.21 a tabulka A.3 pak tyto informace dávají do kontextu mezinárodního srovnání. Jak v případě vládního sektoru, tak především vysokoškolské, ČR patří mezi země s poměrně nízkým podílem soukromých zdrojů na financování VaV prováděného v těchto sektorech.  </w:t>
      </w:r>
    </w:p>
    <w:p w:rsidR="009D46E6" w:rsidRDefault="009D46E6" w:rsidP="00A4084F">
      <w:pPr>
        <w:pStyle w:val="Caption"/>
      </w:pPr>
      <w:bookmarkStart w:id="55" w:name="_Toc369091925"/>
      <w:r>
        <w:t xml:space="preserve">Tabulka </w:t>
      </w:r>
      <w:fldSimple w:instr=" STYLEREF 1 \s ">
        <w:r>
          <w:rPr>
            <w:noProof/>
          </w:rPr>
          <w:t>A</w:t>
        </w:r>
      </w:fldSimple>
      <w:r>
        <w:t>.</w:t>
      </w:r>
      <w:fldSimple w:instr=" SEQ Tabulka \* ARABIC \s 1 ">
        <w:r>
          <w:rPr>
            <w:noProof/>
          </w:rPr>
          <w:t>4</w:t>
        </w:r>
      </w:fldSimple>
      <w:r w:rsidRPr="00BC1D05">
        <w:t xml:space="preserve">: </w:t>
      </w:r>
      <w:r w:rsidRPr="00394D8B">
        <w:t>Výdaje na VaV ve vládním a vysokoškolském sektoru financované ze soukromých tuzemských zdrojů ve vybraných zemích (mil. US$ v PPS; EU27= 100)</w:t>
      </w:r>
      <w:bookmarkEnd w:id="55"/>
    </w:p>
    <w:tbl>
      <w:tblPr>
        <w:tblW w:w="9639" w:type="dxa"/>
        <w:jc w:val="center"/>
        <w:tblBorders>
          <w:top w:val="single" w:sz="18" w:space="0" w:color="auto"/>
          <w:bottom w:val="single" w:sz="18" w:space="0" w:color="auto"/>
        </w:tblBorders>
        <w:tblLayout w:type="fixed"/>
        <w:tblLook w:val="00A0"/>
      </w:tblPr>
      <w:tblGrid>
        <w:gridCol w:w="494"/>
        <w:gridCol w:w="930"/>
        <w:gridCol w:w="745"/>
        <w:gridCol w:w="747"/>
        <w:gridCol w:w="747"/>
        <w:gridCol w:w="747"/>
        <w:gridCol w:w="747"/>
        <w:gridCol w:w="747"/>
        <w:gridCol w:w="747"/>
        <w:gridCol w:w="747"/>
        <w:gridCol w:w="747"/>
        <w:gridCol w:w="747"/>
        <w:gridCol w:w="747"/>
      </w:tblGrid>
      <w:tr w:rsidR="009D46E6" w:rsidRPr="00DB1559" w:rsidTr="00DB1559">
        <w:trPr>
          <w:trHeight w:val="235"/>
          <w:jc w:val="center"/>
        </w:trPr>
        <w:tc>
          <w:tcPr>
            <w:tcW w:w="473" w:type="dxa"/>
            <w:tcBorders>
              <w:top w:val="single" w:sz="18" w:space="0" w:color="auto"/>
              <w:left w:val="nil"/>
              <w:bottom w:val="single" w:sz="18" w:space="0" w:color="auto"/>
              <w:right w:val="nil"/>
            </w:tcBorders>
            <w:shd w:val="clear" w:color="auto" w:fill="4F81BD"/>
            <w:noWrap/>
          </w:tcPr>
          <w:p w:rsidR="009D46E6" w:rsidRPr="00DB1559" w:rsidRDefault="009D46E6" w:rsidP="00DB1559">
            <w:pPr>
              <w:spacing w:after="0" w:line="240" w:lineRule="auto"/>
              <w:jc w:val="center"/>
              <w:rPr>
                <w:rFonts w:cs="Tahoma"/>
                <w:b/>
                <w:bCs/>
                <w:color w:val="FFFFFF"/>
                <w:sz w:val="14"/>
                <w:szCs w:val="14"/>
                <w:lang w:eastAsia="cs-CZ"/>
              </w:rPr>
            </w:pPr>
            <w:r w:rsidRPr="00DB1559">
              <w:rPr>
                <w:rFonts w:cs="Tahoma"/>
                <w:b/>
                <w:bCs/>
                <w:color w:val="FFFFFF"/>
                <w:sz w:val="14"/>
                <w:szCs w:val="14"/>
                <w:lang w:eastAsia="cs-CZ"/>
              </w:rPr>
              <w:t> </w:t>
            </w:r>
          </w:p>
        </w:tc>
        <w:tc>
          <w:tcPr>
            <w:tcW w:w="890" w:type="dxa"/>
            <w:tcBorders>
              <w:top w:val="single" w:sz="18" w:space="0" w:color="auto"/>
              <w:left w:val="nil"/>
              <w:bottom w:val="single" w:sz="18" w:space="0" w:color="auto"/>
              <w:right w:val="nil"/>
            </w:tcBorders>
            <w:shd w:val="clear" w:color="auto" w:fill="4F81BD"/>
            <w:noWrap/>
          </w:tcPr>
          <w:p w:rsidR="009D46E6" w:rsidRPr="00DB1559" w:rsidRDefault="009D46E6" w:rsidP="00DB1559">
            <w:pPr>
              <w:spacing w:after="0" w:line="240" w:lineRule="auto"/>
              <w:jc w:val="center"/>
              <w:rPr>
                <w:rFonts w:cs="Tahoma"/>
                <w:b/>
                <w:bCs/>
                <w:color w:val="FFFFFF"/>
                <w:sz w:val="14"/>
                <w:szCs w:val="14"/>
                <w:lang w:eastAsia="cs-CZ"/>
              </w:rPr>
            </w:pPr>
            <w:r w:rsidRPr="00DB1559">
              <w:rPr>
                <w:rFonts w:cs="Tahoma"/>
                <w:b/>
                <w:bCs/>
                <w:color w:val="FFFFFF"/>
                <w:sz w:val="14"/>
                <w:szCs w:val="14"/>
                <w:lang w:eastAsia="cs-CZ"/>
              </w:rPr>
              <w:t> </w:t>
            </w:r>
          </w:p>
        </w:tc>
        <w:tc>
          <w:tcPr>
            <w:tcW w:w="713"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4"/>
                <w:szCs w:val="14"/>
                <w:lang w:eastAsia="cs-CZ"/>
              </w:rPr>
            </w:pPr>
            <w:r w:rsidRPr="00DB1559">
              <w:rPr>
                <w:rFonts w:cs="Tahoma"/>
                <w:b/>
                <w:bCs/>
                <w:color w:val="FFFFFF"/>
                <w:sz w:val="14"/>
                <w:szCs w:val="14"/>
                <w:lang w:eastAsia="cs-CZ"/>
              </w:rPr>
              <w:t>EU28</w:t>
            </w:r>
          </w:p>
        </w:tc>
        <w:tc>
          <w:tcPr>
            <w:tcW w:w="714"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4"/>
                <w:szCs w:val="14"/>
                <w:lang w:eastAsia="cs-CZ"/>
              </w:rPr>
            </w:pPr>
            <w:r w:rsidRPr="00DB1559">
              <w:rPr>
                <w:rFonts w:cs="Tahoma"/>
                <w:b/>
                <w:bCs/>
                <w:color w:val="FFFFFF"/>
                <w:sz w:val="14"/>
                <w:szCs w:val="14"/>
                <w:lang w:eastAsia="cs-CZ"/>
              </w:rPr>
              <w:t>Něm.</w:t>
            </w:r>
          </w:p>
        </w:tc>
        <w:tc>
          <w:tcPr>
            <w:tcW w:w="714"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4"/>
                <w:szCs w:val="14"/>
                <w:lang w:eastAsia="cs-CZ"/>
              </w:rPr>
            </w:pPr>
            <w:r w:rsidRPr="00DB1559">
              <w:rPr>
                <w:rFonts w:cs="Tahoma"/>
                <w:b/>
                <w:bCs/>
                <w:color w:val="FFFFFF"/>
                <w:sz w:val="14"/>
                <w:szCs w:val="14"/>
                <w:lang w:eastAsia="cs-CZ"/>
              </w:rPr>
              <w:t>Korea</w:t>
            </w:r>
          </w:p>
        </w:tc>
        <w:tc>
          <w:tcPr>
            <w:tcW w:w="714"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4"/>
                <w:szCs w:val="14"/>
                <w:lang w:eastAsia="cs-CZ"/>
              </w:rPr>
            </w:pPr>
            <w:r w:rsidRPr="00DB1559">
              <w:rPr>
                <w:rFonts w:cs="Tahoma"/>
                <w:b/>
                <w:bCs/>
                <w:color w:val="FFFFFF"/>
                <w:sz w:val="14"/>
                <w:szCs w:val="14"/>
                <w:lang w:eastAsia="cs-CZ"/>
              </w:rPr>
              <w:t>Fran</w:t>
            </w:r>
          </w:p>
        </w:tc>
        <w:tc>
          <w:tcPr>
            <w:tcW w:w="714"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4"/>
                <w:szCs w:val="14"/>
                <w:lang w:eastAsia="cs-CZ"/>
              </w:rPr>
            </w:pPr>
            <w:r w:rsidRPr="00DB1559">
              <w:rPr>
                <w:rFonts w:cs="Tahoma"/>
                <w:b/>
                <w:bCs/>
                <w:color w:val="FFFFFF"/>
                <w:sz w:val="14"/>
                <w:szCs w:val="14"/>
                <w:lang w:eastAsia="cs-CZ"/>
              </w:rPr>
              <w:t>UK</w:t>
            </w:r>
          </w:p>
        </w:tc>
        <w:tc>
          <w:tcPr>
            <w:tcW w:w="714"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4"/>
                <w:szCs w:val="14"/>
                <w:lang w:eastAsia="cs-CZ"/>
              </w:rPr>
            </w:pPr>
            <w:r w:rsidRPr="00DB1559">
              <w:rPr>
                <w:rFonts w:cs="Tahoma"/>
                <w:b/>
                <w:bCs/>
                <w:color w:val="FFFFFF"/>
                <w:sz w:val="14"/>
                <w:szCs w:val="14"/>
                <w:lang w:eastAsia="cs-CZ"/>
              </w:rPr>
              <w:t>Polsko</w:t>
            </w:r>
          </w:p>
        </w:tc>
        <w:tc>
          <w:tcPr>
            <w:tcW w:w="714"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4"/>
                <w:szCs w:val="14"/>
                <w:lang w:eastAsia="cs-CZ"/>
              </w:rPr>
            </w:pPr>
            <w:r w:rsidRPr="00DB1559">
              <w:rPr>
                <w:rFonts w:cs="Tahoma"/>
                <w:b/>
                <w:bCs/>
                <w:color w:val="FFFFFF"/>
                <w:sz w:val="14"/>
                <w:szCs w:val="14"/>
                <w:lang w:eastAsia="cs-CZ"/>
              </w:rPr>
              <w:t>Rak.</w:t>
            </w:r>
          </w:p>
        </w:tc>
        <w:tc>
          <w:tcPr>
            <w:tcW w:w="714"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4"/>
                <w:szCs w:val="14"/>
                <w:lang w:eastAsia="cs-CZ"/>
              </w:rPr>
            </w:pPr>
            <w:r w:rsidRPr="00DB1559">
              <w:rPr>
                <w:rFonts w:cs="Tahoma"/>
                <w:b/>
                <w:bCs/>
                <w:color w:val="FFFFFF"/>
                <w:sz w:val="14"/>
                <w:szCs w:val="14"/>
                <w:lang w:eastAsia="cs-CZ"/>
              </w:rPr>
              <w:t>Fin.</w:t>
            </w:r>
          </w:p>
        </w:tc>
        <w:tc>
          <w:tcPr>
            <w:tcW w:w="714"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4"/>
                <w:szCs w:val="14"/>
                <w:lang w:eastAsia="cs-CZ"/>
              </w:rPr>
            </w:pPr>
            <w:r w:rsidRPr="00DB1559">
              <w:rPr>
                <w:rFonts w:cs="Tahoma"/>
                <w:b/>
                <w:bCs/>
                <w:color w:val="FFFFFF"/>
                <w:sz w:val="14"/>
                <w:szCs w:val="14"/>
                <w:lang w:eastAsia="cs-CZ"/>
              </w:rPr>
              <w:t>Maď.</w:t>
            </w:r>
          </w:p>
        </w:tc>
        <w:tc>
          <w:tcPr>
            <w:tcW w:w="714"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4"/>
                <w:szCs w:val="14"/>
                <w:lang w:eastAsia="cs-CZ"/>
              </w:rPr>
            </w:pPr>
            <w:r w:rsidRPr="00DB1559">
              <w:rPr>
                <w:rFonts w:cs="Tahoma"/>
                <w:b/>
                <w:bCs/>
                <w:color w:val="FFFFFF"/>
                <w:sz w:val="14"/>
                <w:szCs w:val="14"/>
                <w:lang w:eastAsia="cs-CZ"/>
              </w:rPr>
              <w:t>ČR</w:t>
            </w:r>
          </w:p>
        </w:tc>
        <w:tc>
          <w:tcPr>
            <w:tcW w:w="714"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4"/>
                <w:szCs w:val="14"/>
                <w:lang w:eastAsia="cs-CZ"/>
              </w:rPr>
            </w:pPr>
            <w:r w:rsidRPr="00DB1559">
              <w:rPr>
                <w:rFonts w:cs="Tahoma"/>
                <w:b/>
                <w:bCs/>
                <w:color w:val="FFFFFF"/>
                <w:sz w:val="14"/>
                <w:szCs w:val="14"/>
                <w:lang w:eastAsia="cs-CZ"/>
              </w:rPr>
              <w:t>SR</w:t>
            </w:r>
          </w:p>
        </w:tc>
      </w:tr>
      <w:tr w:rsidR="009D46E6" w:rsidRPr="00DB1559" w:rsidTr="00DB1559">
        <w:trPr>
          <w:trHeight w:val="220"/>
          <w:jc w:val="center"/>
        </w:trPr>
        <w:tc>
          <w:tcPr>
            <w:tcW w:w="473" w:type="dxa"/>
            <w:vMerge w:val="restart"/>
            <w:tcBorders>
              <w:left w:val="nil"/>
              <w:bottom w:val="nil"/>
              <w:right w:val="nil"/>
            </w:tcBorders>
            <w:shd w:val="clear" w:color="auto" w:fill="4F81BD"/>
            <w:noWrap/>
            <w:textDirection w:val="btLr"/>
          </w:tcPr>
          <w:p w:rsidR="009D46E6" w:rsidRPr="00DB1559" w:rsidRDefault="009D46E6" w:rsidP="00DB1559">
            <w:pPr>
              <w:spacing w:after="0" w:line="240" w:lineRule="auto"/>
              <w:jc w:val="center"/>
              <w:rPr>
                <w:rFonts w:cs="Tahoma"/>
                <w:b/>
                <w:bCs/>
                <w:color w:val="000000"/>
                <w:sz w:val="14"/>
                <w:szCs w:val="14"/>
                <w:lang w:eastAsia="cs-CZ"/>
              </w:rPr>
            </w:pPr>
            <w:r w:rsidRPr="00DB1559">
              <w:rPr>
                <w:rFonts w:cs="Tahoma"/>
                <w:b/>
                <w:bCs/>
                <w:color w:val="000000"/>
                <w:sz w:val="14"/>
                <w:szCs w:val="14"/>
                <w:lang w:eastAsia="cs-CZ"/>
              </w:rPr>
              <w:t>Celkem</w:t>
            </w:r>
          </w:p>
        </w:tc>
        <w:tc>
          <w:tcPr>
            <w:tcW w:w="890" w:type="dxa"/>
            <w:shd w:val="clear" w:color="auto" w:fill="D8D8D8"/>
            <w:noWrap/>
          </w:tcPr>
          <w:p w:rsidR="009D46E6" w:rsidRPr="00DB1559" w:rsidRDefault="009D46E6" w:rsidP="00DB1559">
            <w:pPr>
              <w:spacing w:after="0" w:line="240" w:lineRule="auto"/>
              <w:jc w:val="center"/>
              <w:rPr>
                <w:rFonts w:cs="Tahoma"/>
                <w:b/>
                <w:bCs/>
                <w:color w:val="000000"/>
                <w:sz w:val="14"/>
                <w:szCs w:val="14"/>
                <w:lang w:eastAsia="cs-CZ"/>
              </w:rPr>
            </w:pPr>
            <w:r w:rsidRPr="00DB1559">
              <w:rPr>
                <w:rFonts w:cs="Tahoma"/>
                <w:b/>
                <w:bCs/>
                <w:color w:val="000000"/>
                <w:sz w:val="14"/>
                <w:szCs w:val="14"/>
                <w:lang w:eastAsia="cs-CZ"/>
              </w:rPr>
              <w:t>2005</w:t>
            </w:r>
          </w:p>
        </w:tc>
        <w:tc>
          <w:tcPr>
            <w:tcW w:w="713" w:type="dxa"/>
            <w:shd w:val="clear" w:color="auto" w:fill="D8D8D8"/>
            <w:noWrap/>
          </w:tcPr>
          <w:p w:rsidR="009D46E6" w:rsidRPr="00DB1559" w:rsidRDefault="009D46E6" w:rsidP="00DB1559">
            <w:pPr>
              <w:spacing w:after="0" w:line="240" w:lineRule="auto"/>
              <w:jc w:val="right"/>
              <w:rPr>
                <w:rFonts w:cs="Tahoma"/>
                <w:b/>
                <w:bCs/>
                <w:color w:val="000000"/>
                <w:sz w:val="14"/>
                <w:szCs w:val="14"/>
                <w:lang w:eastAsia="cs-CZ"/>
              </w:rPr>
            </w:pPr>
            <w:r w:rsidRPr="00DB1559">
              <w:rPr>
                <w:rFonts w:cs="Tahoma"/>
                <w:b/>
                <w:bCs/>
                <w:color w:val="000000"/>
                <w:sz w:val="14"/>
                <w:szCs w:val="14"/>
                <w:lang w:eastAsia="cs-CZ"/>
              </w:rPr>
              <w:t>6 049</w:t>
            </w:r>
          </w:p>
        </w:tc>
        <w:tc>
          <w:tcPr>
            <w:tcW w:w="714" w:type="dxa"/>
            <w:shd w:val="clear" w:color="auto" w:fill="D8D8D8"/>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2 401</w:t>
            </w:r>
          </w:p>
        </w:tc>
        <w:tc>
          <w:tcPr>
            <w:tcW w:w="714" w:type="dxa"/>
            <w:shd w:val="clear" w:color="auto" w:fill="D8D8D8"/>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618</w:t>
            </w:r>
          </w:p>
        </w:tc>
        <w:tc>
          <w:tcPr>
            <w:tcW w:w="714" w:type="dxa"/>
            <w:shd w:val="clear" w:color="auto" w:fill="D8D8D8"/>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634</w:t>
            </w:r>
          </w:p>
        </w:tc>
        <w:tc>
          <w:tcPr>
            <w:tcW w:w="714" w:type="dxa"/>
            <w:shd w:val="clear" w:color="auto" w:fill="D8D8D8"/>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759</w:t>
            </w:r>
          </w:p>
        </w:tc>
        <w:tc>
          <w:tcPr>
            <w:tcW w:w="714" w:type="dxa"/>
            <w:shd w:val="clear" w:color="auto" w:fill="D8D8D8"/>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206</w:t>
            </w:r>
          </w:p>
        </w:tc>
        <w:tc>
          <w:tcPr>
            <w:tcW w:w="714" w:type="dxa"/>
            <w:shd w:val="clear" w:color="auto" w:fill="D8D8D8"/>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98</w:t>
            </w:r>
          </w:p>
        </w:tc>
        <w:tc>
          <w:tcPr>
            <w:tcW w:w="714" w:type="dxa"/>
            <w:shd w:val="clear" w:color="auto" w:fill="D8D8D8"/>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136</w:t>
            </w:r>
          </w:p>
        </w:tc>
        <w:tc>
          <w:tcPr>
            <w:tcW w:w="714" w:type="dxa"/>
            <w:shd w:val="clear" w:color="auto" w:fill="D8D8D8"/>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94</w:t>
            </w:r>
          </w:p>
        </w:tc>
        <w:tc>
          <w:tcPr>
            <w:tcW w:w="714" w:type="dxa"/>
            <w:shd w:val="clear" w:color="auto" w:fill="D8D8D8"/>
            <w:noWrap/>
          </w:tcPr>
          <w:p w:rsidR="009D46E6" w:rsidRPr="00DB1559" w:rsidRDefault="009D46E6" w:rsidP="00DB1559">
            <w:pPr>
              <w:spacing w:after="0" w:line="240" w:lineRule="auto"/>
              <w:jc w:val="right"/>
              <w:rPr>
                <w:rFonts w:cs="Tahoma"/>
                <w:b/>
                <w:bCs/>
                <w:color w:val="000000"/>
                <w:sz w:val="14"/>
                <w:szCs w:val="14"/>
                <w:lang w:eastAsia="cs-CZ"/>
              </w:rPr>
            </w:pPr>
            <w:r w:rsidRPr="00DB1559">
              <w:rPr>
                <w:rFonts w:cs="Tahoma"/>
                <w:b/>
                <w:bCs/>
                <w:color w:val="000000"/>
                <w:sz w:val="14"/>
                <w:szCs w:val="14"/>
                <w:lang w:eastAsia="cs-CZ"/>
              </w:rPr>
              <w:t>58</w:t>
            </w:r>
          </w:p>
        </w:tc>
        <w:tc>
          <w:tcPr>
            <w:tcW w:w="714" w:type="dxa"/>
            <w:shd w:val="clear" w:color="auto" w:fill="D8D8D8"/>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12</w:t>
            </w:r>
          </w:p>
        </w:tc>
      </w:tr>
      <w:tr w:rsidR="009D46E6" w:rsidRPr="00DB1559" w:rsidTr="00DB1559">
        <w:trPr>
          <w:trHeight w:val="220"/>
          <w:jc w:val="center"/>
        </w:trPr>
        <w:tc>
          <w:tcPr>
            <w:tcW w:w="473" w:type="dxa"/>
            <w:vMerge/>
            <w:tcBorders>
              <w:left w:val="nil"/>
              <w:bottom w:val="nil"/>
              <w:right w:val="nil"/>
            </w:tcBorders>
            <w:shd w:val="clear" w:color="auto" w:fill="4F81BD"/>
          </w:tcPr>
          <w:p w:rsidR="009D46E6" w:rsidRPr="00DB1559" w:rsidRDefault="009D46E6" w:rsidP="00DB1559">
            <w:pPr>
              <w:spacing w:after="0" w:line="240" w:lineRule="auto"/>
              <w:jc w:val="left"/>
              <w:rPr>
                <w:rFonts w:cs="Tahoma"/>
                <w:b/>
                <w:bCs/>
                <w:color w:val="000000"/>
                <w:sz w:val="14"/>
                <w:szCs w:val="14"/>
                <w:lang w:eastAsia="cs-CZ"/>
              </w:rPr>
            </w:pPr>
          </w:p>
        </w:tc>
        <w:tc>
          <w:tcPr>
            <w:tcW w:w="890" w:type="dxa"/>
            <w:noWrap/>
          </w:tcPr>
          <w:p w:rsidR="009D46E6" w:rsidRPr="00DB1559" w:rsidRDefault="009D46E6" w:rsidP="00DB1559">
            <w:pPr>
              <w:spacing w:after="0" w:line="240" w:lineRule="auto"/>
              <w:jc w:val="center"/>
              <w:rPr>
                <w:rFonts w:cs="Tahoma"/>
                <w:b/>
                <w:bCs/>
                <w:color w:val="000000"/>
                <w:sz w:val="14"/>
                <w:szCs w:val="14"/>
                <w:lang w:eastAsia="cs-CZ"/>
              </w:rPr>
            </w:pPr>
            <w:r w:rsidRPr="00DB1559">
              <w:rPr>
                <w:rFonts w:cs="Tahoma"/>
                <w:b/>
                <w:bCs/>
                <w:color w:val="000000"/>
                <w:sz w:val="14"/>
                <w:szCs w:val="14"/>
                <w:lang w:eastAsia="cs-CZ"/>
              </w:rPr>
              <w:t>2010</w:t>
            </w:r>
          </w:p>
        </w:tc>
        <w:tc>
          <w:tcPr>
            <w:tcW w:w="713" w:type="dxa"/>
            <w:noWrap/>
          </w:tcPr>
          <w:p w:rsidR="009D46E6" w:rsidRPr="00DB1559" w:rsidRDefault="009D46E6" w:rsidP="00DB1559">
            <w:pPr>
              <w:spacing w:after="0" w:line="240" w:lineRule="auto"/>
              <w:jc w:val="right"/>
              <w:rPr>
                <w:rFonts w:cs="Tahoma"/>
                <w:b/>
                <w:bCs/>
                <w:color w:val="000000"/>
                <w:sz w:val="14"/>
                <w:szCs w:val="14"/>
                <w:lang w:eastAsia="cs-CZ"/>
              </w:rPr>
            </w:pPr>
            <w:r w:rsidRPr="00DB1559">
              <w:rPr>
                <w:rFonts w:cs="Tahoma"/>
                <w:b/>
                <w:bCs/>
                <w:color w:val="000000"/>
                <w:sz w:val="14"/>
                <w:szCs w:val="14"/>
                <w:lang w:eastAsia="cs-CZ"/>
              </w:rPr>
              <w:t>8 251</w:t>
            </w:r>
          </w:p>
        </w:tc>
        <w:tc>
          <w:tcPr>
            <w:tcW w:w="714" w:type="dxa"/>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3 322</w:t>
            </w:r>
          </w:p>
        </w:tc>
        <w:tc>
          <w:tcPr>
            <w:tcW w:w="714" w:type="dxa"/>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878</w:t>
            </w:r>
          </w:p>
        </w:tc>
        <w:tc>
          <w:tcPr>
            <w:tcW w:w="714" w:type="dxa"/>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776</w:t>
            </w:r>
          </w:p>
        </w:tc>
        <w:tc>
          <w:tcPr>
            <w:tcW w:w="714" w:type="dxa"/>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718</w:t>
            </w:r>
          </w:p>
        </w:tc>
        <w:tc>
          <w:tcPr>
            <w:tcW w:w="714" w:type="dxa"/>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187</w:t>
            </w:r>
          </w:p>
        </w:tc>
        <w:tc>
          <w:tcPr>
            <w:tcW w:w="714" w:type="dxa"/>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158</w:t>
            </w:r>
          </w:p>
        </w:tc>
        <w:tc>
          <w:tcPr>
            <w:tcW w:w="714" w:type="dxa"/>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155</w:t>
            </w:r>
          </w:p>
        </w:tc>
        <w:tc>
          <w:tcPr>
            <w:tcW w:w="714" w:type="dxa"/>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121</w:t>
            </w:r>
          </w:p>
        </w:tc>
        <w:tc>
          <w:tcPr>
            <w:tcW w:w="714" w:type="dxa"/>
            <w:noWrap/>
          </w:tcPr>
          <w:p w:rsidR="009D46E6" w:rsidRPr="00DB1559" w:rsidRDefault="009D46E6" w:rsidP="00DB1559">
            <w:pPr>
              <w:spacing w:after="0" w:line="240" w:lineRule="auto"/>
              <w:jc w:val="right"/>
              <w:rPr>
                <w:rFonts w:cs="Tahoma"/>
                <w:b/>
                <w:bCs/>
                <w:color w:val="000000"/>
                <w:sz w:val="14"/>
                <w:szCs w:val="14"/>
                <w:lang w:eastAsia="cs-CZ"/>
              </w:rPr>
            </w:pPr>
            <w:r w:rsidRPr="00DB1559">
              <w:rPr>
                <w:rFonts w:cs="Tahoma"/>
                <w:b/>
                <w:bCs/>
                <w:color w:val="000000"/>
                <w:sz w:val="14"/>
                <w:szCs w:val="14"/>
                <w:lang w:eastAsia="cs-CZ"/>
              </w:rPr>
              <w:t>46</w:t>
            </w:r>
          </w:p>
        </w:tc>
        <w:tc>
          <w:tcPr>
            <w:tcW w:w="714" w:type="dxa"/>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36</w:t>
            </w:r>
          </w:p>
        </w:tc>
      </w:tr>
      <w:tr w:rsidR="009D46E6" w:rsidRPr="00DB1559" w:rsidTr="00DB1559">
        <w:trPr>
          <w:trHeight w:val="220"/>
          <w:jc w:val="center"/>
        </w:trPr>
        <w:tc>
          <w:tcPr>
            <w:tcW w:w="473" w:type="dxa"/>
            <w:vMerge/>
            <w:tcBorders>
              <w:left w:val="nil"/>
              <w:bottom w:val="nil"/>
              <w:right w:val="nil"/>
            </w:tcBorders>
            <w:shd w:val="clear" w:color="auto" w:fill="4F81BD"/>
          </w:tcPr>
          <w:p w:rsidR="009D46E6" w:rsidRPr="00DB1559" w:rsidRDefault="009D46E6" w:rsidP="00DB1559">
            <w:pPr>
              <w:spacing w:after="0" w:line="240" w:lineRule="auto"/>
              <w:jc w:val="left"/>
              <w:rPr>
                <w:rFonts w:cs="Tahoma"/>
                <w:b/>
                <w:bCs/>
                <w:color w:val="000000"/>
                <w:sz w:val="14"/>
                <w:szCs w:val="14"/>
                <w:lang w:eastAsia="cs-CZ"/>
              </w:rPr>
            </w:pPr>
          </w:p>
        </w:tc>
        <w:tc>
          <w:tcPr>
            <w:tcW w:w="890" w:type="dxa"/>
            <w:shd w:val="clear" w:color="auto" w:fill="D8D8D8"/>
            <w:noWrap/>
          </w:tcPr>
          <w:p w:rsidR="009D46E6" w:rsidRPr="00DB1559" w:rsidRDefault="009D46E6" w:rsidP="00DB1559">
            <w:pPr>
              <w:spacing w:after="0" w:line="240" w:lineRule="auto"/>
              <w:jc w:val="center"/>
              <w:rPr>
                <w:rFonts w:cs="Tahoma"/>
                <w:b/>
                <w:bCs/>
                <w:i/>
                <w:iCs/>
                <w:color w:val="000000"/>
                <w:sz w:val="14"/>
                <w:szCs w:val="14"/>
                <w:lang w:eastAsia="cs-CZ"/>
              </w:rPr>
            </w:pPr>
            <w:r w:rsidRPr="00DB1559">
              <w:rPr>
                <w:rFonts w:cs="Tahoma"/>
                <w:b/>
                <w:bCs/>
                <w:i/>
                <w:iCs/>
                <w:color w:val="000000"/>
                <w:sz w:val="14"/>
                <w:szCs w:val="14"/>
                <w:lang w:eastAsia="cs-CZ"/>
              </w:rPr>
              <w:t>2005</w:t>
            </w:r>
          </w:p>
        </w:tc>
        <w:tc>
          <w:tcPr>
            <w:tcW w:w="713" w:type="dxa"/>
            <w:shd w:val="clear" w:color="auto" w:fill="D8D8D8"/>
            <w:noWrap/>
          </w:tcPr>
          <w:p w:rsidR="009D46E6" w:rsidRPr="00DB1559" w:rsidRDefault="009D46E6" w:rsidP="00DB1559">
            <w:pPr>
              <w:spacing w:after="0" w:line="240" w:lineRule="auto"/>
              <w:jc w:val="right"/>
              <w:rPr>
                <w:rFonts w:cs="Tahoma"/>
                <w:b/>
                <w:bCs/>
                <w:i/>
                <w:iCs/>
                <w:color w:val="000000"/>
                <w:sz w:val="14"/>
                <w:szCs w:val="14"/>
                <w:lang w:eastAsia="cs-CZ"/>
              </w:rPr>
            </w:pPr>
            <w:r w:rsidRPr="00DB1559">
              <w:rPr>
                <w:rFonts w:cs="Tahoma"/>
                <w:b/>
                <w:bCs/>
                <w:i/>
                <w:iCs/>
                <w:color w:val="000000"/>
                <w:sz w:val="14"/>
                <w:szCs w:val="14"/>
                <w:lang w:eastAsia="cs-CZ"/>
              </w:rPr>
              <w:t>100,0</w:t>
            </w:r>
          </w:p>
        </w:tc>
        <w:tc>
          <w:tcPr>
            <w:tcW w:w="714" w:type="dxa"/>
            <w:shd w:val="clear" w:color="auto" w:fill="D8D8D8"/>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39,7</w:t>
            </w:r>
          </w:p>
        </w:tc>
        <w:tc>
          <w:tcPr>
            <w:tcW w:w="714" w:type="dxa"/>
            <w:shd w:val="clear" w:color="auto" w:fill="D8D8D8"/>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10,2</w:t>
            </w:r>
          </w:p>
        </w:tc>
        <w:tc>
          <w:tcPr>
            <w:tcW w:w="714" w:type="dxa"/>
            <w:shd w:val="clear" w:color="auto" w:fill="D8D8D8"/>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10,5</w:t>
            </w:r>
          </w:p>
        </w:tc>
        <w:tc>
          <w:tcPr>
            <w:tcW w:w="714" w:type="dxa"/>
            <w:shd w:val="clear" w:color="auto" w:fill="D8D8D8"/>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12,5</w:t>
            </w:r>
          </w:p>
        </w:tc>
        <w:tc>
          <w:tcPr>
            <w:tcW w:w="714" w:type="dxa"/>
            <w:shd w:val="clear" w:color="auto" w:fill="D8D8D8"/>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3,4</w:t>
            </w:r>
          </w:p>
        </w:tc>
        <w:tc>
          <w:tcPr>
            <w:tcW w:w="714" w:type="dxa"/>
            <w:shd w:val="clear" w:color="auto" w:fill="D8D8D8"/>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1,6</w:t>
            </w:r>
          </w:p>
        </w:tc>
        <w:tc>
          <w:tcPr>
            <w:tcW w:w="714" w:type="dxa"/>
            <w:shd w:val="clear" w:color="auto" w:fill="D8D8D8"/>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2,2</w:t>
            </w:r>
          </w:p>
        </w:tc>
        <w:tc>
          <w:tcPr>
            <w:tcW w:w="714" w:type="dxa"/>
            <w:shd w:val="clear" w:color="auto" w:fill="D8D8D8"/>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1,6</w:t>
            </w:r>
          </w:p>
        </w:tc>
        <w:tc>
          <w:tcPr>
            <w:tcW w:w="714" w:type="dxa"/>
            <w:shd w:val="clear" w:color="auto" w:fill="D8D8D8"/>
            <w:noWrap/>
          </w:tcPr>
          <w:p w:rsidR="009D46E6" w:rsidRPr="00DB1559" w:rsidRDefault="009D46E6" w:rsidP="00DB1559">
            <w:pPr>
              <w:spacing w:after="0" w:line="240" w:lineRule="auto"/>
              <w:jc w:val="right"/>
              <w:rPr>
                <w:rFonts w:cs="Tahoma"/>
                <w:b/>
                <w:bCs/>
                <w:i/>
                <w:iCs/>
                <w:color w:val="000000"/>
                <w:sz w:val="14"/>
                <w:szCs w:val="14"/>
                <w:lang w:eastAsia="cs-CZ"/>
              </w:rPr>
            </w:pPr>
            <w:r w:rsidRPr="00DB1559">
              <w:rPr>
                <w:rFonts w:cs="Tahoma"/>
                <w:b/>
                <w:bCs/>
                <w:i/>
                <w:iCs/>
                <w:color w:val="000000"/>
                <w:sz w:val="14"/>
                <w:szCs w:val="14"/>
                <w:lang w:eastAsia="cs-CZ"/>
              </w:rPr>
              <w:t>0,97</w:t>
            </w:r>
          </w:p>
        </w:tc>
        <w:tc>
          <w:tcPr>
            <w:tcW w:w="714" w:type="dxa"/>
            <w:shd w:val="clear" w:color="auto" w:fill="D8D8D8"/>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0,19</w:t>
            </w:r>
          </w:p>
        </w:tc>
      </w:tr>
      <w:tr w:rsidR="009D46E6" w:rsidRPr="00DB1559" w:rsidTr="00DB1559">
        <w:trPr>
          <w:trHeight w:val="220"/>
          <w:jc w:val="center"/>
        </w:trPr>
        <w:tc>
          <w:tcPr>
            <w:tcW w:w="473" w:type="dxa"/>
            <w:vMerge/>
            <w:tcBorders>
              <w:left w:val="nil"/>
              <w:bottom w:val="single" w:sz="4" w:space="0" w:color="000000"/>
              <w:right w:val="nil"/>
            </w:tcBorders>
            <w:shd w:val="clear" w:color="auto" w:fill="4F81BD"/>
          </w:tcPr>
          <w:p w:rsidR="009D46E6" w:rsidRPr="00DB1559" w:rsidRDefault="009D46E6" w:rsidP="00DB1559">
            <w:pPr>
              <w:spacing w:after="0" w:line="240" w:lineRule="auto"/>
              <w:jc w:val="left"/>
              <w:rPr>
                <w:rFonts w:cs="Tahoma"/>
                <w:b/>
                <w:bCs/>
                <w:color w:val="000000"/>
                <w:sz w:val="14"/>
                <w:szCs w:val="14"/>
                <w:lang w:eastAsia="cs-CZ"/>
              </w:rPr>
            </w:pPr>
          </w:p>
        </w:tc>
        <w:tc>
          <w:tcPr>
            <w:tcW w:w="890" w:type="dxa"/>
            <w:tcBorders>
              <w:bottom w:val="single" w:sz="4" w:space="0" w:color="000000"/>
            </w:tcBorders>
            <w:noWrap/>
          </w:tcPr>
          <w:p w:rsidR="009D46E6" w:rsidRPr="00DB1559" w:rsidRDefault="009D46E6" w:rsidP="00DB1559">
            <w:pPr>
              <w:spacing w:after="0" w:line="240" w:lineRule="auto"/>
              <w:jc w:val="center"/>
              <w:rPr>
                <w:rFonts w:cs="Tahoma"/>
                <w:b/>
                <w:bCs/>
                <w:i/>
                <w:iCs/>
                <w:color w:val="000000"/>
                <w:sz w:val="14"/>
                <w:szCs w:val="14"/>
                <w:lang w:eastAsia="cs-CZ"/>
              </w:rPr>
            </w:pPr>
            <w:r w:rsidRPr="00DB1559">
              <w:rPr>
                <w:rFonts w:cs="Tahoma"/>
                <w:b/>
                <w:bCs/>
                <w:i/>
                <w:iCs/>
                <w:color w:val="000000"/>
                <w:sz w:val="14"/>
                <w:szCs w:val="14"/>
                <w:lang w:eastAsia="cs-CZ"/>
              </w:rPr>
              <w:t>2010</w:t>
            </w:r>
          </w:p>
        </w:tc>
        <w:tc>
          <w:tcPr>
            <w:tcW w:w="713" w:type="dxa"/>
            <w:tcBorders>
              <w:bottom w:val="single" w:sz="4" w:space="0" w:color="000000"/>
            </w:tcBorders>
            <w:noWrap/>
          </w:tcPr>
          <w:p w:rsidR="009D46E6" w:rsidRPr="00DB1559" w:rsidRDefault="009D46E6" w:rsidP="00DB1559">
            <w:pPr>
              <w:spacing w:after="0" w:line="240" w:lineRule="auto"/>
              <w:jc w:val="right"/>
              <w:rPr>
                <w:rFonts w:cs="Tahoma"/>
                <w:b/>
                <w:bCs/>
                <w:i/>
                <w:iCs/>
                <w:color w:val="000000"/>
                <w:sz w:val="14"/>
                <w:szCs w:val="14"/>
                <w:lang w:eastAsia="cs-CZ"/>
              </w:rPr>
            </w:pPr>
            <w:r w:rsidRPr="00DB1559">
              <w:rPr>
                <w:rFonts w:cs="Tahoma"/>
                <w:b/>
                <w:bCs/>
                <w:i/>
                <w:iCs/>
                <w:color w:val="000000"/>
                <w:sz w:val="14"/>
                <w:szCs w:val="14"/>
                <w:lang w:eastAsia="cs-CZ"/>
              </w:rPr>
              <w:t>100,0</w:t>
            </w:r>
          </w:p>
        </w:tc>
        <w:tc>
          <w:tcPr>
            <w:tcW w:w="714" w:type="dxa"/>
            <w:tcBorders>
              <w:bottom w:val="single" w:sz="4" w:space="0" w:color="000000"/>
            </w:tcBorders>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40,3</w:t>
            </w:r>
          </w:p>
        </w:tc>
        <w:tc>
          <w:tcPr>
            <w:tcW w:w="714" w:type="dxa"/>
            <w:tcBorders>
              <w:bottom w:val="single" w:sz="4" w:space="0" w:color="000000"/>
            </w:tcBorders>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10,6</w:t>
            </w:r>
          </w:p>
        </w:tc>
        <w:tc>
          <w:tcPr>
            <w:tcW w:w="714" w:type="dxa"/>
            <w:tcBorders>
              <w:bottom w:val="single" w:sz="4" w:space="0" w:color="000000"/>
            </w:tcBorders>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9,4</w:t>
            </w:r>
          </w:p>
        </w:tc>
        <w:tc>
          <w:tcPr>
            <w:tcW w:w="714" w:type="dxa"/>
            <w:tcBorders>
              <w:bottom w:val="single" w:sz="4" w:space="0" w:color="000000"/>
            </w:tcBorders>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8,7</w:t>
            </w:r>
          </w:p>
        </w:tc>
        <w:tc>
          <w:tcPr>
            <w:tcW w:w="714" w:type="dxa"/>
            <w:tcBorders>
              <w:bottom w:val="single" w:sz="4" w:space="0" w:color="000000"/>
            </w:tcBorders>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2,3</w:t>
            </w:r>
          </w:p>
        </w:tc>
        <w:tc>
          <w:tcPr>
            <w:tcW w:w="714" w:type="dxa"/>
            <w:tcBorders>
              <w:bottom w:val="single" w:sz="4" w:space="0" w:color="000000"/>
            </w:tcBorders>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1,9</w:t>
            </w:r>
          </w:p>
        </w:tc>
        <w:tc>
          <w:tcPr>
            <w:tcW w:w="714" w:type="dxa"/>
            <w:tcBorders>
              <w:bottom w:val="single" w:sz="4" w:space="0" w:color="000000"/>
            </w:tcBorders>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1,9</w:t>
            </w:r>
          </w:p>
        </w:tc>
        <w:tc>
          <w:tcPr>
            <w:tcW w:w="714" w:type="dxa"/>
            <w:tcBorders>
              <w:bottom w:val="single" w:sz="4" w:space="0" w:color="000000"/>
            </w:tcBorders>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1,5</w:t>
            </w:r>
          </w:p>
        </w:tc>
        <w:tc>
          <w:tcPr>
            <w:tcW w:w="714" w:type="dxa"/>
            <w:tcBorders>
              <w:bottom w:val="single" w:sz="4" w:space="0" w:color="000000"/>
            </w:tcBorders>
            <w:noWrap/>
          </w:tcPr>
          <w:p w:rsidR="009D46E6" w:rsidRPr="00DB1559" w:rsidRDefault="009D46E6" w:rsidP="00DB1559">
            <w:pPr>
              <w:spacing w:after="0" w:line="240" w:lineRule="auto"/>
              <w:jc w:val="right"/>
              <w:rPr>
                <w:rFonts w:cs="Tahoma"/>
                <w:b/>
                <w:bCs/>
                <w:i/>
                <w:iCs/>
                <w:color w:val="000000"/>
                <w:sz w:val="14"/>
                <w:szCs w:val="14"/>
                <w:lang w:eastAsia="cs-CZ"/>
              </w:rPr>
            </w:pPr>
            <w:r w:rsidRPr="00DB1559">
              <w:rPr>
                <w:rFonts w:cs="Tahoma"/>
                <w:b/>
                <w:bCs/>
                <w:i/>
                <w:iCs/>
                <w:color w:val="000000"/>
                <w:sz w:val="14"/>
                <w:szCs w:val="14"/>
                <w:lang w:eastAsia="cs-CZ"/>
              </w:rPr>
              <w:t>0,56</w:t>
            </w:r>
          </w:p>
        </w:tc>
        <w:tc>
          <w:tcPr>
            <w:tcW w:w="714" w:type="dxa"/>
            <w:tcBorders>
              <w:bottom w:val="single" w:sz="4" w:space="0" w:color="000000"/>
            </w:tcBorders>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0,44</w:t>
            </w:r>
          </w:p>
        </w:tc>
      </w:tr>
      <w:tr w:rsidR="009D46E6" w:rsidRPr="00DB1559" w:rsidTr="00DB1559">
        <w:trPr>
          <w:trHeight w:val="220"/>
          <w:jc w:val="center"/>
        </w:trPr>
        <w:tc>
          <w:tcPr>
            <w:tcW w:w="473" w:type="dxa"/>
            <w:vMerge w:val="restart"/>
            <w:tcBorders>
              <w:top w:val="single" w:sz="4" w:space="0" w:color="000000"/>
              <w:left w:val="nil"/>
              <w:bottom w:val="nil"/>
              <w:right w:val="nil"/>
            </w:tcBorders>
            <w:shd w:val="clear" w:color="auto" w:fill="4F81BD"/>
            <w:noWrap/>
            <w:textDirection w:val="btLr"/>
          </w:tcPr>
          <w:p w:rsidR="009D46E6" w:rsidRPr="00DB1559" w:rsidRDefault="009D46E6" w:rsidP="00DB1559">
            <w:pPr>
              <w:spacing w:after="0" w:line="240" w:lineRule="auto"/>
              <w:jc w:val="center"/>
              <w:rPr>
                <w:rFonts w:cs="Tahoma"/>
                <w:b/>
                <w:bCs/>
                <w:color w:val="000000"/>
                <w:sz w:val="14"/>
                <w:szCs w:val="14"/>
                <w:lang w:eastAsia="cs-CZ"/>
              </w:rPr>
            </w:pPr>
            <w:r w:rsidRPr="00DB1559">
              <w:rPr>
                <w:rFonts w:cs="Tahoma"/>
                <w:b/>
                <w:bCs/>
                <w:color w:val="000000"/>
                <w:sz w:val="14"/>
                <w:szCs w:val="14"/>
                <w:lang w:eastAsia="cs-CZ"/>
              </w:rPr>
              <w:t>pouze HES</w:t>
            </w:r>
          </w:p>
        </w:tc>
        <w:tc>
          <w:tcPr>
            <w:tcW w:w="890" w:type="dxa"/>
            <w:tcBorders>
              <w:top w:val="single" w:sz="4" w:space="0" w:color="000000"/>
            </w:tcBorders>
            <w:shd w:val="clear" w:color="auto" w:fill="D8D8D8"/>
            <w:noWrap/>
          </w:tcPr>
          <w:p w:rsidR="009D46E6" w:rsidRPr="00DB1559" w:rsidRDefault="009D46E6" w:rsidP="00DB1559">
            <w:pPr>
              <w:spacing w:after="0" w:line="240" w:lineRule="auto"/>
              <w:jc w:val="center"/>
              <w:rPr>
                <w:rFonts w:cs="Tahoma"/>
                <w:b/>
                <w:bCs/>
                <w:color w:val="000000"/>
                <w:sz w:val="14"/>
                <w:szCs w:val="14"/>
                <w:lang w:eastAsia="cs-CZ"/>
              </w:rPr>
            </w:pPr>
            <w:r w:rsidRPr="00DB1559">
              <w:rPr>
                <w:rFonts w:cs="Tahoma"/>
                <w:b/>
                <w:bCs/>
                <w:color w:val="000000"/>
                <w:sz w:val="14"/>
                <w:szCs w:val="14"/>
                <w:lang w:eastAsia="cs-CZ"/>
              </w:rPr>
              <w:t>2005</w:t>
            </w:r>
          </w:p>
        </w:tc>
        <w:tc>
          <w:tcPr>
            <w:tcW w:w="713" w:type="dxa"/>
            <w:tcBorders>
              <w:top w:val="single" w:sz="4" w:space="0" w:color="000000"/>
            </w:tcBorders>
            <w:shd w:val="clear" w:color="auto" w:fill="D8D8D8"/>
            <w:noWrap/>
          </w:tcPr>
          <w:p w:rsidR="009D46E6" w:rsidRPr="00DB1559" w:rsidRDefault="009D46E6" w:rsidP="00DB1559">
            <w:pPr>
              <w:spacing w:after="0" w:line="240" w:lineRule="auto"/>
              <w:jc w:val="right"/>
              <w:rPr>
                <w:rFonts w:cs="Tahoma"/>
                <w:b/>
                <w:bCs/>
                <w:color w:val="000000"/>
                <w:sz w:val="14"/>
                <w:szCs w:val="14"/>
                <w:lang w:eastAsia="cs-CZ"/>
              </w:rPr>
            </w:pPr>
            <w:r w:rsidRPr="00DB1559">
              <w:rPr>
                <w:rFonts w:cs="Tahoma"/>
                <w:b/>
                <w:bCs/>
                <w:color w:val="000000"/>
                <w:sz w:val="14"/>
                <w:szCs w:val="14"/>
                <w:lang w:eastAsia="cs-CZ"/>
              </w:rPr>
              <w:t>3 369</w:t>
            </w:r>
          </w:p>
        </w:tc>
        <w:tc>
          <w:tcPr>
            <w:tcW w:w="714" w:type="dxa"/>
            <w:tcBorders>
              <w:top w:val="single" w:sz="4" w:space="0" w:color="000000"/>
            </w:tcBorders>
            <w:shd w:val="clear" w:color="auto" w:fill="D8D8D8"/>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1 505</w:t>
            </w:r>
          </w:p>
        </w:tc>
        <w:tc>
          <w:tcPr>
            <w:tcW w:w="714" w:type="dxa"/>
            <w:tcBorders>
              <w:top w:val="single" w:sz="4" w:space="0" w:color="000000"/>
            </w:tcBorders>
            <w:shd w:val="clear" w:color="auto" w:fill="D8D8D8"/>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462</w:t>
            </w:r>
          </w:p>
        </w:tc>
        <w:tc>
          <w:tcPr>
            <w:tcW w:w="714" w:type="dxa"/>
            <w:tcBorders>
              <w:top w:val="single" w:sz="4" w:space="0" w:color="000000"/>
            </w:tcBorders>
            <w:shd w:val="clear" w:color="auto" w:fill="D8D8D8"/>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121</w:t>
            </w:r>
          </w:p>
        </w:tc>
        <w:tc>
          <w:tcPr>
            <w:tcW w:w="714" w:type="dxa"/>
            <w:tcBorders>
              <w:top w:val="single" w:sz="4" w:space="0" w:color="000000"/>
            </w:tcBorders>
            <w:shd w:val="clear" w:color="auto" w:fill="D8D8D8"/>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403</w:t>
            </w:r>
          </w:p>
        </w:tc>
        <w:tc>
          <w:tcPr>
            <w:tcW w:w="714" w:type="dxa"/>
            <w:tcBorders>
              <w:top w:val="single" w:sz="4" w:space="0" w:color="000000"/>
            </w:tcBorders>
            <w:shd w:val="clear" w:color="auto" w:fill="D8D8D8"/>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51</w:t>
            </w:r>
          </w:p>
        </w:tc>
        <w:tc>
          <w:tcPr>
            <w:tcW w:w="714" w:type="dxa"/>
            <w:tcBorders>
              <w:top w:val="single" w:sz="4" w:space="0" w:color="000000"/>
            </w:tcBorders>
            <w:shd w:val="clear" w:color="auto" w:fill="D8D8D8"/>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75</w:t>
            </w:r>
          </w:p>
        </w:tc>
        <w:tc>
          <w:tcPr>
            <w:tcW w:w="714" w:type="dxa"/>
            <w:tcBorders>
              <w:top w:val="single" w:sz="4" w:space="0" w:color="000000"/>
            </w:tcBorders>
            <w:shd w:val="clear" w:color="auto" w:fill="D8D8D8"/>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69</w:t>
            </w:r>
          </w:p>
        </w:tc>
        <w:tc>
          <w:tcPr>
            <w:tcW w:w="714" w:type="dxa"/>
            <w:tcBorders>
              <w:top w:val="single" w:sz="4" w:space="0" w:color="000000"/>
            </w:tcBorders>
            <w:shd w:val="clear" w:color="auto" w:fill="D8D8D8"/>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48</w:t>
            </w:r>
          </w:p>
        </w:tc>
        <w:tc>
          <w:tcPr>
            <w:tcW w:w="714" w:type="dxa"/>
            <w:tcBorders>
              <w:top w:val="single" w:sz="4" w:space="0" w:color="000000"/>
            </w:tcBorders>
            <w:shd w:val="clear" w:color="auto" w:fill="D8D8D8"/>
            <w:noWrap/>
          </w:tcPr>
          <w:p w:rsidR="009D46E6" w:rsidRPr="00DB1559" w:rsidRDefault="009D46E6" w:rsidP="00DB1559">
            <w:pPr>
              <w:spacing w:after="0" w:line="240" w:lineRule="auto"/>
              <w:jc w:val="right"/>
              <w:rPr>
                <w:rFonts w:cs="Tahoma"/>
                <w:b/>
                <w:bCs/>
                <w:color w:val="000000"/>
                <w:sz w:val="14"/>
                <w:szCs w:val="14"/>
                <w:lang w:eastAsia="cs-CZ"/>
              </w:rPr>
            </w:pPr>
            <w:r w:rsidRPr="00DB1559">
              <w:rPr>
                <w:rFonts w:cs="Tahoma"/>
                <w:b/>
                <w:bCs/>
                <w:color w:val="000000"/>
                <w:sz w:val="14"/>
                <w:szCs w:val="14"/>
                <w:lang w:eastAsia="cs-CZ"/>
              </w:rPr>
              <w:t>4,1</w:t>
            </w:r>
          </w:p>
        </w:tc>
        <w:tc>
          <w:tcPr>
            <w:tcW w:w="714" w:type="dxa"/>
            <w:tcBorders>
              <w:top w:val="single" w:sz="4" w:space="0" w:color="000000"/>
            </w:tcBorders>
            <w:shd w:val="clear" w:color="auto" w:fill="D8D8D8"/>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0,6</w:t>
            </w:r>
          </w:p>
        </w:tc>
      </w:tr>
      <w:tr w:rsidR="009D46E6" w:rsidRPr="00DB1559" w:rsidTr="00DB1559">
        <w:trPr>
          <w:trHeight w:val="220"/>
          <w:jc w:val="center"/>
        </w:trPr>
        <w:tc>
          <w:tcPr>
            <w:tcW w:w="473" w:type="dxa"/>
            <w:vMerge/>
            <w:tcBorders>
              <w:left w:val="nil"/>
              <w:bottom w:val="nil"/>
              <w:right w:val="nil"/>
            </w:tcBorders>
            <w:shd w:val="clear" w:color="auto" w:fill="4F81BD"/>
          </w:tcPr>
          <w:p w:rsidR="009D46E6" w:rsidRPr="00DB1559" w:rsidRDefault="009D46E6" w:rsidP="00DB1559">
            <w:pPr>
              <w:spacing w:after="0" w:line="240" w:lineRule="auto"/>
              <w:jc w:val="left"/>
              <w:rPr>
                <w:rFonts w:cs="Tahoma"/>
                <w:b/>
                <w:bCs/>
                <w:color w:val="000000"/>
                <w:sz w:val="14"/>
                <w:szCs w:val="14"/>
                <w:lang w:eastAsia="cs-CZ"/>
              </w:rPr>
            </w:pPr>
          </w:p>
        </w:tc>
        <w:tc>
          <w:tcPr>
            <w:tcW w:w="890" w:type="dxa"/>
            <w:noWrap/>
          </w:tcPr>
          <w:p w:rsidR="009D46E6" w:rsidRPr="00DB1559" w:rsidRDefault="009D46E6" w:rsidP="00DB1559">
            <w:pPr>
              <w:spacing w:after="0" w:line="240" w:lineRule="auto"/>
              <w:jc w:val="center"/>
              <w:rPr>
                <w:rFonts w:cs="Tahoma"/>
                <w:b/>
                <w:bCs/>
                <w:color w:val="000000"/>
                <w:sz w:val="14"/>
                <w:szCs w:val="14"/>
                <w:lang w:eastAsia="cs-CZ"/>
              </w:rPr>
            </w:pPr>
            <w:r w:rsidRPr="00DB1559">
              <w:rPr>
                <w:rFonts w:cs="Tahoma"/>
                <w:b/>
                <w:bCs/>
                <w:color w:val="000000"/>
                <w:sz w:val="14"/>
                <w:szCs w:val="14"/>
                <w:lang w:eastAsia="cs-CZ"/>
              </w:rPr>
              <w:t>2010</w:t>
            </w:r>
          </w:p>
        </w:tc>
        <w:tc>
          <w:tcPr>
            <w:tcW w:w="713" w:type="dxa"/>
            <w:noWrap/>
          </w:tcPr>
          <w:p w:rsidR="009D46E6" w:rsidRPr="00DB1559" w:rsidRDefault="009D46E6" w:rsidP="00DB1559">
            <w:pPr>
              <w:spacing w:after="0" w:line="240" w:lineRule="auto"/>
              <w:jc w:val="right"/>
              <w:rPr>
                <w:rFonts w:cs="Tahoma"/>
                <w:b/>
                <w:bCs/>
                <w:color w:val="000000"/>
                <w:sz w:val="14"/>
                <w:szCs w:val="14"/>
                <w:lang w:eastAsia="cs-CZ"/>
              </w:rPr>
            </w:pPr>
            <w:r w:rsidRPr="00DB1559">
              <w:rPr>
                <w:rFonts w:cs="Tahoma"/>
                <w:b/>
                <w:bCs/>
                <w:color w:val="000000"/>
                <w:sz w:val="14"/>
                <w:szCs w:val="14"/>
                <w:lang w:eastAsia="cs-CZ"/>
              </w:rPr>
              <w:t>4 775</w:t>
            </w:r>
          </w:p>
        </w:tc>
        <w:tc>
          <w:tcPr>
            <w:tcW w:w="714" w:type="dxa"/>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2 178</w:t>
            </w:r>
          </w:p>
        </w:tc>
        <w:tc>
          <w:tcPr>
            <w:tcW w:w="714" w:type="dxa"/>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645</w:t>
            </w:r>
          </w:p>
        </w:tc>
        <w:tc>
          <w:tcPr>
            <w:tcW w:w="714" w:type="dxa"/>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212</w:t>
            </w:r>
          </w:p>
        </w:tc>
        <w:tc>
          <w:tcPr>
            <w:tcW w:w="714" w:type="dxa"/>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440</w:t>
            </w:r>
          </w:p>
        </w:tc>
        <w:tc>
          <w:tcPr>
            <w:tcW w:w="714" w:type="dxa"/>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61</w:t>
            </w:r>
          </w:p>
        </w:tc>
        <w:tc>
          <w:tcPr>
            <w:tcW w:w="714" w:type="dxa"/>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128</w:t>
            </w:r>
          </w:p>
        </w:tc>
        <w:tc>
          <w:tcPr>
            <w:tcW w:w="714" w:type="dxa"/>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88</w:t>
            </w:r>
          </w:p>
        </w:tc>
        <w:tc>
          <w:tcPr>
            <w:tcW w:w="714" w:type="dxa"/>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65</w:t>
            </w:r>
          </w:p>
        </w:tc>
        <w:tc>
          <w:tcPr>
            <w:tcW w:w="714" w:type="dxa"/>
            <w:noWrap/>
          </w:tcPr>
          <w:p w:rsidR="009D46E6" w:rsidRPr="00DB1559" w:rsidRDefault="009D46E6" w:rsidP="00DB1559">
            <w:pPr>
              <w:spacing w:after="0" w:line="240" w:lineRule="auto"/>
              <w:jc w:val="right"/>
              <w:rPr>
                <w:rFonts w:cs="Tahoma"/>
                <w:b/>
                <w:bCs/>
                <w:color w:val="000000"/>
                <w:sz w:val="14"/>
                <w:szCs w:val="14"/>
                <w:lang w:eastAsia="cs-CZ"/>
              </w:rPr>
            </w:pPr>
            <w:r w:rsidRPr="00DB1559">
              <w:rPr>
                <w:rFonts w:cs="Tahoma"/>
                <w:b/>
                <w:bCs/>
                <w:color w:val="000000"/>
                <w:sz w:val="14"/>
                <w:szCs w:val="14"/>
                <w:lang w:eastAsia="cs-CZ"/>
              </w:rPr>
              <w:t>8,0</w:t>
            </w:r>
          </w:p>
        </w:tc>
        <w:tc>
          <w:tcPr>
            <w:tcW w:w="714" w:type="dxa"/>
            <w:noWrap/>
          </w:tcPr>
          <w:p w:rsidR="009D46E6" w:rsidRPr="00DB1559" w:rsidRDefault="009D46E6" w:rsidP="00DB1559">
            <w:pPr>
              <w:spacing w:after="0" w:line="240" w:lineRule="auto"/>
              <w:jc w:val="right"/>
              <w:rPr>
                <w:rFonts w:cs="Tahoma"/>
                <w:color w:val="000000"/>
                <w:sz w:val="14"/>
                <w:szCs w:val="14"/>
                <w:lang w:eastAsia="cs-CZ"/>
              </w:rPr>
            </w:pPr>
            <w:r w:rsidRPr="00DB1559">
              <w:rPr>
                <w:rFonts w:cs="Tahoma"/>
                <w:color w:val="000000"/>
                <w:sz w:val="14"/>
                <w:szCs w:val="14"/>
                <w:lang w:eastAsia="cs-CZ"/>
              </w:rPr>
              <w:t>5,1</w:t>
            </w:r>
          </w:p>
        </w:tc>
      </w:tr>
      <w:tr w:rsidR="009D46E6" w:rsidRPr="00DB1559" w:rsidTr="00DB1559">
        <w:trPr>
          <w:trHeight w:val="220"/>
          <w:jc w:val="center"/>
        </w:trPr>
        <w:tc>
          <w:tcPr>
            <w:tcW w:w="473" w:type="dxa"/>
            <w:vMerge/>
            <w:tcBorders>
              <w:left w:val="nil"/>
              <w:bottom w:val="nil"/>
              <w:right w:val="nil"/>
            </w:tcBorders>
            <w:shd w:val="clear" w:color="auto" w:fill="4F81BD"/>
          </w:tcPr>
          <w:p w:rsidR="009D46E6" w:rsidRPr="00DB1559" w:rsidRDefault="009D46E6" w:rsidP="00DB1559">
            <w:pPr>
              <w:spacing w:after="0" w:line="240" w:lineRule="auto"/>
              <w:jc w:val="left"/>
              <w:rPr>
                <w:rFonts w:cs="Tahoma"/>
                <w:b/>
                <w:bCs/>
                <w:color w:val="000000"/>
                <w:sz w:val="14"/>
                <w:szCs w:val="14"/>
                <w:lang w:eastAsia="cs-CZ"/>
              </w:rPr>
            </w:pPr>
          </w:p>
        </w:tc>
        <w:tc>
          <w:tcPr>
            <w:tcW w:w="890" w:type="dxa"/>
            <w:shd w:val="clear" w:color="auto" w:fill="D8D8D8"/>
            <w:noWrap/>
          </w:tcPr>
          <w:p w:rsidR="009D46E6" w:rsidRPr="00DB1559" w:rsidRDefault="009D46E6" w:rsidP="00DB1559">
            <w:pPr>
              <w:spacing w:after="0" w:line="240" w:lineRule="auto"/>
              <w:jc w:val="center"/>
              <w:rPr>
                <w:rFonts w:cs="Tahoma"/>
                <w:b/>
                <w:bCs/>
                <w:i/>
                <w:iCs/>
                <w:color w:val="000000"/>
                <w:sz w:val="14"/>
                <w:szCs w:val="14"/>
                <w:lang w:eastAsia="cs-CZ"/>
              </w:rPr>
            </w:pPr>
            <w:r w:rsidRPr="00DB1559">
              <w:rPr>
                <w:rFonts w:cs="Tahoma"/>
                <w:b/>
                <w:bCs/>
                <w:i/>
                <w:iCs/>
                <w:color w:val="000000"/>
                <w:sz w:val="14"/>
                <w:szCs w:val="14"/>
                <w:lang w:eastAsia="cs-CZ"/>
              </w:rPr>
              <w:t>2005</w:t>
            </w:r>
          </w:p>
        </w:tc>
        <w:tc>
          <w:tcPr>
            <w:tcW w:w="713" w:type="dxa"/>
            <w:shd w:val="clear" w:color="auto" w:fill="D8D8D8"/>
            <w:noWrap/>
          </w:tcPr>
          <w:p w:rsidR="009D46E6" w:rsidRPr="00DB1559" w:rsidRDefault="009D46E6" w:rsidP="00DB1559">
            <w:pPr>
              <w:spacing w:after="0" w:line="240" w:lineRule="auto"/>
              <w:jc w:val="right"/>
              <w:rPr>
                <w:rFonts w:cs="Tahoma"/>
                <w:b/>
                <w:bCs/>
                <w:i/>
                <w:iCs/>
                <w:color w:val="000000"/>
                <w:sz w:val="14"/>
                <w:szCs w:val="14"/>
                <w:lang w:eastAsia="cs-CZ"/>
              </w:rPr>
            </w:pPr>
            <w:r w:rsidRPr="00DB1559">
              <w:rPr>
                <w:rFonts w:cs="Tahoma"/>
                <w:b/>
                <w:bCs/>
                <w:i/>
                <w:iCs/>
                <w:color w:val="000000"/>
                <w:sz w:val="14"/>
                <w:szCs w:val="14"/>
                <w:lang w:eastAsia="cs-CZ"/>
              </w:rPr>
              <w:t>100,0</w:t>
            </w:r>
          </w:p>
        </w:tc>
        <w:tc>
          <w:tcPr>
            <w:tcW w:w="714" w:type="dxa"/>
            <w:shd w:val="clear" w:color="auto" w:fill="D8D8D8"/>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44,7</w:t>
            </w:r>
          </w:p>
        </w:tc>
        <w:tc>
          <w:tcPr>
            <w:tcW w:w="714" w:type="dxa"/>
            <w:shd w:val="clear" w:color="auto" w:fill="D8D8D8"/>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13,7</w:t>
            </w:r>
          </w:p>
        </w:tc>
        <w:tc>
          <w:tcPr>
            <w:tcW w:w="714" w:type="dxa"/>
            <w:shd w:val="clear" w:color="auto" w:fill="D8D8D8"/>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3,6</w:t>
            </w:r>
          </w:p>
        </w:tc>
        <w:tc>
          <w:tcPr>
            <w:tcW w:w="714" w:type="dxa"/>
            <w:shd w:val="clear" w:color="auto" w:fill="D8D8D8"/>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12,0</w:t>
            </w:r>
          </w:p>
        </w:tc>
        <w:tc>
          <w:tcPr>
            <w:tcW w:w="714" w:type="dxa"/>
            <w:shd w:val="clear" w:color="auto" w:fill="D8D8D8"/>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1,5</w:t>
            </w:r>
          </w:p>
        </w:tc>
        <w:tc>
          <w:tcPr>
            <w:tcW w:w="714" w:type="dxa"/>
            <w:shd w:val="clear" w:color="auto" w:fill="D8D8D8"/>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2,2</w:t>
            </w:r>
          </w:p>
        </w:tc>
        <w:tc>
          <w:tcPr>
            <w:tcW w:w="714" w:type="dxa"/>
            <w:shd w:val="clear" w:color="auto" w:fill="D8D8D8"/>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2,1</w:t>
            </w:r>
          </w:p>
        </w:tc>
        <w:tc>
          <w:tcPr>
            <w:tcW w:w="714" w:type="dxa"/>
            <w:shd w:val="clear" w:color="auto" w:fill="D8D8D8"/>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1,4</w:t>
            </w:r>
          </w:p>
        </w:tc>
        <w:tc>
          <w:tcPr>
            <w:tcW w:w="714" w:type="dxa"/>
            <w:shd w:val="clear" w:color="auto" w:fill="D8D8D8"/>
            <w:noWrap/>
          </w:tcPr>
          <w:p w:rsidR="009D46E6" w:rsidRPr="00DB1559" w:rsidRDefault="009D46E6" w:rsidP="00DB1559">
            <w:pPr>
              <w:spacing w:after="0" w:line="240" w:lineRule="auto"/>
              <w:jc w:val="right"/>
              <w:rPr>
                <w:rFonts w:cs="Tahoma"/>
                <w:b/>
                <w:bCs/>
                <w:i/>
                <w:iCs/>
                <w:color w:val="000000"/>
                <w:sz w:val="14"/>
                <w:szCs w:val="14"/>
                <w:lang w:eastAsia="cs-CZ"/>
              </w:rPr>
            </w:pPr>
            <w:r w:rsidRPr="00DB1559">
              <w:rPr>
                <w:rFonts w:cs="Tahoma"/>
                <w:b/>
                <w:bCs/>
                <w:i/>
                <w:iCs/>
                <w:color w:val="000000"/>
                <w:sz w:val="14"/>
                <w:szCs w:val="14"/>
                <w:lang w:eastAsia="cs-CZ"/>
              </w:rPr>
              <w:t>0,12</w:t>
            </w:r>
          </w:p>
        </w:tc>
        <w:tc>
          <w:tcPr>
            <w:tcW w:w="714" w:type="dxa"/>
            <w:shd w:val="clear" w:color="auto" w:fill="D8D8D8"/>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0,02</w:t>
            </w:r>
          </w:p>
        </w:tc>
      </w:tr>
      <w:tr w:rsidR="009D46E6" w:rsidRPr="00DB1559" w:rsidTr="00DB1559">
        <w:trPr>
          <w:trHeight w:val="235"/>
          <w:jc w:val="center"/>
        </w:trPr>
        <w:tc>
          <w:tcPr>
            <w:tcW w:w="473" w:type="dxa"/>
            <w:vMerge/>
            <w:tcBorders>
              <w:left w:val="nil"/>
              <w:bottom w:val="single" w:sz="18" w:space="0" w:color="auto"/>
              <w:right w:val="nil"/>
            </w:tcBorders>
            <w:shd w:val="clear" w:color="auto" w:fill="4F81BD"/>
          </w:tcPr>
          <w:p w:rsidR="009D46E6" w:rsidRPr="00DB1559" w:rsidRDefault="009D46E6" w:rsidP="00DB1559">
            <w:pPr>
              <w:spacing w:after="0" w:line="240" w:lineRule="auto"/>
              <w:jc w:val="left"/>
              <w:rPr>
                <w:rFonts w:cs="Tahoma"/>
                <w:b/>
                <w:bCs/>
                <w:color w:val="000000"/>
                <w:sz w:val="14"/>
                <w:szCs w:val="14"/>
                <w:lang w:eastAsia="cs-CZ"/>
              </w:rPr>
            </w:pPr>
          </w:p>
        </w:tc>
        <w:tc>
          <w:tcPr>
            <w:tcW w:w="890" w:type="dxa"/>
            <w:tcBorders>
              <w:bottom w:val="single" w:sz="18" w:space="0" w:color="auto"/>
            </w:tcBorders>
            <w:noWrap/>
          </w:tcPr>
          <w:p w:rsidR="009D46E6" w:rsidRPr="00DB1559" w:rsidRDefault="009D46E6" w:rsidP="00DB1559">
            <w:pPr>
              <w:spacing w:after="0" w:line="240" w:lineRule="auto"/>
              <w:jc w:val="center"/>
              <w:rPr>
                <w:rFonts w:cs="Tahoma"/>
                <w:b/>
                <w:bCs/>
                <w:i/>
                <w:iCs/>
                <w:color w:val="000000"/>
                <w:sz w:val="14"/>
                <w:szCs w:val="14"/>
                <w:lang w:eastAsia="cs-CZ"/>
              </w:rPr>
            </w:pPr>
            <w:r w:rsidRPr="00DB1559">
              <w:rPr>
                <w:rFonts w:cs="Tahoma"/>
                <w:b/>
                <w:bCs/>
                <w:i/>
                <w:iCs/>
                <w:color w:val="000000"/>
                <w:sz w:val="14"/>
                <w:szCs w:val="14"/>
                <w:lang w:eastAsia="cs-CZ"/>
              </w:rPr>
              <w:t>2010</w:t>
            </w:r>
          </w:p>
        </w:tc>
        <w:tc>
          <w:tcPr>
            <w:tcW w:w="713" w:type="dxa"/>
            <w:tcBorders>
              <w:bottom w:val="single" w:sz="18" w:space="0" w:color="auto"/>
            </w:tcBorders>
            <w:noWrap/>
          </w:tcPr>
          <w:p w:rsidR="009D46E6" w:rsidRPr="00DB1559" w:rsidRDefault="009D46E6" w:rsidP="00DB1559">
            <w:pPr>
              <w:spacing w:after="0" w:line="240" w:lineRule="auto"/>
              <w:jc w:val="right"/>
              <w:rPr>
                <w:rFonts w:cs="Tahoma"/>
                <w:b/>
                <w:bCs/>
                <w:i/>
                <w:iCs/>
                <w:color w:val="000000"/>
                <w:sz w:val="14"/>
                <w:szCs w:val="14"/>
                <w:lang w:eastAsia="cs-CZ"/>
              </w:rPr>
            </w:pPr>
            <w:r w:rsidRPr="00DB1559">
              <w:rPr>
                <w:rFonts w:cs="Tahoma"/>
                <w:b/>
                <w:bCs/>
                <w:i/>
                <w:iCs/>
                <w:color w:val="000000"/>
                <w:sz w:val="14"/>
                <w:szCs w:val="14"/>
                <w:lang w:eastAsia="cs-CZ"/>
              </w:rPr>
              <w:t>100,0</w:t>
            </w:r>
          </w:p>
        </w:tc>
        <w:tc>
          <w:tcPr>
            <w:tcW w:w="714" w:type="dxa"/>
            <w:tcBorders>
              <w:bottom w:val="single" w:sz="18" w:space="0" w:color="auto"/>
            </w:tcBorders>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45,6</w:t>
            </w:r>
          </w:p>
        </w:tc>
        <w:tc>
          <w:tcPr>
            <w:tcW w:w="714" w:type="dxa"/>
            <w:tcBorders>
              <w:bottom w:val="single" w:sz="18" w:space="0" w:color="auto"/>
            </w:tcBorders>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13,5</w:t>
            </w:r>
          </w:p>
        </w:tc>
        <w:tc>
          <w:tcPr>
            <w:tcW w:w="714" w:type="dxa"/>
            <w:tcBorders>
              <w:bottom w:val="single" w:sz="18" w:space="0" w:color="auto"/>
            </w:tcBorders>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4,4</w:t>
            </w:r>
          </w:p>
        </w:tc>
        <w:tc>
          <w:tcPr>
            <w:tcW w:w="714" w:type="dxa"/>
            <w:tcBorders>
              <w:bottom w:val="single" w:sz="18" w:space="0" w:color="auto"/>
            </w:tcBorders>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9,2</w:t>
            </w:r>
          </w:p>
        </w:tc>
        <w:tc>
          <w:tcPr>
            <w:tcW w:w="714" w:type="dxa"/>
            <w:tcBorders>
              <w:bottom w:val="single" w:sz="18" w:space="0" w:color="auto"/>
            </w:tcBorders>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1,3</w:t>
            </w:r>
          </w:p>
        </w:tc>
        <w:tc>
          <w:tcPr>
            <w:tcW w:w="714" w:type="dxa"/>
            <w:tcBorders>
              <w:bottom w:val="single" w:sz="18" w:space="0" w:color="auto"/>
            </w:tcBorders>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2,7</w:t>
            </w:r>
          </w:p>
        </w:tc>
        <w:tc>
          <w:tcPr>
            <w:tcW w:w="714" w:type="dxa"/>
            <w:tcBorders>
              <w:bottom w:val="single" w:sz="18" w:space="0" w:color="auto"/>
            </w:tcBorders>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1,8</w:t>
            </w:r>
          </w:p>
        </w:tc>
        <w:tc>
          <w:tcPr>
            <w:tcW w:w="714" w:type="dxa"/>
            <w:tcBorders>
              <w:bottom w:val="single" w:sz="18" w:space="0" w:color="auto"/>
            </w:tcBorders>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1,4</w:t>
            </w:r>
          </w:p>
        </w:tc>
        <w:tc>
          <w:tcPr>
            <w:tcW w:w="714" w:type="dxa"/>
            <w:tcBorders>
              <w:bottom w:val="single" w:sz="18" w:space="0" w:color="auto"/>
            </w:tcBorders>
            <w:noWrap/>
          </w:tcPr>
          <w:p w:rsidR="009D46E6" w:rsidRPr="00DB1559" w:rsidRDefault="009D46E6" w:rsidP="00DB1559">
            <w:pPr>
              <w:spacing w:after="0" w:line="240" w:lineRule="auto"/>
              <w:jc w:val="right"/>
              <w:rPr>
                <w:rFonts w:cs="Tahoma"/>
                <w:b/>
                <w:bCs/>
                <w:i/>
                <w:iCs/>
                <w:color w:val="000000"/>
                <w:sz w:val="14"/>
                <w:szCs w:val="14"/>
                <w:lang w:eastAsia="cs-CZ"/>
              </w:rPr>
            </w:pPr>
            <w:r w:rsidRPr="00DB1559">
              <w:rPr>
                <w:rFonts w:cs="Tahoma"/>
                <w:b/>
                <w:bCs/>
                <w:i/>
                <w:iCs/>
                <w:color w:val="000000"/>
                <w:sz w:val="14"/>
                <w:szCs w:val="14"/>
                <w:lang w:eastAsia="cs-CZ"/>
              </w:rPr>
              <w:t>0,17</w:t>
            </w:r>
          </w:p>
        </w:tc>
        <w:tc>
          <w:tcPr>
            <w:tcW w:w="714" w:type="dxa"/>
            <w:tcBorders>
              <w:bottom w:val="single" w:sz="18" w:space="0" w:color="auto"/>
            </w:tcBorders>
            <w:noWrap/>
          </w:tcPr>
          <w:p w:rsidR="009D46E6" w:rsidRPr="00DB1559" w:rsidRDefault="009D46E6" w:rsidP="00DB1559">
            <w:pPr>
              <w:spacing w:after="0" w:line="240" w:lineRule="auto"/>
              <w:jc w:val="right"/>
              <w:rPr>
                <w:rFonts w:cs="Tahoma"/>
                <w:i/>
                <w:iCs/>
                <w:color w:val="000000"/>
                <w:sz w:val="14"/>
                <w:szCs w:val="14"/>
                <w:lang w:eastAsia="cs-CZ"/>
              </w:rPr>
            </w:pPr>
            <w:r w:rsidRPr="00DB1559">
              <w:rPr>
                <w:rFonts w:cs="Tahoma"/>
                <w:i/>
                <w:iCs/>
                <w:color w:val="000000"/>
                <w:sz w:val="14"/>
                <w:szCs w:val="14"/>
                <w:lang w:eastAsia="cs-CZ"/>
              </w:rPr>
              <w:t>0,11</w:t>
            </w:r>
          </w:p>
        </w:tc>
      </w:tr>
    </w:tbl>
    <w:p w:rsidR="009D46E6" w:rsidRDefault="009D46E6" w:rsidP="00A4084F">
      <w:pPr>
        <w:pStyle w:val="Poznmka"/>
      </w:pPr>
      <w:r>
        <w:t>Zdroj: OECD MSTI 2013/1, Eurostat září 2013 a vlastní dopočty ČSÚ</w:t>
      </w:r>
    </w:p>
    <w:p w:rsidR="009D46E6" w:rsidRDefault="009D46E6" w:rsidP="00A4084F"/>
    <w:p w:rsidR="009D46E6" w:rsidRDefault="009D46E6" w:rsidP="00070A59">
      <w:r>
        <w:t>Ve vládním i vysokoškolském sektoru nedosahují měsíční mzdové náklady na VaV připadající na jednoho zde přepočteného zaměstnance pracujícího ve VaV (FTE) jak v ČR, tak i v ostatních nových členských zemích úrovně průměru EU15. Ve všech ze sledovaných zemí (kromě Německa a Itálie) jsou hodnoty za vládní sektor vyšší než za vysokoškolský.</w:t>
      </w:r>
    </w:p>
    <w:p w:rsidR="009D46E6" w:rsidRDefault="009D46E6" w:rsidP="00394D8B">
      <w:pPr>
        <w:pStyle w:val="Caption"/>
        <w:tabs>
          <w:tab w:val="clear" w:pos="1276"/>
        </w:tabs>
        <w:ind w:left="1134" w:hanging="1134"/>
      </w:pPr>
      <w:bookmarkStart w:id="56" w:name="_Toc369091983"/>
      <w:r>
        <w:t xml:space="preserve">Graf </w:t>
      </w:r>
      <w:fldSimple w:instr=" STYLEREF 1 \s ">
        <w:r>
          <w:rPr>
            <w:noProof/>
          </w:rPr>
          <w:t>A</w:t>
        </w:r>
      </w:fldSimple>
      <w:r>
        <w:t>.</w:t>
      </w:r>
      <w:fldSimple w:instr=" SEQ Graf \* ARABIC \s 1 ">
        <w:r>
          <w:rPr>
            <w:noProof/>
          </w:rPr>
          <w:t>22</w:t>
        </w:r>
      </w:fldSimple>
      <w:r w:rsidRPr="00BD5EC7">
        <w:t xml:space="preserve">: </w:t>
      </w:r>
      <w:r w:rsidRPr="00394D8B">
        <w:t>Měsíční mzdové náklady na VaV připadající na zaměstnance VaV (FTE) pracujícího ve vysokoškolském (HES) a vládním (GOV) sektoru, 2010 (PPP)</w:t>
      </w:r>
      <w:bookmarkEnd w:id="56"/>
    </w:p>
    <w:p w:rsidR="009D46E6" w:rsidRPr="00394D8B" w:rsidRDefault="009D46E6" w:rsidP="00394D8B">
      <w:pPr>
        <w:pStyle w:val="Objekt"/>
        <w:rPr>
          <w:lang w:eastAsia="en-US"/>
        </w:rPr>
      </w:pPr>
      <w:r w:rsidRPr="001D1D98">
        <w:pict>
          <v:shape id="Graf 203" o:spid="_x0000_i1080" type="#_x0000_t75" style="width:235.2pt;height:343.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qJSkR3QAAAAUBAAAPAAAAZHJzL2Rvd25y&#10;ZXYueG1sTI/NTsMwEITvSLyDtUjcqE1VpSWNU/EjEAcuTWnP23hJosbrELtN+vaYXuCy0mhGM99m&#10;q9G24kS9bxxruJ8oEMSlMw1XGj43r3cLED4gG2wdk4YzeVjl11cZpsYNvKZTESoRS9inqKEOoUul&#10;9GVNFv3EdcTR+3K9xRBlX0nT4xDLbSunSiXSYsNxocaOnmsqD8XRapiO2/JcfO+2L2GjhoeP97U7&#10;vD1pfXszPi5BBBrDXxh+8SM65JFp745svGg1xEfC5UZvNlczEHsNyWKegMwz+Z8+/wE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">
            <v:imagedata r:id="rId67" o:title="" croptop="-1228f" cropbottom="-796f" cropleft="-416f" cropright="-1534f"/>
            <o:lock v:ext="edit" aspectratio="f"/>
          </v:shape>
        </w:pict>
      </w:r>
      <w:r>
        <w:rPr>
          <w:lang w:eastAsia="en-US"/>
        </w:rPr>
        <w:tab/>
      </w:r>
      <w:r w:rsidRPr="001D1D98">
        <w:pict>
          <v:shape id="Graf 204" o:spid="_x0000_i1081" type="#_x0000_t75" style="width:230.4pt;height:343.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WtW9a3AAAAAUBAAAPAAAAZHJzL2Rvd25y&#10;ZXYueG1sTI9BS8NAEIXvgv9hGcGb3VhKWmI2RQqK5GZspcdJdswGs7Mxu2njv3f1Ui8Dj/d475t8&#10;O9tenGj0nWMF94sEBHHjdMetgv3b090GhA/IGnvHpOCbPGyL66scM+3O/EqnKrQilrDPUIEJYcik&#10;9I0hi37hBuLofbjRYohybKUe8RzLbS+XSZJKix3HBYMD7Qw1n9VkFUwvbbN7rsvj/ngoO1Me3iv5&#10;tVTq9mZ+fAARaA6XMPziR3QoIlPtJtZe9AriI+HvRm+1TlYgagXpZp2CLHL5n774AQ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">
            <v:imagedata r:id="rId68" o:title="" croptop="-1228f" cropbottom="-796f" cropleft="-272f" cropright="-1531f"/>
            <o:lock v:ext="edit" aspectratio="f"/>
          </v:shape>
        </w:pict>
      </w:r>
    </w:p>
    <w:p w:rsidR="009D46E6" w:rsidRDefault="009D46E6" w:rsidP="00394D8B">
      <w:pPr>
        <w:pStyle w:val="Zdroj"/>
      </w:pPr>
      <w:r>
        <w:t>Zdroj: OECD MSTI 2013/1, Eurostat září 2013 a vlastní dopočty ČSÚ</w:t>
      </w:r>
    </w:p>
    <w:p w:rsidR="009D46E6" w:rsidRPr="006B2A35" w:rsidRDefault="009D46E6" w:rsidP="006B2A35"/>
    <w:p w:rsidR="009D46E6" w:rsidRPr="006B2A35" w:rsidRDefault="009D46E6" w:rsidP="006B2A35">
      <w:r w:rsidRPr="006B2A35">
        <w:br w:type="page"/>
      </w:r>
    </w:p>
    <w:p w:rsidR="009D46E6" w:rsidRDefault="009D46E6" w:rsidP="006B2A35">
      <w:pPr>
        <w:pStyle w:val="Heading3"/>
      </w:pPr>
      <w:bookmarkStart w:id="57" w:name="_Toc369091868"/>
      <w:r>
        <w:t>Výdaje za VaV provedený v podnikatelském sektoru – Soukromý VaV</w:t>
      </w:r>
      <w:bookmarkEnd w:id="57"/>
    </w:p>
    <w:p w:rsidR="009D46E6" w:rsidRDefault="009D46E6" w:rsidP="006B2A35">
      <w:r>
        <w:t xml:space="preserve">V České republice byl v roce 2012 VaV prováděn ve 2 311 podnicích na 2 334 pracovištích, z nichž přibližně polovina se věnuje VaV činnosti v posledních pěti letech soustavně. Především u menších ekonomických subjektů je vyšší zastoupení podniků, jež neprováděly VaV po celé sledované období. Z výše uvedených 2 334 pracovišť VaV v podnikatelském sektoru pouze ve čtvrtině z nich bylo v roce 2012 za VaV utraceno více jak 10 mil. Kč a pouze ve třech ze sta více jak 100 mil. Kč.  Naopak téměř čtvrtina z těchto pracovišť uváděla, že za provedený VaV v roce 2012 utratila méně než milion korun a ve třech čtvrtinách pracovalo méně než 10 přepočtených osob ve VaV. </w:t>
      </w:r>
    </w:p>
    <w:p w:rsidR="009D46E6" w:rsidRDefault="009D46E6" w:rsidP="006B2A35">
      <w:r>
        <w:t xml:space="preserve">Pokud jde o vlastnictví sledovaných podniků, přibližně tři čtvrtiny tvoří soukromé domácí podniky (1 710), necelá čtvrtina (549) připadá na podniky pod zahraniční kontrolou a 2,5 % na veřejné podniky. Pokud jde o velikost sledovaných ekonomických subjektů provádějících VaV podnikatelském sektoru, ve třetině z nich jde o střední podniky s 50 až 249 zaměstnanci, tři z deseti se nacházejí mezi malými podniky s 10 až 49 zaměstnanci a necelá pětina pak připadá na mikropodniky (0-9 zaměstnanci) a na velké podniky s 250 a více zaměstnanci. </w:t>
      </w:r>
    </w:p>
    <w:p w:rsidR="009D46E6" w:rsidRDefault="009D46E6" w:rsidP="006B2A35">
      <w:r>
        <w:t>V roce 2012 stejně jako v roce předchozím provádělo VaV jako svoji hlavní ekonomickou činnost (CZ-NACE 72) 113 podniků na 153 pracovištích. Většina z nich (83 %, 126) patří mezi soukromé domácí podniky. Mnoho těchto podniků vzniklo z bývalých resortních výzkumných pracovišť. Ostatní pracoviště VaV v podnikatelském sektoru z více jak poloviny patřila subjektům s převažující ekonomickou činností v oblasti zpracovatelského průmyslu. V roce 2012 šlo konkrétně o 1 218 podniků, z nich nejvíce (22 %, 262) patřilo do Strojírenského průmyslu (CZ-NACE 28+331) a po 11 % (128 podnicích) do Elektrotechnického průmyslu (CZ-NACE 27) a Výroby kovových konstrukcí a kovodělných výrobků (CZ-NACE 25). Jde spolu s Gumárenským a plastovým průmyslem (CZ-NACE 22) o odvětví, kde došlo od roku 2007 v absolutním vyjádření k největšímu nárůstu počtu podniků provádějících VaV. V odvětví služeb se nejvíce VaV pracovišť, kromě výše uvedené CZ-NACE 72, nacházelo v podnicích s převažující činností v oblasti Programování (CZ-NACE 6201) a Inženýrských činností a souvisejícího technického poradenství (CZ-NACE 7112). Jde ve většině případů o menší soukromé domácí podniky.</w:t>
      </w:r>
    </w:p>
    <w:p w:rsidR="009D46E6" w:rsidRDefault="009D46E6" w:rsidP="006B2A35">
      <w:r>
        <w:t xml:space="preserve">V roce 2012 výdaje za provedený VaV v podnikatelském sektoru poprvé překonaly hranici 1 % HDP a na celkových investicích uskutečněných v podnikatelském sektoru (pouze nefinanční podniky) se tyto výdaje dokonce podílely téměř 7 %. Opět jde o nejvyšší hodnotu za celé sledované období, například v letech 2005 až 2007 se tento ukazatel pohyboval mezi 4,5 % a 5 %.   </w:t>
      </w:r>
    </w:p>
    <w:p w:rsidR="009D46E6" w:rsidRDefault="009D46E6" w:rsidP="006B2A35">
      <w:pPr>
        <w:pStyle w:val="Caption"/>
        <w:tabs>
          <w:tab w:val="clear" w:pos="1276"/>
        </w:tabs>
        <w:ind w:left="1134" w:hanging="1134"/>
      </w:pPr>
      <w:bookmarkStart w:id="58" w:name="_Toc369091984"/>
      <w:r>
        <w:t xml:space="preserve">Graf </w:t>
      </w:r>
      <w:fldSimple w:instr=" STYLEREF 1 \s ">
        <w:r>
          <w:rPr>
            <w:noProof/>
          </w:rPr>
          <w:t>A</w:t>
        </w:r>
      </w:fldSimple>
      <w:r>
        <w:t>.</w:t>
      </w:r>
      <w:fldSimple w:instr=" SEQ Graf \* ARABIC \s 1 ">
        <w:r>
          <w:rPr>
            <w:noProof/>
          </w:rPr>
          <w:t>23</w:t>
        </w:r>
      </w:fldSimple>
      <w:r w:rsidRPr="00BD5EC7">
        <w:t xml:space="preserve">: </w:t>
      </w:r>
      <w:r w:rsidRPr="006B2A35">
        <w:t>Výdaje za VaV provedený v podnikatelském s</w:t>
      </w:r>
      <w:r>
        <w:t>ektoru ČR (BERD), 1995</w:t>
      </w:r>
      <w:r w:rsidRPr="006B2A35">
        <w:t>-2012</w:t>
      </w:r>
      <w:bookmarkEnd w:id="58"/>
    </w:p>
    <w:p w:rsidR="009D46E6" w:rsidRPr="006B2A35" w:rsidRDefault="009D46E6" w:rsidP="006B2A35">
      <w:pPr>
        <w:pStyle w:val="Objekt"/>
        <w:rPr>
          <w:lang w:eastAsia="en-US"/>
        </w:rPr>
      </w:pPr>
      <w:r w:rsidRPr="001D1D98">
        <w:pict>
          <v:shape id="Graf 229" o:spid="_x0000_i1082" type="#_x0000_t75" style="width:481.8pt;height:180.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8ylKo3gAAAAUBAAAPAAAAZHJzL2Rvd25y&#10;ZXYueG1sTI/BTsMwEETvSPyDtUjcqFOKQglxKlqpJ6ASTUHi5sbbOBCvQ+y24e9ZuNDLSqMZzbzN&#10;Z4NrxQH70HhSMB4lIJAqbxqqFWzK5dUURIiajG49oYJvDDArzs9ynRl/pBc8rGMtuIRCphXYGLtM&#10;ylBZdDqMfIfE3s73TkeWfS1Nr49c7lp5nSSpdLohXrC6w4XF6nO9dwqearucv73fvj6u5mO5+7If&#10;i+eyVOryYni4BxFxiP9h+MVndCiYaev3ZIJoFfAj8e+yd5dOUhBbBZN0egOyyOUpffED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">
            <v:imagedata r:id="rId69" o:title="" croptop="-4163f" cropbottom="-2999f" cropleft="-1444f" cropright="-1916f"/>
            <o:lock v:ext="edit" aspectratio="f"/>
          </v:shape>
        </w:pict>
      </w:r>
    </w:p>
    <w:p w:rsidR="009D46E6" w:rsidRDefault="009D46E6" w:rsidP="006B2A35">
      <w:pPr>
        <w:pStyle w:val="Zdroj"/>
      </w:pPr>
      <w:r>
        <w:t>Zdroj: Český statistický úřad 2013, Roční statistické šetření výzkumu a vývoje VTR 5-01</w:t>
      </w:r>
    </w:p>
    <w:p w:rsidR="009D46E6" w:rsidRDefault="009D46E6" w:rsidP="006B2A35"/>
    <w:p w:rsidR="009D46E6" w:rsidRDefault="009D46E6" w:rsidP="006B2A35">
      <w:r>
        <w:t>Jak již bylo uvedeno výše, je podnikový VaV z hlediska objemu utracených finančních prostředků nejvýznamnějším sektorem provádění v ČR, i když v posledních dvou letech jeho podíl na celkových výdajích na VaV v ČR klesá. V roce 2012 utratily podniky za u nich provedený VaV (BERD) celkem téměř 40 miliard (38,8 mld. Kč), tj. o 4,1 mld. Kč více než v předchozím roce, o 8,3 mld. Kč více než v roce 2010 a o třetinu (9,5 mld. Kč) více než v roce 2007. Po dvou letech poklesu se tak podniky v ČR vrátily na růstovou trajektorii výdajů na VaV.</w:t>
      </w:r>
    </w:p>
    <w:p w:rsidR="009D46E6" w:rsidRDefault="009D46E6" w:rsidP="006B2A35">
      <w:pPr>
        <w:pStyle w:val="Caption"/>
      </w:pPr>
      <w:bookmarkStart w:id="59" w:name="_Toc369091926"/>
      <w:r>
        <w:t xml:space="preserve">Tabulka </w:t>
      </w:r>
      <w:fldSimple w:instr=" STYLEREF 1 \s ">
        <w:r>
          <w:rPr>
            <w:noProof/>
          </w:rPr>
          <w:t>A</w:t>
        </w:r>
      </w:fldSimple>
      <w:r>
        <w:t>.</w:t>
      </w:r>
      <w:fldSimple w:instr=" SEQ Tabulka \* ARABIC \s 1 ">
        <w:r>
          <w:rPr>
            <w:noProof/>
          </w:rPr>
          <w:t>5</w:t>
        </w:r>
      </w:fldSimple>
      <w:r w:rsidRPr="00BC1D05">
        <w:t xml:space="preserve">: </w:t>
      </w:r>
      <w:r w:rsidRPr="006B2A35">
        <w:t>Meziroční změna výdajů za VaV provedený v podnicích ČR, 2005</w:t>
      </w:r>
      <w:r>
        <w:t>-</w:t>
      </w:r>
      <w:r w:rsidRPr="006B2A35">
        <w:t>2012</w:t>
      </w:r>
      <w:bookmarkEnd w:id="59"/>
    </w:p>
    <w:tbl>
      <w:tblPr>
        <w:tblW w:w="9639" w:type="dxa"/>
        <w:tblInd w:w="108" w:type="dxa"/>
        <w:tblBorders>
          <w:top w:val="single" w:sz="18" w:space="0" w:color="auto"/>
          <w:bottom w:val="single" w:sz="18" w:space="0" w:color="auto"/>
        </w:tblBorders>
        <w:tblLayout w:type="fixed"/>
        <w:tblLook w:val="00A0"/>
      </w:tblPr>
      <w:tblGrid>
        <w:gridCol w:w="2693"/>
        <w:gridCol w:w="867"/>
        <w:gridCol w:w="868"/>
        <w:gridCol w:w="868"/>
        <w:gridCol w:w="869"/>
        <w:gridCol w:w="868"/>
        <w:gridCol w:w="869"/>
        <w:gridCol w:w="868"/>
        <w:gridCol w:w="869"/>
      </w:tblGrid>
      <w:tr w:rsidR="009D46E6" w:rsidRPr="00DB1559" w:rsidTr="00DB1559">
        <w:trPr>
          <w:trHeight w:val="256"/>
        </w:trPr>
        <w:tc>
          <w:tcPr>
            <w:tcW w:w="2552" w:type="dxa"/>
            <w:tcBorders>
              <w:top w:val="single" w:sz="18" w:space="0" w:color="auto"/>
              <w:left w:val="nil"/>
              <w:bottom w:val="single" w:sz="18" w:space="0" w:color="auto"/>
              <w:right w:val="nil"/>
            </w:tcBorders>
            <w:shd w:val="clear" w:color="auto" w:fill="4F81BD"/>
            <w:noWrap/>
          </w:tcPr>
          <w:p w:rsidR="009D46E6" w:rsidRPr="00DB1559" w:rsidRDefault="009D46E6" w:rsidP="00DB1559">
            <w:pPr>
              <w:spacing w:after="0" w:line="240" w:lineRule="auto"/>
              <w:jc w:val="left"/>
              <w:rPr>
                <w:rFonts w:cs="Tahoma"/>
                <w:b/>
                <w:bCs/>
                <w:color w:val="FFFFFF"/>
                <w:sz w:val="16"/>
                <w:szCs w:val="16"/>
                <w:lang w:eastAsia="cs-CZ"/>
              </w:rPr>
            </w:pPr>
          </w:p>
        </w:tc>
        <w:tc>
          <w:tcPr>
            <w:tcW w:w="822"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6"/>
                <w:szCs w:val="16"/>
                <w:lang w:eastAsia="cs-CZ"/>
              </w:rPr>
            </w:pPr>
            <w:r w:rsidRPr="00DB1559">
              <w:rPr>
                <w:rFonts w:cs="Tahoma"/>
                <w:b/>
                <w:bCs/>
                <w:color w:val="FFFFFF"/>
                <w:sz w:val="16"/>
                <w:szCs w:val="16"/>
                <w:lang w:eastAsia="cs-CZ"/>
              </w:rPr>
              <w:t>2005</w:t>
            </w:r>
          </w:p>
        </w:tc>
        <w:tc>
          <w:tcPr>
            <w:tcW w:w="823"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6"/>
                <w:szCs w:val="16"/>
                <w:lang w:eastAsia="cs-CZ"/>
              </w:rPr>
            </w:pPr>
            <w:r w:rsidRPr="00DB1559">
              <w:rPr>
                <w:rFonts w:cs="Tahoma"/>
                <w:b/>
                <w:bCs/>
                <w:color w:val="FFFFFF"/>
                <w:sz w:val="16"/>
                <w:szCs w:val="16"/>
                <w:lang w:eastAsia="cs-CZ"/>
              </w:rPr>
              <w:t>2006</w:t>
            </w:r>
          </w:p>
        </w:tc>
        <w:tc>
          <w:tcPr>
            <w:tcW w:w="822"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6"/>
                <w:szCs w:val="16"/>
                <w:lang w:eastAsia="cs-CZ"/>
              </w:rPr>
            </w:pPr>
            <w:r w:rsidRPr="00DB1559">
              <w:rPr>
                <w:rFonts w:cs="Tahoma"/>
                <w:b/>
                <w:bCs/>
                <w:color w:val="FFFFFF"/>
                <w:sz w:val="16"/>
                <w:szCs w:val="16"/>
                <w:lang w:eastAsia="cs-CZ"/>
              </w:rPr>
              <w:t>2007</w:t>
            </w:r>
          </w:p>
        </w:tc>
        <w:tc>
          <w:tcPr>
            <w:tcW w:w="823"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6"/>
                <w:szCs w:val="16"/>
                <w:lang w:eastAsia="cs-CZ"/>
              </w:rPr>
            </w:pPr>
            <w:r w:rsidRPr="00DB1559">
              <w:rPr>
                <w:rFonts w:cs="Tahoma"/>
                <w:b/>
                <w:bCs/>
                <w:color w:val="FFFFFF"/>
                <w:sz w:val="16"/>
                <w:szCs w:val="16"/>
                <w:lang w:eastAsia="cs-CZ"/>
              </w:rPr>
              <w:t>2008</w:t>
            </w:r>
          </w:p>
        </w:tc>
        <w:tc>
          <w:tcPr>
            <w:tcW w:w="822"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6"/>
                <w:szCs w:val="16"/>
                <w:lang w:eastAsia="cs-CZ"/>
              </w:rPr>
            </w:pPr>
            <w:r w:rsidRPr="00DB1559">
              <w:rPr>
                <w:rFonts w:cs="Tahoma"/>
                <w:b/>
                <w:bCs/>
                <w:color w:val="FFFFFF"/>
                <w:sz w:val="16"/>
                <w:szCs w:val="16"/>
                <w:lang w:eastAsia="cs-CZ"/>
              </w:rPr>
              <w:t>2009</w:t>
            </w:r>
          </w:p>
        </w:tc>
        <w:tc>
          <w:tcPr>
            <w:tcW w:w="823"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6"/>
                <w:szCs w:val="16"/>
                <w:lang w:eastAsia="cs-CZ"/>
              </w:rPr>
            </w:pPr>
            <w:r w:rsidRPr="00DB1559">
              <w:rPr>
                <w:rFonts w:cs="Tahoma"/>
                <w:b/>
                <w:bCs/>
                <w:color w:val="FFFFFF"/>
                <w:sz w:val="16"/>
                <w:szCs w:val="16"/>
                <w:lang w:eastAsia="cs-CZ"/>
              </w:rPr>
              <w:t>2010</w:t>
            </w:r>
          </w:p>
        </w:tc>
        <w:tc>
          <w:tcPr>
            <w:tcW w:w="822"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6"/>
                <w:szCs w:val="16"/>
                <w:lang w:eastAsia="cs-CZ"/>
              </w:rPr>
            </w:pPr>
            <w:r w:rsidRPr="00DB1559">
              <w:rPr>
                <w:rFonts w:cs="Tahoma"/>
                <w:b/>
                <w:bCs/>
                <w:color w:val="FFFFFF"/>
                <w:sz w:val="16"/>
                <w:szCs w:val="16"/>
                <w:lang w:eastAsia="cs-CZ"/>
              </w:rPr>
              <w:t>2011</w:t>
            </w:r>
          </w:p>
        </w:tc>
        <w:tc>
          <w:tcPr>
            <w:tcW w:w="823"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6"/>
                <w:szCs w:val="16"/>
                <w:lang w:eastAsia="cs-CZ"/>
              </w:rPr>
            </w:pPr>
            <w:r w:rsidRPr="00DB1559">
              <w:rPr>
                <w:rFonts w:cs="Tahoma"/>
                <w:b/>
                <w:bCs/>
                <w:color w:val="FFFFFF"/>
                <w:sz w:val="16"/>
                <w:szCs w:val="16"/>
                <w:lang w:eastAsia="cs-CZ"/>
              </w:rPr>
              <w:t>2012</w:t>
            </w:r>
          </w:p>
        </w:tc>
      </w:tr>
      <w:tr w:rsidR="009D46E6" w:rsidRPr="00DB1559" w:rsidTr="00DB1559">
        <w:trPr>
          <w:trHeight w:val="256"/>
        </w:trPr>
        <w:tc>
          <w:tcPr>
            <w:tcW w:w="2552" w:type="dxa"/>
            <w:tcBorders>
              <w:left w:val="nil"/>
              <w:bottom w:val="nil"/>
              <w:right w:val="nil"/>
            </w:tcBorders>
            <w:shd w:val="clear" w:color="auto" w:fill="4F81BD"/>
            <w:noWrap/>
            <w:vAlign w:val="center"/>
          </w:tcPr>
          <w:p w:rsidR="009D46E6" w:rsidRPr="00DB1559" w:rsidRDefault="009D46E6" w:rsidP="00DB1559">
            <w:pPr>
              <w:spacing w:after="0" w:line="240" w:lineRule="auto"/>
              <w:jc w:val="left"/>
              <w:rPr>
                <w:rFonts w:cs="Tahoma"/>
                <w:b/>
                <w:bCs/>
                <w:color w:val="FFFFFF"/>
                <w:sz w:val="16"/>
                <w:szCs w:val="16"/>
                <w:lang w:eastAsia="cs-CZ"/>
              </w:rPr>
            </w:pPr>
            <w:r w:rsidRPr="00DB1559">
              <w:rPr>
                <w:rFonts w:cs="Tahoma"/>
                <w:b/>
                <w:bCs/>
                <w:color w:val="FFFFFF"/>
                <w:sz w:val="16"/>
                <w:szCs w:val="16"/>
                <w:lang w:eastAsia="cs-CZ"/>
              </w:rPr>
              <w:t>Mld. Kč v běžných cenách</w:t>
            </w:r>
          </w:p>
        </w:tc>
        <w:tc>
          <w:tcPr>
            <w:tcW w:w="822" w:type="dxa"/>
            <w:shd w:val="clear" w:color="auto" w:fill="D8D8D8"/>
            <w:noWrap/>
            <w:vAlign w:val="center"/>
          </w:tcPr>
          <w:p w:rsidR="009D46E6" w:rsidRPr="00DB1559" w:rsidRDefault="009D46E6" w:rsidP="00DB1559">
            <w:pPr>
              <w:spacing w:after="0"/>
              <w:jc w:val="right"/>
              <w:rPr>
                <w:rFonts w:ascii="Arial" w:hAnsi="Arial" w:cs="Arial"/>
                <w:b/>
                <w:color w:val="000000"/>
                <w:sz w:val="16"/>
                <w:szCs w:val="16"/>
                <w:lang w:eastAsia="cs-CZ"/>
              </w:rPr>
            </w:pPr>
            <w:r w:rsidRPr="00DB1559">
              <w:rPr>
                <w:rFonts w:ascii="Arial" w:hAnsi="Arial" w:cs="Arial"/>
                <w:b/>
                <w:color w:val="000000"/>
                <w:sz w:val="16"/>
                <w:szCs w:val="16"/>
                <w:lang w:eastAsia="cs-CZ"/>
              </w:rPr>
              <w:t>0,7</w:t>
            </w:r>
          </w:p>
        </w:tc>
        <w:tc>
          <w:tcPr>
            <w:tcW w:w="823" w:type="dxa"/>
            <w:shd w:val="clear" w:color="auto" w:fill="D8D8D8"/>
            <w:noWrap/>
            <w:vAlign w:val="center"/>
          </w:tcPr>
          <w:p w:rsidR="009D46E6" w:rsidRPr="00DB1559" w:rsidRDefault="009D46E6" w:rsidP="00DB1559">
            <w:pPr>
              <w:spacing w:after="0"/>
              <w:jc w:val="right"/>
              <w:rPr>
                <w:rFonts w:ascii="Arial" w:hAnsi="Arial" w:cs="Arial"/>
                <w:b/>
                <w:color w:val="000000"/>
                <w:sz w:val="16"/>
                <w:szCs w:val="16"/>
                <w:lang w:eastAsia="cs-CZ"/>
              </w:rPr>
            </w:pPr>
            <w:r w:rsidRPr="00DB1559">
              <w:rPr>
                <w:rFonts w:ascii="Arial" w:hAnsi="Arial" w:cs="Arial"/>
                <w:b/>
                <w:color w:val="000000"/>
                <w:sz w:val="16"/>
                <w:szCs w:val="16"/>
                <w:lang w:eastAsia="cs-CZ"/>
              </w:rPr>
              <w:t>3,2</w:t>
            </w:r>
          </w:p>
        </w:tc>
        <w:tc>
          <w:tcPr>
            <w:tcW w:w="822" w:type="dxa"/>
            <w:shd w:val="clear" w:color="auto" w:fill="D8D8D8"/>
            <w:noWrap/>
            <w:vAlign w:val="center"/>
          </w:tcPr>
          <w:p w:rsidR="009D46E6" w:rsidRPr="00DB1559" w:rsidRDefault="009D46E6" w:rsidP="00DB1559">
            <w:pPr>
              <w:spacing w:after="0"/>
              <w:jc w:val="right"/>
              <w:rPr>
                <w:rFonts w:ascii="Arial" w:hAnsi="Arial" w:cs="Arial"/>
                <w:b/>
                <w:color w:val="000000"/>
                <w:sz w:val="16"/>
                <w:szCs w:val="16"/>
                <w:lang w:eastAsia="cs-CZ"/>
              </w:rPr>
            </w:pPr>
            <w:r w:rsidRPr="00DB1559">
              <w:rPr>
                <w:rFonts w:ascii="Arial" w:hAnsi="Arial" w:cs="Arial"/>
                <w:b/>
                <w:color w:val="000000"/>
                <w:sz w:val="16"/>
                <w:szCs w:val="16"/>
                <w:lang w:eastAsia="cs-CZ"/>
              </w:rPr>
              <w:t>3,5</w:t>
            </w:r>
          </w:p>
        </w:tc>
        <w:tc>
          <w:tcPr>
            <w:tcW w:w="823" w:type="dxa"/>
            <w:shd w:val="clear" w:color="auto" w:fill="D8D8D8"/>
            <w:noWrap/>
            <w:vAlign w:val="center"/>
          </w:tcPr>
          <w:p w:rsidR="009D46E6" w:rsidRPr="00DB1559" w:rsidRDefault="009D46E6" w:rsidP="00DB1559">
            <w:pPr>
              <w:spacing w:after="0"/>
              <w:jc w:val="right"/>
              <w:rPr>
                <w:rFonts w:ascii="Arial" w:hAnsi="Arial" w:cs="Arial"/>
                <w:b/>
                <w:color w:val="000000"/>
                <w:sz w:val="16"/>
                <w:szCs w:val="16"/>
                <w:lang w:eastAsia="cs-CZ"/>
              </w:rPr>
            </w:pPr>
            <w:r w:rsidRPr="00DB1559">
              <w:rPr>
                <w:rFonts w:ascii="Arial" w:hAnsi="Arial" w:cs="Arial"/>
                <w:b/>
                <w:color w:val="000000"/>
                <w:sz w:val="16"/>
                <w:szCs w:val="16"/>
                <w:lang w:eastAsia="cs-CZ"/>
              </w:rPr>
              <w:t>-0,1</w:t>
            </w:r>
          </w:p>
        </w:tc>
        <w:tc>
          <w:tcPr>
            <w:tcW w:w="822" w:type="dxa"/>
            <w:shd w:val="clear" w:color="auto" w:fill="D8D8D8"/>
            <w:noWrap/>
            <w:vAlign w:val="center"/>
          </w:tcPr>
          <w:p w:rsidR="009D46E6" w:rsidRPr="00DB1559" w:rsidRDefault="009D46E6" w:rsidP="00DB1559">
            <w:pPr>
              <w:spacing w:after="0"/>
              <w:jc w:val="right"/>
              <w:rPr>
                <w:rFonts w:ascii="Arial" w:hAnsi="Arial" w:cs="Arial"/>
                <w:b/>
                <w:color w:val="000000"/>
                <w:sz w:val="16"/>
                <w:szCs w:val="16"/>
                <w:lang w:eastAsia="cs-CZ"/>
              </w:rPr>
            </w:pPr>
            <w:r w:rsidRPr="00DB1559">
              <w:rPr>
                <w:rFonts w:ascii="Arial" w:hAnsi="Arial" w:cs="Arial"/>
                <w:b/>
                <w:color w:val="000000"/>
                <w:sz w:val="16"/>
                <w:szCs w:val="16"/>
                <w:lang w:eastAsia="cs-CZ"/>
              </w:rPr>
              <w:t>-0,5</w:t>
            </w:r>
          </w:p>
        </w:tc>
        <w:tc>
          <w:tcPr>
            <w:tcW w:w="823" w:type="dxa"/>
            <w:shd w:val="clear" w:color="auto" w:fill="D8D8D8"/>
            <w:noWrap/>
            <w:vAlign w:val="center"/>
          </w:tcPr>
          <w:p w:rsidR="009D46E6" w:rsidRPr="00DB1559" w:rsidRDefault="009D46E6" w:rsidP="00DB1559">
            <w:pPr>
              <w:spacing w:after="0"/>
              <w:jc w:val="right"/>
              <w:rPr>
                <w:rFonts w:ascii="Arial" w:hAnsi="Arial" w:cs="Arial"/>
                <w:b/>
                <w:color w:val="000000"/>
                <w:sz w:val="16"/>
                <w:szCs w:val="16"/>
                <w:lang w:eastAsia="cs-CZ"/>
              </w:rPr>
            </w:pPr>
            <w:r w:rsidRPr="00DB1559">
              <w:rPr>
                <w:rFonts w:ascii="Arial" w:hAnsi="Arial" w:cs="Arial"/>
                <w:b/>
                <w:color w:val="000000"/>
                <w:sz w:val="16"/>
                <w:szCs w:val="16"/>
                <w:lang w:eastAsia="cs-CZ"/>
              </w:rPr>
              <w:t>1,8</w:t>
            </w:r>
          </w:p>
        </w:tc>
        <w:tc>
          <w:tcPr>
            <w:tcW w:w="822" w:type="dxa"/>
            <w:shd w:val="clear" w:color="auto" w:fill="D8D8D8"/>
            <w:noWrap/>
            <w:vAlign w:val="center"/>
          </w:tcPr>
          <w:p w:rsidR="009D46E6" w:rsidRPr="00DB1559" w:rsidRDefault="009D46E6" w:rsidP="00DB1559">
            <w:pPr>
              <w:spacing w:after="0"/>
              <w:jc w:val="right"/>
              <w:rPr>
                <w:rFonts w:ascii="Arial" w:hAnsi="Arial" w:cs="Arial"/>
                <w:b/>
                <w:color w:val="000000"/>
                <w:sz w:val="16"/>
                <w:szCs w:val="16"/>
                <w:lang w:eastAsia="cs-CZ"/>
              </w:rPr>
            </w:pPr>
            <w:r w:rsidRPr="00DB1559">
              <w:rPr>
                <w:rFonts w:ascii="Arial" w:hAnsi="Arial" w:cs="Arial"/>
                <w:b/>
                <w:color w:val="000000"/>
                <w:sz w:val="16"/>
                <w:szCs w:val="16"/>
                <w:lang w:eastAsia="cs-CZ"/>
              </w:rPr>
              <w:t>4,2</w:t>
            </w:r>
          </w:p>
        </w:tc>
        <w:tc>
          <w:tcPr>
            <w:tcW w:w="823" w:type="dxa"/>
            <w:shd w:val="clear" w:color="auto" w:fill="D8D8D8"/>
            <w:noWrap/>
            <w:vAlign w:val="center"/>
          </w:tcPr>
          <w:p w:rsidR="009D46E6" w:rsidRPr="00DB1559" w:rsidRDefault="009D46E6" w:rsidP="00DB1559">
            <w:pPr>
              <w:spacing w:after="0"/>
              <w:jc w:val="right"/>
              <w:rPr>
                <w:rFonts w:ascii="Arial" w:hAnsi="Arial" w:cs="Arial"/>
                <w:b/>
                <w:color w:val="000000"/>
                <w:sz w:val="16"/>
                <w:szCs w:val="16"/>
                <w:lang w:eastAsia="cs-CZ"/>
              </w:rPr>
            </w:pPr>
            <w:r w:rsidRPr="00DB1559">
              <w:rPr>
                <w:rFonts w:ascii="Arial" w:hAnsi="Arial" w:cs="Arial"/>
                <w:b/>
                <w:color w:val="000000"/>
                <w:sz w:val="16"/>
                <w:szCs w:val="16"/>
                <w:lang w:eastAsia="cs-CZ"/>
              </w:rPr>
              <w:t>4,1</w:t>
            </w:r>
          </w:p>
        </w:tc>
      </w:tr>
      <w:tr w:rsidR="009D46E6" w:rsidRPr="00DB1559" w:rsidTr="00DB1559">
        <w:trPr>
          <w:trHeight w:val="256"/>
        </w:trPr>
        <w:tc>
          <w:tcPr>
            <w:tcW w:w="2552" w:type="dxa"/>
            <w:tcBorders>
              <w:left w:val="nil"/>
              <w:bottom w:val="nil"/>
              <w:right w:val="nil"/>
            </w:tcBorders>
            <w:shd w:val="clear" w:color="auto" w:fill="4F81BD"/>
            <w:noWrap/>
            <w:vAlign w:val="center"/>
          </w:tcPr>
          <w:p w:rsidR="009D46E6" w:rsidRPr="00DB1559" w:rsidRDefault="009D46E6" w:rsidP="00DB1559">
            <w:pPr>
              <w:spacing w:after="0" w:line="240" w:lineRule="auto"/>
              <w:jc w:val="left"/>
              <w:rPr>
                <w:rFonts w:cs="Tahoma"/>
                <w:b/>
                <w:bCs/>
                <w:i/>
                <w:color w:val="FFFFFF"/>
                <w:sz w:val="16"/>
                <w:szCs w:val="16"/>
                <w:lang w:eastAsia="cs-CZ"/>
              </w:rPr>
            </w:pPr>
            <w:r w:rsidRPr="00DB1559">
              <w:rPr>
                <w:rFonts w:cs="Tahoma"/>
                <w:b/>
                <w:bCs/>
                <w:i/>
                <w:color w:val="FFFFFF"/>
                <w:sz w:val="16"/>
                <w:szCs w:val="16"/>
                <w:lang w:eastAsia="cs-CZ"/>
              </w:rPr>
              <w:t>% v běžných cenách</w:t>
            </w:r>
          </w:p>
        </w:tc>
        <w:tc>
          <w:tcPr>
            <w:tcW w:w="822" w:type="dxa"/>
            <w:noWrap/>
            <w:vAlign w:val="center"/>
          </w:tcPr>
          <w:p w:rsidR="009D46E6" w:rsidRPr="00DB1559" w:rsidRDefault="009D46E6" w:rsidP="00DB1559">
            <w:pPr>
              <w:spacing w:after="0"/>
              <w:jc w:val="right"/>
              <w:rPr>
                <w:rFonts w:ascii="Arial" w:hAnsi="Arial" w:cs="Arial"/>
                <w:color w:val="000000"/>
                <w:sz w:val="16"/>
                <w:szCs w:val="16"/>
                <w:lang w:eastAsia="cs-CZ"/>
              </w:rPr>
            </w:pPr>
            <w:r w:rsidRPr="00DB1559">
              <w:rPr>
                <w:rFonts w:ascii="Arial" w:hAnsi="Arial" w:cs="Arial"/>
                <w:color w:val="000000"/>
                <w:sz w:val="16"/>
                <w:szCs w:val="16"/>
                <w:lang w:eastAsia="cs-CZ"/>
              </w:rPr>
              <w:t>3,2%</w:t>
            </w:r>
          </w:p>
        </w:tc>
        <w:tc>
          <w:tcPr>
            <w:tcW w:w="823" w:type="dxa"/>
            <w:noWrap/>
            <w:vAlign w:val="center"/>
          </w:tcPr>
          <w:p w:rsidR="009D46E6" w:rsidRPr="00DB1559" w:rsidRDefault="009D46E6" w:rsidP="00DB1559">
            <w:pPr>
              <w:spacing w:after="0"/>
              <w:jc w:val="right"/>
              <w:rPr>
                <w:rFonts w:ascii="Arial" w:hAnsi="Arial" w:cs="Arial"/>
                <w:color w:val="000000"/>
                <w:sz w:val="16"/>
                <w:szCs w:val="16"/>
                <w:lang w:eastAsia="cs-CZ"/>
              </w:rPr>
            </w:pPr>
            <w:r w:rsidRPr="00DB1559">
              <w:rPr>
                <w:rFonts w:ascii="Arial" w:hAnsi="Arial" w:cs="Arial"/>
                <w:color w:val="000000"/>
                <w:sz w:val="16"/>
                <w:szCs w:val="16"/>
                <w:lang w:eastAsia="cs-CZ"/>
              </w:rPr>
              <w:t>14,3%</w:t>
            </w:r>
          </w:p>
        </w:tc>
        <w:tc>
          <w:tcPr>
            <w:tcW w:w="822" w:type="dxa"/>
            <w:noWrap/>
            <w:vAlign w:val="center"/>
          </w:tcPr>
          <w:p w:rsidR="009D46E6" w:rsidRPr="00DB1559" w:rsidRDefault="009D46E6" w:rsidP="00DB1559">
            <w:pPr>
              <w:spacing w:after="0"/>
              <w:jc w:val="right"/>
              <w:rPr>
                <w:rFonts w:ascii="Arial" w:hAnsi="Arial" w:cs="Arial"/>
                <w:color w:val="000000"/>
                <w:sz w:val="16"/>
                <w:szCs w:val="16"/>
                <w:lang w:eastAsia="cs-CZ"/>
              </w:rPr>
            </w:pPr>
            <w:r w:rsidRPr="00DB1559">
              <w:rPr>
                <w:rFonts w:ascii="Arial" w:hAnsi="Arial" w:cs="Arial"/>
                <w:color w:val="000000"/>
                <w:sz w:val="16"/>
                <w:szCs w:val="16"/>
                <w:lang w:eastAsia="cs-CZ"/>
              </w:rPr>
              <w:t>13,6%</w:t>
            </w:r>
          </w:p>
        </w:tc>
        <w:tc>
          <w:tcPr>
            <w:tcW w:w="823" w:type="dxa"/>
            <w:noWrap/>
            <w:vAlign w:val="center"/>
          </w:tcPr>
          <w:p w:rsidR="009D46E6" w:rsidRPr="00DB1559" w:rsidRDefault="009D46E6" w:rsidP="00DB1559">
            <w:pPr>
              <w:spacing w:after="0"/>
              <w:jc w:val="right"/>
              <w:rPr>
                <w:rFonts w:ascii="Arial" w:hAnsi="Arial" w:cs="Arial"/>
                <w:color w:val="000000"/>
                <w:sz w:val="16"/>
                <w:szCs w:val="16"/>
                <w:lang w:eastAsia="cs-CZ"/>
              </w:rPr>
            </w:pPr>
            <w:r w:rsidRPr="00DB1559">
              <w:rPr>
                <w:rFonts w:ascii="Arial" w:hAnsi="Arial" w:cs="Arial"/>
                <w:color w:val="000000"/>
                <w:sz w:val="16"/>
                <w:szCs w:val="16"/>
                <w:lang w:eastAsia="cs-CZ"/>
              </w:rPr>
              <w:t>-0,3%</w:t>
            </w:r>
          </w:p>
        </w:tc>
        <w:tc>
          <w:tcPr>
            <w:tcW w:w="822" w:type="dxa"/>
            <w:noWrap/>
            <w:vAlign w:val="center"/>
          </w:tcPr>
          <w:p w:rsidR="009D46E6" w:rsidRPr="00DB1559" w:rsidRDefault="009D46E6" w:rsidP="00DB1559">
            <w:pPr>
              <w:spacing w:after="0"/>
              <w:jc w:val="right"/>
              <w:rPr>
                <w:rFonts w:ascii="Arial" w:hAnsi="Arial" w:cs="Arial"/>
                <w:color w:val="000000"/>
                <w:sz w:val="16"/>
                <w:szCs w:val="16"/>
                <w:lang w:eastAsia="cs-CZ"/>
              </w:rPr>
            </w:pPr>
            <w:r w:rsidRPr="00DB1559">
              <w:rPr>
                <w:rFonts w:ascii="Arial" w:hAnsi="Arial" w:cs="Arial"/>
                <w:color w:val="000000"/>
                <w:sz w:val="16"/>
                <w:szCs w:val="16"/>
                <w:lang w:eastAsia="cs-CZ"/>
              </w:rPr>
              <w:t>-1,7%</w:t>
            </w:r>
          </w:p>
        </w:tc>
        <w:tc>
          <w:tcPr>
            <w:tcW w:w="823" w:type="dxa"/>
            <w:noWrap/>
            <w:vAlign w:val="center"/>
          </w:tcPr>
          <w:p w:rsidR="009D46E6" w:rsidRPr="00DB1559" w:rsidRDefault="009D46E6" w:rsidP="00DB1559">
            <w:pPr>
              <w:spacing w:after="0"/>
              <w:jc w:val="right"/>
              <w:rPr>
                <w:rFonts w:ascii="Arial" w:hAnsi="Arial" w:cs="Arial"/>
                <w:color w:val="000000"/>
                <w:sz w:val="16"/>
                <w:szCs w:val="16"/>
                <w:lang w:eastAsia="cs-CZ"/>
              </w:rPr>
            </w:pPr>
            <w:r w:rsidRPr="00DB1559">
              <w:rPr>
                <w:rFonts w:ascii="Arial" w:hAnsi="Arial" w:cs="Arial"/>
                <w:color w:val="000000"/>
                <w:sz w:val="16"/>
                <w:szCs w:val="16"/>
                <w:lang w:eastAsia="cs-CZ"/>
              </w:rPr>
              <w:t>6,3%</w:t>
            </w:r>
          </w:p>
        </w:tc>
        <w:tc>
          <w:tcPr>
            <w:tcW w:w="822" w:type="dxa"/>
            <w:noWrap/>
            <w:vAlign w:val="center"/>
          </w:tcPr>
          <w:p w:rsidR="009D46E6" w:rsidRPr="00DB1559" w:rsidRDefault="009D46E6" w:rsidP="00DB1559">
            <w:pPr>
              <w:spacing w:after="0"/>
              <w:jc w:val="right"/>
              <w:rPr>
                <w:rFonts w:ascii="Arial" w:hAnsi="Arial" w:cs="Arial"/>
                <w:color w:val="000000"/>
                <w:sz w:val="16"/>
                <w:szCs w:val="16"/>
                <w:lang w:eastAsia="cs-CZ"/>
              </w:rPr>
            </w:pPr>
            <w:r w:rsidRPr="00DB1559">
              <w:rPr>
                <w:rFonts w:ascii="Arial" w:hAnsi="Arial" w:cs="Arial"/>
                <w:color w:val="000000"/>
                <w:sz w:val="16"/>
                <w:szCs w:val="16"/>
                <w:lang w:eastAsia="cs-CZ"/>
              </w:rPr>
              <w:t>13,6%</w:t>
            </w:r>
          </w:p>
        </w:tc>
        <w:tc>
          <w:tcPr>
            <w:tcW w:w="823" w:type="dxa"/>
            <w:noWrap/>
            <w:vAlign w:val="center"/>
          </w:tcPr>
          <w:p w:rsidR="009D46E6" w:rsidRPr="00DB1559" w:rsidRDefault="009D46E6" w:rsidP="00DB1559">
            <w:pPr>
              <w:spacing w:after="0"/>
              <w:jc w:val="right"/>
              <w:rPr>
                <w:rFonts w:ascii="Arial" w:hAnsi="Arial" w:cs="Arial"/>
                <w:color w:val="000000"/>
                <w:sz w:val="16"/>
                <w:szCs w:val="16"/>
                <w:lang w:eastAsia="cs-CZ"/>
              </w:rPr>
            </w:pPr>
            <w:r w:rsidRPr="00DB1559">
              <w:rPr>
                <w:rFonts w:ascii="Arial" w:hAnsi="Arial" w:cs="Arial"/>
                <w:color w:val="000000"/>
                <w:sz w:val="16"/>
                <w:szCs w:val="16"/>
                <w:lang w:eastAsia="cs-CZ"/>
              </w:rPr>
              <w:t>11,7%</w:t>
            </w:r>
          </w:p>
        </w:tc>
      </w:tr>
      <w:tr w:rsidR="009D46E6" w:rsidRPr="00DB1559" w:rsidTr="00DB1559">
        <w:trPr>
          <w:trHeight w:val="256"/>
        </w:trPr>
        <w:tc>
          <w:tcPr>
            <w:tcW w:w="2552" w:type="dxa"/>
            <w:tcBorders>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left"/>
              <w:rPr>
                <w:rFonts w:cs="Tahoma"/>
                <w:b/>
                <w:bCs/>
                <w:i/>
                <w:color w:val="FFFFFF"/>
                <w:sz w:val="16"/>
                <w:szCs w:val="16"/>
                <w:lang w:eastAsia="cs-CZ"/>
              </w:rPr>
            </w:pPr>
            <w:r w:rsidRPr="00DB1559">
              <w:rPr>
                <w:rFonts w:cs="Tahoma"/>
                <w:b/>
                <w:bCs/>
                <w:i/>
                <w:color w:val="FFFFFF"/>
                <w:sz w:val="16"/>
                <w:szCs w:val="16"/>
                <w:lang w:eastAsia="cs-CZ"/>
              </w:rPr>
              <w:t>% ve stálých cenách r. 2005</w:t>
            </w:r>
          </w:p>
        </w:tc>
        <w:tc>
          <w:tcPr>
            <w:tcW w:w="822" w:type="dxa"/>
            <w:tcBorders>
              <w:bottom w:val="single" w:sz="18" w:space="0" w:color="auto"/>
            </w:tcBorders>
            <w:shd w:val="clear" w:color="auto" w:fill="D8D8D8"/>
            <w:noWrap/>
            <w:vAlign w:val="center"/>
          </w:tcPr>
          <w:p w:rsidR="009D46E6" w:rsidRPr="00DB1559" w:rsidRDefault="009D46E6" w:rsidP="00DB1559">
            <w:pPr>
              <w:spacing w:after="0"/>
              <w:jc w:val="right"/>
              <w:rPr>
                <w:rFonts w:ascii="Arial" w:hAnsi="Arial" w:cs="Arial"/>
                <w:color w:val="000000"/>
                <w:sz w:val="16"/>
                <w:szCs w:val="16"/>
                <w:lang w:eastAsia="cs-CZ"/>
              </w:rPr>
            </w:pPr>
            <w:r w:rsidRPr="00DB1559">
              <w:rPr>
                <w:rFonts w:ascii="Arial" w:hAnsi="Arial" w:cs="Arial"/>
                <w:color w:val="000000"/>
                <w:sz w:val="16"/>
                <w:szCs w:val="16"/>
                <w:lang w:eastAsia="cs-CZ"/>
              </w:rPr>
              <w:t>3,6%</w:t>
            </w:r>
          </w:p>
        </w:tc>
        <w:tc>
          <w:tcPr>
            <w:tcW w:w="823" w:type="dxa"/>
            <w:tcBorders>
              <w:bottom w:val="single" w:sz="18" w:space="0" w:color="auto"/>
            </w:tcBorders>
            <w:shd w:val="clear" w:color="auto" w:fill="D8D8D8"/>
            <w:noWrap/>
            <w:vAlign w:val="center"/>
          </w:tcPr>
          <w:p w:rsidR="009D46E6" w:rsidRPr="00DB1559" w:rsidRDefault="009D46E6" w:rsidP="00DB1559">
            <w:pPr>
              <w:spacing w:after="0"/>
              <w:jc w:val="right"/>
              <w:rPr>
                <w:rFonts w:ascii="Arial" w:hAnsi="Arial" w:cs="Arial"/>
                <w:color w:val="000000"/>
                <w:sz w:val="16"/>
                <w:szCs w:val="16"/>
                <w:lang w:eastAsia="cs-CZ"/>
              </w:rPr>
            </w:pPr>
            <w:r w:rsidRPr="00DB1559">
              <w:rPr>
                <w:rFonts w:ascii="Arial" w:hAnsi="Arial" w:cs="Arial"/>
                <w:color w:val="000000"/>
                <w:sz w:val="16"/>
                <w:szCs w:val="16"/>
                <w:lang w:eastAsia="cs-CZ"/>
              </w:rPr>
              <w:t>13,7%</w:t>
            </w:r>
          </w:p>
        </w:tc>
        <w:tc>
          <w:tcPr>
            <w:tcW w:w="822" w:type="dxa"/>
            <w:tcBorders>
              <w:bottom w:val="single" w:sz="18" w:space="0" w:color="auto"/>
            </w:tcBorders>
            <w:shd w:val="clear" w:color="auto" w:fill="D8D8D8"/>
            <w:noWrap/>
            <w:vAlign w:val="center"/>
          </w:tcPr>
          <w:p w:rsidR="009D46E6" w:rsidRPr="00DB1559" w:rsidRDefault="009D46E6" w:rsidP="00DB1559">
            <w:pPr>
              <w:spacing w:after="0"/>
              <w:jc w:val="right"/>
              <w:rPr>
                <w:rFonts w:ascii="Arial" w:hAnsi="Arial" w:cs="Arial"/>
                <w:color w:val="000000"/>
                <w:sz w:val="16"/>
                <w:szCs w:val="16"/>
                <w:lang w:eastAsia="cs-CZ"/>
              </w:rPr>
            </w:pPr>
            <w:r w:rsidRPr="00DB1559">
              <w:rPr>
                <w:rFonts w:ascii="Arial" w:hAnsi="Arial" w:cs="Arial"/>
                <w:color w:val="000000"/>
                <w:sz w:val="16"/>
                <w:szCs w:val="16"/>
                <w:lang w:eastAsia="cs-CZ"/>
              </w:rPr>
              <w:t>9,9%</w:t>
            </w:r>
          </w:p>
        </w:tc>
        <w:tc>
          <w:tcPr>
            <w:tcW w:w="823" w:type="dxa"/>
            <w:tcBorders>
              <w:bottom w:val="single" w:sz="18" w:space="0" w:color="auto"/>
            </w:tcBorders>
            <w:shd w:val="clear" w:color="auto" w:fill="D8D8D8"/>
            <w:noWrap/>
            <w:vAlign w:val="center"/>
          </w:tcPr>
          <w:p w:rsidR="009D46E6" w:rsidRPr="00DB1559" w:rsidRDefault="009D46E6" w:rsidP="00DB1559">
            <w:pPr>
              <w:spacing w:after="0"/>
              <w:jc w:val="right"/>
              <w:rPr>
                <w:rFonts w:ascii="Arial" w:hAnsi="Arial" w:cs="Arial"/>
                <w:color w:val="000000"/>
                <w:sz w:val="16"/>
                <w:szCs w:val="16"/>
                <w:lang w:eastAsia="cs-CZ"/>
              </w:rPr>
            </w:pPr>
            <w:r w:rsidRPr="00DB1559">
              <w:rPr>
                <w:rFonts w:ascii="Arial" w:hAnsi="Arial" w:cs="Arial"/>
                <w:color w:val="000000"/>
                <w:sz w:val="16"/>
                <w:szCs w:val="16"/>
                <w:lang w:eastAsia="cs-CZ"/>
              </w:rPr>
              <w:t>-2,2%</w:t>
            </w:r>
          </w:p>
        </w:tc>
        <w:tc>
          <w:tcPr>
            <w:tcW w:w="822" w:type="dxa"/>
            <w:tcBorders>
              <w:bottom w:val="single" w:sz="18" w:space="0" w:color="auto"/>
            </w:tcBorders>
            <w:shd w:val="clear" w:color="auto" w:fill="D8D8D8"/>
            <w:noWrap/>
            <w:vAlign w:val="center"/>
          </w:tcPr>
          <w:p w:rsidR="009D46E6" w:rsidRPr="00DB1559" w:rsidRDefault="009D46E6" w:rsidP="00DB1559">
            <w:pPr>
              <w:spacing w:after="0"/>
              <w:jc w:val="right"/>
              <w:rPr>
                <w:rFonts w:ascii="Arial" w:hAnsi="Arial" w:cs="Arial"/>
                <w:color w:val="000000"/>
                <w:sz w:val="16"/>
                <w:szCs w:val="16"/>
                <w:lang w:eastAsia="cs-CZ"/>
              </w:rPr>
            </w:pPr>
            <w:r w:rsidRPr="00DB1559">
              <w:rPr>
                <w:rFonts w:ascii="Arial" w:hAnsi="Arial" w:cs="Arial"/>
                <w:color w:val="000000"/>
                <w:sz w:val="16"/>
                <w:szCs w:val="16"/>
                <w:lang w:eastAsia="cs-CZ"/>
              </w:rPr>
              <w:t>-3,9%</w:t>
            </w:r>
          </w:p>
        </w:tc>
        <w:tc>
          <w:tcPr>
            <w:tcW w:w="823" w:type="dxa"/>
            <w:tcBorders>
              <w:bottom w:val="single" w:sz="18" w:space="0" w:color="auto"/>
            </w:tcBorders>
            <w:shd w:val="clear" w:color="auto" w:fill="D8D8D8"/>
            <w:noWrap/>
            <w:vAlign w:val="center"/>
          </w:tcPr>
          <w:p w:rsidR="009D46E6" w:rsidRPr="00DB1559" w:rsidRDefault="009D46E6" w:rsidP="00DB1559">
            <w:pPr>
              <w:spacing w:after="0"/>
              <w:jc w:val="right"/>
              <w:rPr>
                <w:rFonts w:ascii="Arial" w:hAnsi="Arial" w:cs="Arial"/>
                <w:color w:val="000000"/>
                <w:sz w:val="16"/>
                <w:szCs w:val="16"/>
                <w:lang w:eastAsia="cs-CZ"/>
              </w:rPr>
            </w:pPr>
            <w:r w:rsidRPr="00DB1559">
              <w:rPr>
                <w:rFonts w:ascii="Arial" w:hAnsi="Arial" w:cs="Arial"/>
                <w:color w:val="000000"/>
                <w:sz w:val="16"/>
                <w:szCs w:val="16"/>
                <w:lang w:eastAsia="cs-CZ"/>
              </w:rPr>
              <w:t>8,0%</w:t>
            </w:r>
          </w:p>
        </w:tc>
        <w:tc>
          <w:tcPr>
            <w:tcW w:w="822" w:type="dxa"/>
            <w:tcBorders>
              <w:bottom w:val="single" w:sz="18" w:space="0" w:color="auto"/>
            </w:tcBorders>
            <w:shd w:val="clear" w:color="auto" w:fill="D8D8D8"/>
            <w:noWrap/>
            <w:vAlign w:val="center"/>
          </w:tcPr>
          <w:p w:rsidR="009D46E6" w:rsidRPr="00DB1559" w:rsidRDefault="009D46E6" w:rsidP="00DB1559">
            <w:pPr>
              <w:spacing w:after="0"/>
              <w:jc w:val="right"/>
              <w:rPr>
                <w:rFonts w:ascii="Arial" w:hAnsi="Arial" w:cs="Arial"/>
                <w:color w:val="000000"/>
                <w:sz w:val="16"/>
                <w:szCs w:val="16"/>
                <w:lang w:eastAsia="cs-CZ"/>
              </w:rPr>
            </w:pPr>
            <w:r w:rsidRPr="00DB1559">
              <w:rPr>
                <w:rFonts w:ascii="Arial" w:hAnsi="Arial" w:cs="Arial"/>
                <w:color w:val="000000"/>
                <w:sz w:val="16"/>
                <w:szCs w:val="16"/>
                <w:lang w:eastAsia="cs-CZ"/>
              </w:rPr>
              <w:t>14,7%</w:t>
            </w:r>
          </w:p>
        </w:tc>
        <w:tc>
          <w:tcPr>
            <w:tcW w:w="823" w:type="dxa"/>
            <w:tcBorders>
              <w:bottom w:val="single" w:sz="18" w:space="0" w:color="auto"/>
            </w:tcBorders>
            <w:shd w:val="clear" w:color="auto" w:fill="D8D8D8"/>
            <w:noWrap/>
            <w:vAlign w:val="center"/>
          </w:tcPr>
          <w:p w:rsidR="009D46E6" w:rsidRPr="00DB1559" w:rsidRDefault="009D46E6" w:rsidP="00DB1559">
            <w:pPr>
              <w:spacing w:after="0"/>
              <w:jc w:val="right"/>
              <w:rPr>
                <w:rFonts w:ascii="Arial" w:hAnsi="Arial" w:cs="Arial"/>
                <w:color w:val="000000"/>
                <w:sz w:val="16"/>
                <w:szCs w:val="16"/>
                <w:lang w:eastAsia="cs-CZ"/>
              </w:rPr>
            </w:pPr>
            <w:r w:rsidRPr="00DB1559">
              <w:rPr>
                <w:rFonts w:ascii="Arial" w:hAnsi="Arial" w:cs="Arial"/>
                <w:color w:val="000000"/>
                <w:sz w:val="16"/>
                <w:szCs w:val="16"/>
                <w:lang w:eastAsia="cs-CZ"/>
              </w:rPr>
              <w:t>9,9%</w:t>
            </w:r>
          </w:p>
        </w:tc>
      </w:tr>
    </w:tbl>
    <w:p w:rsidR="009D46E6" w:rsidRDefault="009D46E6" w:rsidP="006B2A35">
      <w:pPr>
        <w:pStyle w:val="Zdroj"/>
      </w:pPr>
      <w:r>
        <w:t>Zdroj: Český statistický úřad 2013, Roční statistické šetření výzkumu a vývoje VTR 5-01</w:t>
      </w:r>
    </w:p>
    <w:p w:rsidR="009D46E6" w:rsidRDefault="009D46E6" w:rsidP="006B2A35"/>
    <w:p w:rsidR="009D46E6" w:rsidRDefault="009D46E6" w:rsidP="006B2A35">
      <w:r>
        <w:t>Přestože v podnikovém sektoru je VaV realizován na více než 2 300 pracovištích, podnikové výdaje na VaV jsou převážně koncentrovány do několika velkých pracovišť VaV. 38 % výdajů na VaV v podnikatelském sektoru je realizováno na pracovištích s více než 100 zaměstnanci ve VaV, které však tvoří pouze 2,5 % (57) z celkového počtu pracovišť VaV v podnikatelském sektoru. Naopak na 1 700 pracovištích podnikového VaV s méně než 10 zaměstnanci ve VaV je realizováno jen necelých 17 % celkových podnikových výdajů na VaV.</w:t>
      </w:r>
    </w:p>
    <w:p w:rsidR="009D46E6" w:rsidRDefault="009D46E6" w:rsidP="006B2A35">
      <w:r>
        <w:t>Z hlediska vlastnictví podniků provádějících VaV v ČR je od roku 2006 největší objem financí plynoucích do VaV v podnikatelském sektoru vynaložen v podnicích pod zahraniční kontrolou (zahraniční afilace). V roce 2012 se zahraniční afilace na výdajích za VaV uskutečněný v podnikatelském sektoru podílely z 52 %</w:t>
      </w:r>
      <w:r>
        <w:rPr>
          <w:rStyle w:val="FootnoteReference"/>
          <w:rFonts w:cs="MetaPro-Normal"/>
        </w:rPr>
        <w:footnoteReference w:id="15"/>
      </w:r>
      <w:r>
        <w:t xml:space="preserve">, přestože netvoří ani čtvrtinu podniků provádějících VaV. Na soukromé domácí podniky připadalo ve stejném roce 40 % z celkových výdajů na VaV utracených v podnikatelském sektoru a na podniky ve vlastnictví státu (veřejné podniky) zbylých 8 %. V průběhu sledovaných let se však rozložení výdajů na VaV podle vlastnictví podniků výrazně změnilo. Ještě v roce 1999 například připadala v ČR na veřejné podniky necelá čtvrtina z celkových výdajů na VaV uskutečněných v podnikatelském sektoru. Výzkum je tak více koncentrovaný v podnicích pod zahraniční kontrolou oproti domácím soukromým podnikům. Zatímco v roce 2012 průměrné roční výdaje za provedený VaV na jeden podnik v podnicích pod zahraniční kontrolou dosáhly 37 mil. Kč, tak v domácích soukromých podnicích to bylo téměř 4krát méně (9,7 mil. Kč). </w:t>
      </w:r>
    </w:p>
    <w:p w:rsidR="009D46E6" w:rsidRDefault="009D46E6" w:rsidP="006B2A35">
      <w:r>
        <w:t xml:space="preserve">Nejvíce financí na VaV je z hlediska velikosti podniků dlouhodobě utraceno v podnicích s více než 250 zaměstnanci. Pokud jde o převažující ekonomickou činnost sledovaných podniků, v České republice dominují podniky spadající do průmyslových odvětví. V posledních letech nabývají na významu podniky ve službách, a to jak spadající pod Profesní, vědecké a technické činnosti (sekce M), tak Informační a komunikační činnosti (sekce J). Pokud jde o nejvýznamnější odvětví z hlediska výdajů na VaV z těchto sekcí, tak jde především o podniky z výše zmíněných činností: Výzkum a vývoj v oblasti přírodních a technických věd (CZ-NACE 721), Programování (CZ-NACE 6201) a Inženýrské činnosti a související technické poradenství (CZ-NACE 7112), kde byl v roce 2012 proveden VaV za 6 mld. Kč (CZ-NACE 721), 3 mld. Kč (CZ-NACE 6201), resp. 1,5 mld. Kč (CZ-NACE 7112) s více jak čtvrtinovým (28 %) podílem na výdajích na VaV uskutečněných v celém podnikatelském sektoru a dvou třetinovým na službách.    </w:t>
      </w:r>
    </w:p>
    <w:p w:rsidR="009D46E6" w:rsidRDefault="009D46E6" w:rsidP="006B2A35">
      <w:pPr>
        <w:pStyle w:val="Caption"/>
        <w:tabs>
          <w:tab w:val="clear" w:pos="1276"/>
        </w:tabs>
        <w:ind w:left="1134" w:hanging="1134"/>
      </w:pPr>
      <w:bookmarkStart w:id="60" w:name="_Toc369091985"/>
      <w:r>
        <w:t xml:space="preserve">Graf </w:t>
      </w:r>
      <w:fldSimple w:instr=" STYLEREF 1 \s ">
        <w:r>
          <w:rPr>
            <w:noProof/>
          </w:rPr>
          <w:t>A</w:t>
        </w:r>
      </w:fldSimple>
      <w:r>
        <w:t>.</w:t>
      </w:r>
      <w:fldSimple w:instr=" SEQ Graf \* ARABIC \s 1 ">
        <w:r>
          <w:rPr>
            <w:noProof/>
          </w:rPr>
          <w:t>24</w:t>
        </w:r>
      </w:fldSimple>
      <w:r w:rsidRPr="00BD5EC7">
        <w:t xml:space="preserve">: </w:t>
      </w:r>
      <w:r w:rsidRPr="006B2A35">
        <w:t>Výdaje za VaV provedený v podnikatelském sektoru ČR (BERD) podle vlastnictví, velikosti a převažující činnosti sledovaných subjektů (mld. Kč, %)</w:t>
      </w:r>
      <w:bookmarkEnd w:id="60"/>
    </w:p>
    <w:p w:rsidR="009D46E6" w:rsidRDefault="009D46E6" w:rsidP="006B2A35">
      <w:pPr>
        <w:pStyle w:val="Objekt"/>
      </w:pPr>
      <w:r>
        <w:t>1) Podle vlastnictví sledovaných podniků (Institucionální subsektory)</w:t>
      </w:r>
    </w:p>
    <w:p w:rsidR="009D46E6" w:rsidRDefault="009D46E6" w:rsidP="006B2A35">
      <w:pPr>
        <w:pStyle w:val="Objekt"/>
      </w:pPr>
      <w:r w:rsidRPr="001D1D98">
        <w:pict>
          <v:shape id="Graf 230" o:spid="_x0000_i1083" type="#_x0000_t75" style="width:326.4pt;height:153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1NpuA3AAAAAUBAAAPAAAAZHJzL2Rvd25y&#10;ZXYueG1sTI9BS8NAEIXvgv9hGcGL2E1TLJJmU0TpxYpgK/S6zU6zIdnZsLtt03/v6MVeHgxveO97&#10;5XJ0vThhiK0nBdNJBgKp9qalRsH3dvX4DCImTUb3nlDBBSMsq9ubUhfGn+kLT5vUCA6hWGgFNqWh&#10;kDLWFp2OEz8gsXfwwenEZ2ikCfrM4a6XeZbNpdMtcYPVA75arLvN0SloD+/+srXm4aPrPuXbek2r&#10;MNspdX83vixAJBzT/zP84jM6VMy090cyUfQKeEj6U/bmTznP2CuYTfMMZFXKa/rqBw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">
            <v:imagedata r:id="rId70" o:title="" croptop="-1290f" cropbottom="-2513f" cropleft="-1769f" cropright="-3451f"/>
            <o:lock v:ext="edit" aspectratio="f"/>
          </v:shape>
        </w:pict>
      </w:r>
      <w:r w:rsidRPr="006A4948">
        <w:t xml:space="preserve"> </w:t>
      </w:r>
      <w:r>
        <w:tab/>
      </w:r>
      <w:r w:rsidRPr="001D1D98">
        <w:pict>
          <v:shape id="Graf 231" o:spid="_x0000_i1084" type="#_x0000_t75" style="width:124.8pt;height:153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JGTtq2wAAAAUBAAAPAAAAZHJzL2Rvd25y&#10;ZXYueG1sTI/BTsMwDIbvSHuHyJO4sXSFjak0naZNcOHEAGlHrzFtoXGqJtvat8dwgYsl6//1+XO+&#10;HlyrztSHxrOB+SwBRVx623Bl4O318WYFKkRki61nMjBSgHUxucoxs/7CL3Tex0oJhEOGBuoYu0zr&#10;UNbkMMx8RyzZh+8dRln7StseLwJ3rU6TZKkdNiwXauxoW1P5tT85A7d3W/sU3svP51034qgPrrq3&#10;qTHX02HzACrSEP/K8KMv6lCI09Gf2AbVGpBH4u+ULF0slqCOAp6nCegi1//ti28A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">
            <v:imagedata r:id="rId71" o:title="" croptop="-2608f" cropbottom="-2562f" cropleft="-1021f" cropright="-1988f"/>
            <o:lock v:ext="edit" aspectratio="f"/>
          </v:shape>
        </w:pict>
      </w:r>
    </w:p>
    <w:p w:rsidR="009D46E6" w:rsidRDefault="009D46E6">
      <w:pPr>
        <w:spacing w:before="200" w:after="200" w:line="276" w:lineRule="auto"/>
        <w:jc w:val="left"/>
        <w:rPr>
          <w:noProof/>
          <w:szCs w:val="22"/>
          <w:lang w:eastAsia="cs-CZ"/>
        </w:rPr>
      </w:pPr>
      <w:r>
        <w:br w:type="page"/>
      </w:r>
    </w:p>
    <w:p w:rsidR="009D46E6" w:rsidRDefault="009D46E6" w:rsidP="006B2A35">
      <w:pPr>
        <w:pStyle w:val="Objekt"/>
      </w:pPr>
      <w:r>
        <w:t>2) Podle velikosti sledovaných podniků (Počet zaměstnanců)</w:t>
      </w:r>
    </w:p>
    <w:p w:rsidR="009D46E6" w:rsidRDefault="009D46E6" w:rsidP="006B2A35">
      <w:pPr>
        <w:pStyle w:val="Objekt"/>
      </w:pPr>
      <w:r w:rsidRPr="001D1D98">
        <w:pict>
          <v:shape id="Graf 232" o:spid="_x0000_i1085" type="#_x0000_t75" style="width:325.8pt;height:153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pcfnz3QAAAAUBAAAPAAAAZHJzL2Rvd25y&#10;ZXYueG1sTI/BTsMwEETvSPyDtUjcqJO2iVDIpkIVXDhB20O5OfE2jhqvo9htA1+P4VIuK41mNPO2&#10;XE22F2cafecYIZ0lIIgbpztuEXbb14dHED4o1qp3TAhf5GFV3d6UqtDuwh903oRWxBL2hUIwIQyF&#10;lL4xZJWfuYE4egc3WhWiHFupR3WJ5baX8yTJpVUdxwWjBlobao6bk0VY7vYv3dp/7+XCvLl3W2ef&#10;y22GeH83PT+BCDSFaxh+8SM6VJGpdifWXvQI8ZHwd6OXZ2kOokZYpPMEZFXK//TVDw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">
            <v:imagedata r:id="rId72" o:title="" croptop="-1290f" cropbottom="-2513f" cropleft="-1774f" cropright="-3669f"/>
            <o:lock v:ext="edit" aspectratio="f"/>
          </v:shape>
        </w:pict>
      </w:r>
      <w:r>
        <w:tab/>
      </w:r>
      <w:r>
        <w:tab/>
      </w:r>
      <w:r w:rsidRPr="001D1D98">
        <w:pict>
          <v:shape id="Graf 233" o:spid="_x0000_i1086" type="#_x0000_t75" style="width:124.8pt;height:15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C7Qx62gAAAAUBAAAPAAAAZHJzL2Rvd25y&#10;ZXYueG1sTI/NTsMwEITvSLyDtUjcqN2gFhTiVFUhVyQCKlc33iZR43UUb354ewwXuKw0mtHMt9lu&#10;cZ2YcAitJw3rlQKBVHnbUq3h4724ewQR2JA1nSfU8IUBdvn1VWZS62d6w6nkWsQSCqnR0DD3qZSh&#10;atCZsPI9UvTOfnCGoxxqaQczx3LXyUSprXSmpbjQmB4PDVaXcnQa+PjwOe3VcZEvxTzW6rm0xetB&#10;69ubZf8EgnHhvzD84Ed0yCPTyY9kg+g0xEf490Yv2Wy2IE4a7teJApln8j99/g0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">
            <v:imagedata r:id="rId73" o:title="" croptop="-2661f" cropbottom="-3957f" cropleft="-1021f" cropright="-1988f"/>
            <o:lock v:ext="edit" aspectratio="f"/>
          </v:shape>
        </w:pict>
      </w:r>
    </w:p>
    <w:p w:rsidR="009D46E6" w:rsidRDefault="009D46E6" w:rsidP="006B2A35">
      <w:pPr>
        <w:pStyle w:val="Objekt"/>
      </w:pPr>
      <w:r>
        <w:t>3) Podle převažující ekonomické činnosti sledovaných podniků (Sekce klasifikace CZ-NACE)</w:t>
      </w:r>
    </w:p>
    <w:p w:rsidR="009D46E6" w:rsidRDefault="009D46E6" w:rsidP="006B2A35">
      <w:pPr>
        <w:pStyle w:val="Objekt"/>
      </w:pPr>
      <w:r w:rsidRPr="001D1D98">
        <w:pict>
          <v:shape id="Graf 234" o:spid="_x0000_i1087" type="#_x0000_t75" style="width:325.8pt;height:170.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mjvwM2wAAAAUBAAAPAAAAZHJzL2Rvd25y&#10;ZXYueG1sTI9BS8QwEIXvgv8hjODNTbtqWbpNFxG8qAddBdlb2oxN2WZSMmm3/nujF70MPN7jvW+q&#10;3eIGMWPg3pOCfJWBQGq96alT8P72cLUBwVGT0YMnVPCFDLv6/KzSpfEnesV5HzuRSohLrcDGOJZS&#10;cmvRaV75ESl5nz44HZMMnTRBn1K5G+Q6ywrpdE9pweoR7y22x/3kFLT2uM45/3g2Lwfmx9BNc/OE&#10;Sl1eLHdbEBGX+BeGH/yEDnViavxEhsWgID0Sf2/yitu8ANEouL7JNiDrSv6nr78B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">
            <v:imagedata r:id="rId74" o:title="" croptop="-1369f" cropbottom="-2616f" cropleft="-1777f" cropright="-3784f"/>
            <o:lock v:ext="edit" aspectratio="f"/>
          </v:shape>
        </w:pict>
      </w:r>
      <w:r>
        <w:tab/>
      </w:r>
      <w:r>
        <w:tab/>
      </w:r>
      <w:r w:rsidRPr="001D1D98">
        <w:pict>
          <v:shape id="Graf 235" o:spid="_x0000_i1088" type="#_x0000_t75" style="width:124.8pt;height:166.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0la/d3AAAAAUBAAAPAAAAZHJzL2Rvd25y&#10;ZXYueG1sTI/BTsMwEETvSPyDtUjcqNNGjdo0ToUCqIJbCx+wjZckaryObDdN+XoMF7isNJrRzNti&#10;O5lejOR8Z1nBfJaAIK6t7rhR8PH+8rAC4QOyxt4yKbiSh215e1Ngru2F9zQeQiNiCfscFbQhDLmU&#10;vm7JoJ/ZgTh6n9YZDFG6RmqHl1huerlIkkwa7DgutDhQ1VJ9OpyNgpO7yrcufX3aEa6+dvuxSp7n&#10;lVL3d9PjBkSgKfyF4Qc/okMZmY72zNqLXkF8JPze6C2WywzEUUGarjOQZSH/05ffAA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">
            <v:imagedata r:id="rId75" o:title="" croptop="-2667f" cropbottom="-4373f" cropleft="-1021f" cropright="-1988f"/>
            <o:lock v:ext="edit" aspectratio="f"/>
          </v:shape>
        </w:pict>
      </w:r>
    </w:p>
    <w:p w:rsidR="009D46E6" w:rsidRDefault="009D46E6" w:rsidP="006A4948">
      <w:pPr>
        <w:pStyle w:val="Zdroj"/>
      </w:pPr>
      <w:r>
        <w:t xml:space="preserve">Pozn.: *Ostatní odvětví (sekce CZ NACE) </w:t>
      </w:r>
    </w:p>
    <w:p w:rsidR="009D46E6" w:rsidRDefault="009D46E6" w:rsidP="006A4948">
      <w:pPr>
        <w:pStyle w:val="Zdroj"/>
      </w:pPr>
      <w:r>
        <w:t>Zdroj: Český statistický úřad 2013, Roční statistické šetření výzkumu a vývoje VTR 5-01</w:t>
      </w:r>
    </w:p>
    <w:p w:rsidR="009D46E6" w:rsidRDefault="009D46E6" w:rsidP="006B2A35"/>
    <w:p w:rsidR="009D46E6" w:rsidRDefault="009D46E6" w:rsidP="006B2A35">
      <w:r>
        <w:t xml:space="preserve">Výzkumné a vývojové činnosti jsou v podnikatelském sektoru dlouhodobě financovány převážně ze soukromých zdrojů, ať už jde o finanční zdroje sledovaných podniků provádějících VaV či zdroje od ostatních ať už domácích, nebo zahraničních podniků pocházejí většinou z VaV prováděného na zakázku pro tyto subjekty. Podíl těchto zdrojů se v celém sledovaném období pohyboval na 75 %, ale v posledních letech můžeme pozorovat jak nárůst soukromých, tak veřejných zahraničních zdrojů na financování VaV prováděného v podnicích. V případě zahraničních zdrojů jde převážně o soukromé finanční prostředky podniků ze stejné vlastnické skupiny.  </w:t>
      </w:r>
    </w:p>
    <w:p w:rsidR="009D46E6" w:rsidRDefault="009D46E6" w:rsidP="006B2A35">
      <w:r>
        <w:t xml:space="preserve">Poměrně výrazné rozdíly ve financování podnikatelského VaV jsou u jednotlivých velikostních a vlastnických kategorií sledovaných podniků. Jestliže se veřejné domácí zdroje podílely u podniků pod zahraniční kontrolou ze 4 % na financování jejich VaV aktivit, tak u soukromých domácích podniků je to z 23 % a u veřejných podniků dokonce ze 40 % (údaje za rok 2012). Obdobné rozdíly nalezneme i v závislosti na velikosti sledovaných podniků. </w:t>
      </w:r>
    </w:p>
    <w:p w:rsidR="009D46E6" w:rsidRDefault="009D46E6" w:rsidP="006B2A35">
      <w:r>
        <w:t>V podnikatelském sektoru ČR, jak bylo již uvedeno výše, hraje ve VaV dlouhodobě nejvýznamnější roli zpracovatelský průmysl s 55 % (v roce 2012) a vyšším (v předchozích letech) podílem na celkových výdajích za VaV uskutečněných v podnikatelském sektoru. Z jednotlivých odvětví zpracovatelského průmyslu se v ČR nejvíce finančních prostředků určených na VaV uplatňuje již tradičně v automobilovém a strojírenském průmyslu. V roce 2012 plynulo do VaV v automobilovém průmyslu 4,6 mld. Kč a do strojírenského průmyslu 4,2 mld. Kč, což představovalo 12, resp. 11 % z celkových výdajů na VaV realizovaných v podnikatelském sektoru a 22, resp. 20 % ve zpracovatelském průmyslu. V posledních pěti letech rostly nejrychleji výdaje na VaV v Elektrotechnickém průmyslu a ve Výrobě ostatních dopravních prostředků (jde převážně o Výrobu železničních lokomotiv a vozového parku) a ve Výrobě kovových konstrukcí a kovodělných výrobků. Podrobné informace o výdajích na VaV v podnikatelském sektoru v členění podle převažující ekonomické činnosti jsou uvedeny v tabulkové příloze této analýzy.</w:t>
      </w:r>
    </w:p>
    <w:p w:rsidR="009D46E6" w:rsidRDefault="009D46E6" w:rsidP="006A4948">
      <w:pPr>
        <w:pStyle w:val="Caption"/>
        <w:tabs>
          <w:tab w:val="clear" w:pos="1276"/>
        </w:tabs>
        <w:ind w:left="1134" w:hanging="1134"/>
      </w:pPr>
      <w:bookmarkStart w:id="61" w:name="_Toc369091986"/>
      <w:r>
        <w:t xml:space="preserve">Graf </w:t>
      </w:r>
      <w:fldSimple w:instr=" STYLEREF 1 \s ">
        <w:r>
          <w:rPr>
            <w:noProof/>
          </w:rPr>
          <w:t>A</w:t>
        </w:r>
      </w:fldSimple>
      <w:r>
        <w:t>.</w:t>
      </w:r>
      <w:fldSimple w:instr=" SEQ Graf \* ARABIC \s 1 ">
        <w:r>
          <w:rPr>
            <w:noProof/>
          </w:rPr>
          <w:t>25</w:t>
        </w:r>
      </w:fldSimple>
      <w:r w:rsidRPr="00BD5EC7">
        <w:t xml:space="preserve">: </w:t>
      </w:r>
      <w:r w:rsidRPr="006A4948">
        <w:t>Výdaje za VaV provedený v podnikatelském sektoru ČR (BERD) podle zdrojů jejich financování (%)</w:t>
      </w:r>
      <w:bookmarkEnd w:id="61"/>
    </w:p>
    <w:p w:rsidR="009D46E6" w:rsidRPr="006A4948" w:rsidRDefault="009D46E6" w:rsidP="006A4948">
      <w:pPr>
        <w:pStyle w:val="Objekt"/>
        <w:rPr>
          <w:lang w:eastAsia="en-US"/>
        </w:rPr>
      </w:pPr>
      <w:r w:rsidRPr="001D1D98">
        <w:pict>
          <v:shape id="Graf 236" o:spid="_x0000_i1089" type="#_x0000_t75" style="width:198.6pt;height:196.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eXT2d2gAAAAUBAAAPAAAAZHJzL2Rvd25y&#10;ZXYueG1sTI9PSwMxEMXvgt8hjOBFbNIKVtfNFin04J8erL14Szfj7uJmsiTTdv32jiLoZXjDG977&#10;TbkYQ68OmHIXycJ0YkAh1dF31FjYvq4ub0BlduRdHwktfGKGRXV6UrrCxyO94GHDjZIQyoWz0DIP&#10;hda5bjG4PIkDknjvMQXHsqZG++SOEh56PTPmWgfXkTS0bsBli/XHZh8sXDz6h60xPF/RU5quh2Wt&#10;3/Kztedn4/0dKMaR/47hG1/QoRKmXdyTz6q3II/wzxTv6nY+A7X7Fboq9X/66gs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">
            <v:imagedata r:id="rId76" o:title="" croptop="-3044f" cropbottom="-1249f" cropleft="-331f" cropright="-3238f"/>
            <o:lock v:ext="edit" aspectratio="f"/>
          </v:shape>
        </w:pict>
      </w:r>
      <w:r w:rsidRPr="006A4948">
        <w:t xml:space="preserve"> </w:t>
      </w:r>
      <w:r>
        <w:t xml:space="preserve"> </w:t>
      </w:r>
      <w:r w:rsidRPr="001D1D98">
        <w:pict>
          <v:shape id="Graf 237" o:spid="_x0000_i1090" type="#_x0000_t75" style="width:127.2pt;height:194.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4gbCg3AAAAAUBAAAPAAAAZHJzL2Rvd25y&#10;ZXYueG1sTI9BS8NAEIXvgv9hGcGb3RjTamM2RQShIoK2et9mx2zq7mzITtP471296GXg8R7vfVOt&#10;Ju/EiEPsAim4nGUgkJpgOmoVvG0fLm5ARNZktAuECr4wwqo+Pal0acKRXnHccCtSCcVSK7DMfSll&#10;bCx6HWehR0reRxi85iSHVppBH1O5dzLPsoX0uqO0YHWP9xabz83BK3jv9+v5uM9fts9P7JYW1wv5&#10;WCh1fjbd3YJgnPgvDD/4CR3qxLQLBzJROAXpEf69ycvnRQFip+BqeZ2DrCv5n77+Bg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">
            <v:imagedata r:id="rId77" o:title="" croptop="-3020f" cropbottom="-733f" cropleft="-5091f" cropright="-4444f"/>
            <o:lock v:ext="edit" aspectratio="f"/>
          </v:shape>
        </w:pict>
      </w:r>
      <w:r>
        <w:tab/>
        <w:t xml:space="preserve"> </w:t>
      </w:r>
      <w:r w:rsidRPr="006A4948">
        <w:t xml:space="preserve"> </w:t>
      </w:r>
      <w:r w:rsidRPr="001D1D98">
        <w:pict>
          <v:shape id="Graf 238" o:spid="_x0000_i1091" type="#_x0000_t75" style="width:126pt;height:196.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">
            <v:imagedata r:id="rId78" o:title="" croptop="-3044f" cropbottom="-1249f" cropleft="-6473f" cropright="-9774f"/>
            <o:lock v:ext="edit" aspectratio="f"/>
          </v:shape>
        </w:pict>
      </w:r>
    </w:p>
    <w:p w:rsidR="009D46E6" w:rsidRDefault="009D46E6" w:rsidP="006A4948">
      <w:pPr>
        <w:pStyle w:val="Zdroj"/>
      </w:pPr>
      <w:r>
        <w:t>Zdroj: Český statistický úřad 2013, Roční statistické šetření výzkumu a vývoje VTR 5-01</w:t>
      </w:r>
    </w:p>
    <w:p w:rsidR="009D46E6" w:rsidRDefault="009D46E6" w:rsidP="006A4948"/>
    <w:p w:rsidR="009D46E6" w:rsidRDefault="009D46E6" w:rsidP="006A4948">
      <w:pPr>
        <w:pStyle w:val="Caption"/>
        <w:tabs>
          <w:tab w:val="clear" w:pos="1276"/>
        </w:tabs>
        <w:ind w:left="1134" w:hanging="1134"/>
      </w:pPr>
      <w:bookmarkStart w:id="62" w:name="_Toc369091987"/>
      <w:r>
        <w:t xml:space="preserve">Graf </w:t>
      </w:r>
      <w:fldSimple w:instr=" STYLEREF 1 \s ">
        <w:r>
          <w:rPr>
            <w:noProof/>
          </w:rPr>
          <w:t>A</w:t>
        </w:r>
      </w:fldSimple>
      <w:r>
        <w:t>.</w:t>
      </w:r>
      <w:fldSimple w:instr=" SEQ Graf \* ARABIC \s 1 ">
        <w:r>
          <w:rPr>
            <w:noProof/>
          </w:rPr>
          <w:t>26</w:t>
        </w:r>
      </w:fldSimple>
      <w:r w:rsidRPr="00BD5EC7">
        <w:t xml:space="preserve">: </w:t>
      </w:r>
      <w:r w:rsidRPr="006A4948">
        <w:t>Výdaje za provedený VaV ve zpracovatelském průmyslu ČR podle odvětví (%)</w:t>
      </w:r>
      <w:bookmarkEnd w:id="62"/>
    </w:p>
    <w:p w:rsidR="009D46E6" w:rsidRPr="006A4948" w:rsidRDefault="009D46E6" w:rsidP="006A4948">
      <w:pPr>
        <w:pStyle w:val="Objekt"/>
        <w:rPr>
          <w:lang w:eastAsia="en-US"/>
        </w:rPr>
      </w:pPr>
      <w:r w:rsidRPr="001D1D98">
        <w:pict>
          <v:shape id="Graf 239" o:spid="_x0000_i1092" type="#_x0000_t75" style="width:222.6pt;height:368.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CYjX92gAAAAUBAAAPAAAAZHJzL2Rvd25y&#10;ZXYueG1sTI/BTsMwEETvSPyDtUjcqBNCQxXiVBGCI4e2SFy38RIH4nUUu435ewwXuKw0mtHM23ob&#10;7SjONPvBsYJ8lYEg7pweuFfweni+2YDwAVnj6JgUfJGHbXN5UWOl3cI7Ou9DL1IJ+woVmBCmSkrf&#10;GbLoV24iTt67my2GJOde6hmXVG5HeZtlpbQ4cFowONGjoe5zf7IK2qfdx8tbnpvFxyK2rpvKPqyV&#10;ur6K7QOIQDH8heEHP6FDk5iO7sTai1FBeiT83uTdrYsSxFHBfVFuQDa1/E/ffAM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">
            <v:imagedata r:id="rId79" o:title="" croptop="-1636f" cropbottom="-2515f" cropleft="-148f" cropright="-1632f"/>
            <o:lock v:ext="edit" aspectratio="f"/>
          </v:shape>
        </w:pict>
      </w:r>
      <w:r w:rsidRPr="006A4948">
        <w:t xml:space="preserve"> </w:t>
      </w:r>
      <w:r>
        <w:tab/>
        <w:t xml:space="preserve">    </w:t>
      </w:r>
      <w:r w:rsidRPr="001D1D98">
        <w:pict>
          <v:shape id="Graf 252" o:spid="_x0000_i1093" type="#_x0000_t75" style="width:226.8pt;height:368.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">
            <v:imagedata r:id="rId80" o:title="" croptop="-1636f" cropbottom="-2515f" cropleft="-283f" cropright="-1774f"/>
            <o:lock v:ext="edit" aspectratio="f"/>
          </v:shape>
        </w:pict>
      </w:r>
    </w:p>
    <w:p w:rsidR="009D46E6" w:rsidRDefault="009D46E6" w:rsidP="006A4948">
      <w:pPr>
        <w:pStyle w:val="Zdroj"/>
      </w:pPr>
      <w:r>
        <w:t>Pozn.: * Podíl na celkových tržbách realizovaných v daném odvětví zpracovatelského průmyslu</w:t>
      </w:r>
    </w:p>
    <w:p w:rsidR="009D46E6" w:rsidRDefault="009D46E6" w:rsidP="006A4948">
      <w:pPr>
        <w:pStyle w:val="Zdroj"/>
      </w:pPr>
      <w:r>
        <w:t>Zdroj: Český statistický úřad 2013, Roční statistické šetření výzkumu a vývoje VTR 5-01</w:t>
      </w:r>
    </w:p>
    <w:p w:rsidR="009D46E6" w:rsidRDefault="009D46E6" w:rsidP="006B2A35"/>
    <w:p w:rsidR="009D46E6" w:rsidRDefault="009D46E6" w:rsidP="006B2A35">
      <w:r>
        <w:t>Pokud bychom výše uvedené ukazatele VaV za odvětví zpracovatelského průmyslu vyjádřily jako podíl na jejich celkových tržbách nebo celkovém počtu zaměstnanců, vyšlo by nám odlišné pořadí. Například největší intenzita VaV ve vztahu k celkovým tržbám by za rok 2011 (novější čísla nejsou k dispozici) vyšla ve Farmaceutickém průmyslu nebo ve Výrobě ostatních dopravních prostředků a zařízení s tím, že průměr za zpracovatelský průmysl dosáhl hodnoty 0,56 % (v roce 2008 to bylo 0,49 %).</w:t>
      </w:r>
    </w:p>
    <w:p w:rsidR="009D46E6" w:rsidRDefault="009D46E6" w:rsidP="006B2A35">
      <w:r>
        <w:t>I když i v případě podnikatelského sektoru je v členění podle regionů ve výdajích na VaV opět dominantní Praha, v posledních pěti letech vidíme poměrně zajímavý nárůst podílu Jihomoravského a částečně i Plzeňského a Libereckého kraje v podnikových VaV aktivitách.</w:t>
      </w:r>
    </w:p>
    <w:p w:rsidR="009D46E6" w:rsidRDefault="009D46E6" w:rsidP="006A4948">
      <w:pPr>
        <w:pStyle w:val="Caption"/>
        <w:tabs>
          <w:tab w:val="clear" w:pos="1276"/>
        </w:tabs>
        <w:ind w:left="1134" w:hanging="1134"/>
      </w:pPr>
      <w:bookmarkStart w:id="63" w:name="_Toc369091988"/>
      <w:r>
        <w:t xml:space="preserve">Graf </w:t>
      </w:r>
      <w:fldSimple w:instr=" STYLEREF 1 \s ">
        <w:r>
          <w:rPr>
            <w:noProof/>
          </w:rPr>
          <w:t>A</w:t>
        </w:r>
      </w:fldSimple>
      <w:r>
        <w:t>.</w:t>
      </w:r>
      <w:fldSimple w:instr=" SEQ Graf \* ARABIC \s 1 ">
        <w:r>
          <w:rPr>
            <w:noProof/>
          </w:rPr>
          <w:t>27</w:t>
        </w:r>
      </w:fldSimple>
      <w:r w:rsidRPr="00BD5EC7">
        <w:t xml:space="preserve">: </w:t>
      </w:r>
      <w:r w:rsidRPr="006A4948">
        <w:t>Výdaje na VaV v podnikatelském sektoru v krajích ČR (% BERD)</w:t>
      </w:r>
      <w:bookmarkEnd w:id="63"/>
    </w:p>
    <w:p w:rsidR="009D46E6" w:rsidRPr="006A4948" w:rsidRDefault="009D46E6" w:rsidP="006A4948">
      <w:pPr>
        <w:pStyle w:val="Objekt"/>
        <w:rPr>
          <w:lang w:eastAsia="en-US"/>
        </w:rPr>
      </w:pPr>
      <w:r w:rsidRPr="001D1D98">
        <w:pict>
          <v:shape id="Graf 253" o:spid="_x0000_i1094" type="#_x0000_t75" style="width:482.4pt;height:166.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UZ4nt3AAAAAUBAAAPAAAAZHJzL2Rvd25y&#10;ZXYueG1sTI9BS8NAEIXvgv9hGcGb3WhwtTGbIoIXKaXGotdpdpqEZmdjdpum/97VS70MPN7jvW/y&#10;xWQ7MdLgW8cabmcJCOLKmZZrDZuP15tHED4gG+wck4YTeVgUlxc5ZsYd+Z3GMtQilrDPUEMTQp9J&#10;6auGLPqZ64mjt3ODxRDlUEsz4DGW207eJYmSFluOCw329NJQtS8PVkO7/F6WX6fPNY5e1ZuVert/&#10;WKHW11fT8xOIQFM4h+EXP6JDEZm27sDGi05DfCT83ejNVapAbDWk6VyBLHL5n774AQ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">
            <v:imagedata r:id="rId81" o:title="" croptop="-2961f" cropbottom="-1439f" cropleft="-1104f" cropright="-2474f"/>
            <o:lock v:ext="edit" aspectratio="f"/>
          </v:shape>
        </w:pict>
      </w:r>
    </w:p>
    <w:p w:rsidR="009D46E6" w:rsidRDefault="009D46E6" w:rsidP="006A4948">
      <w:pPr>
        <w:pStyle w:val="Zdroj"/>
      </w:pPr>
      <w:r>
        <w:t>Zdroj: Český statistický úřad 2013, Roční statistické šetření výzkumu a vývoje VTR 5-01</w:t>
      </w:r>
    </w:p>
    <w:p w:rsidR="009D46E6" w:rsidRDefault="009D46E6" w:rsidP="006B2A35"/>
    <w:p w:rsidR="009D46E6" w:rsidRDefault="009D46E6" w:rsidP="006B2A35">
      <w:r>
        <w:t>Jak již bylo uvedeno v úvodu kapitoly A.1 v poznámce č. 1, ČSÚ kromě výdajů za provedený VaV označovaných jako vnitřní (intramural) výdaje na VaV, sleduje od roku 2008 u subjektů provádějících VaV i náklady na služby VaV, které jsou označovány jako vnější (extramural) výdaje na VaV.</w:t>
      </w:r>
      <w:r>
        <w:rPr>
          <w:rStyle w:val="FootnoteReference"/>
          <w:rFonts w:cs="MetaPro-Normal"/>
        </w:rPr>
        <w:footnoteReference w:id="16"/>
      </w:r>
      <w:r>
        <w:t xml:space="preserve"> Tyto náklady na služby VaV se převážně týkají subjektů v podnikatelském sektoru (z 96 % v roce 2012) a v nich pak podniků pod zahraniční kontrolou (89 % podíl). V roce 2012 podniky, kromě výše uvedených 38,8 mld. Kč za u nich provedený VaV (BERD), utratily dalších 15,2 mld. Kč za nákup služeb VaV od jiných subjektů, které byly určeny převážně jako subdodávka u nich prováděného VaV. </w:t>
      </w:r>
    </w:p>
    <w:p w:rsidR="009D46E6" w:rsidRDefault="009D46E6" w:rsidP="006A4948">
      <w:pPr>
        <w:pStyle w:val="Caption"/>
        <w:tabs>
          <w:tab w:val="clear" w:pos="1276"/>
        </w:tabs>
        <w:ind w:left="1134" w:hanging="1134"/>
      </w:pPr>
      <w:bookmarkStart w:id="64" w:name="_Toc369091989"/>
      <w:r>
        <w:t xml:space="preserve">Graf </w:t>
      </w:r>
      <w:fldSimple w:instr=" STYLEREF 1 \s ">
        <w:r>
          <w:rPr>
            <w:noProof/>
          </w:rPr>
          <w:t>A</w:t>
        </w:r>
      </w:fldSimple>
      <w:r>
        <w:t>.</w:t>
      </w:r>
      <w:fldSimple w:instr=" SEQ Graf \* ARABIC \s 1 ">
        <w:r>
          <w:rPr>
            <w:noProof/>
          </w:rPr>
          <w:t>28</w:t>
        </w:r>
      </w:fldSimple>
      <w:r w:rsidRPr="00BD5EC7">
        <w:t xml:space="preserve">: </w:t>
      </w:r>
      <w:r w:rsidRPr="00892E4B">
        <w:t>Náklady na služby VaV* podniků provádějících VaV v ČR, 2008-2012</w:t>
      </w:r>
      <w:bookmarkEnd w:id="64"/>
    </w:p>
    <w:p w:rsidR="009D46E6" w:rsidRPr="006A4948" w:rsidRDefault="009D46E6" w:rsidP="006A4948">
      <w:pPr>
        <w:pStyle w:val="Objekt"/>
        <w:rPr>
          <w:lang w:eastAsia="en-US"/>
        </w:rPr>
      </w:pPr>
      <w:r w:rsidRPr="001D1D98">
        <w:pict>
          <v:shape id="Graf 254" o:spid="_x0000_i1095" type="#_x0000_t75" style="width:166.8pt;height:184.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w5ois2wAAAAUBAAAPAAAAZHJzL2Rvd25y&#10;ZXYueG1sTI9BT8JAEIXvJv6HzZh4k61KCJZuCUq4GkFi6G1px7a6O9t0Byj/3pGLXiYzeS9vvpfN&#10;B+/UEfvYBjJwP0pAIZWhaqk2sH1f3U1BRbZUWRcIDZwxwjy/vspsWoUTrfG44VpJCMXUGmiYu1Tr&#10;WDbobRyFDkm0z9B7y3L2ta56e5Jw7/RDkky0ty3Jh8Z2+NJg+b05eAO8Wz0Vz27JxfprW4TX5ds5&#10;fiyMub0ZFjNQjAP/meEXX9AhF6Z9OFAVlTMgRfgyRXscJ1JjL8tkOgadZ/o/ff4D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">
            <v:imagedata r:id="rId82" o:title="" croptop="-6237f" cropbottom="-3088f" cropleft="-2408f" cropright="-3287f"/>
            <o:lock v:ext="edit" aspectratio="f"/>
          </v:shape>
        </w:pict>
      </w:r>
      <w:r>
        <w:rPr>
          <w:lang w:eastAsia="en-US"/>
        </w:rPr>
        <w:tab/>
        <w:t xml:space="preserve">  </w:t>
      </w:r>
      <w:r w:rsidRPr="001D1D98">
        <w:pict>
          <v:shape id="Graf 33" o:spid="_x0000_i1096" type="#_x0000_t75" style="width:141.6pt;height:180.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oyzH43AAAAAUBAAAPAAAAZHJzL2Rvd25y&#10;ZXYueG1sTI8xT8MwEIV3pP4H6yqxoNZpiqo0xKkKEixMDSxsbnxNQu1zFLtp+PccLLCc9PTu3vuu&#10;2E3OihGH0HlSsFomIJBqbzpqFLy/PS8yECFqMtp6QgVfGGBXzm4KnRt/pQOOVWwEh1DItYI2xj6X&#10;MtQtOh2Wvkdi7+QHpyPLoZFm0FcOd1amSbKRTnfEDa3u8anF+lxdHGNYrGwY7d1L3Pafr/LjcN6m&#10;j0rdzqf9A4iIU/xbhh98voGSmY7+QiYIq4Afib+TvTRbpyCOCtab7B5kWcj/9OU3AA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">
            <v:imagedata r:id="rId83" o:title="" croptop="-3924f" cropbottom="-5865f" cropleft="-720f" cropright="-4121f"/>
            <o:lock v:ext="edit" aspectratio="f"/>
          </v:shape>
        </w:pict>
      </w:r>
      <w:r>
        <w:rPr>
          <w:lang w:eastAsia="en-US"/>
        </w:rPr>
        <w:t xml:space="preserve">  </w:t>
      </w:r>
      <w:r w:rsidRPr="001D1D98">
        <w:pict>
          <v:shape id="Graf 34" o:spid="_x0000_i1097" type="#_x0000_t75" style="width:156pt;height:182.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">
            <v:imagedata r:id="rId84" o:title="" croptop="-3433f" cropbottom="-4167f" cropleft="-653f" cropright="-4078f"/>
            <o:lock v:ext="edit" aspectratio="f"/>
          </v:shape>
        </w:pict>
      </w:r>
    </w:p>
    <w:p w:rsidR="009D46E6" w:rsidRDefault="009D46E6" w:rsidP="00892E4B">
      <w:pPr>
        <w:pStyle w:val="Zdroj"/>
      </w:pPr>
      <w:r>
        <w:t>Pozn.: *Zahrnuje externí (vnější) výdaje, které zpravodajská jednotka vykáže jako zaplacené, nebo které se zavázala zaplatit jinému subjektu za provedení VaV na zakázku během uplynulého období.</w:t>
      </w:r>
    </w:p>
    <w:p w:rsidR="009D46E6" w:rsidRDefault="009D46E6" w:rsidP="00892E4B">
      <w:pPr>
        <w:pStyle w:val="Zdroj"/>
      </w:pPr>
      <w:r>
        <w:t>Zdroj: Český statistický úřad 2013, Roční statistické šetření výzkumu a vývoje VTR 5-01</w:t>
      </w:r>
    </w:p>
    <w:p w:rsidR="009D46E6" w:rsidRDefault="009D46E6" w:rsidP="006B2A35"/>
    <w:p w:rsidR="009D46E6" w:rsidRDefault="009D46E6" w:rsidP="006B2A35">
      <w:r>
        <w:t xml:space="preserve">Negativním zjištěním je skutečnost nejen že jen 217 (9 %) podniků v ČR uvedlo, že v roce 2012 nakoupilo službu VaV od subjektů působících ve vládním nebo vysokoškolském sektoru ČR reprezentované veřejnými vysokými školami (VVŠ) a veřejnými výzkumnými institucemi, ale především to, že náklady na tyto služby dosáhly pouze 253 mil. Kč, tj. méně než 1 % v porovnání s celkovými výdaji utracenými podniky za u nich provedený VaV (BERD). </w:t>
      </w:r>
    </w:p>
    <w:p w:rsidR="009D46E6" w:rsidRDefault="009D46E6" w:rsidP="00892E4B">
      <w:pPr>
        <w:pStyle w:val="Heading4"/>
      </w:pPr>
      <w:r>
        <w:t xml:space="preserve">Mezinárodní srovnání </w:t>
      </w:r>
    </w:p>
    <w:p w:rsidR="009D46E6" w:rsidRDefault="009D46E6" w:rsidP="006B2A35">
      <w:r>
        <w:t xml:space="preserve">V absolutních hodnotách bylo v roce 2011 v podnicích v zemích EU vynaloženo za provedený VaV celkem 152 mld. Eur. Tato částka odpovídá pouze 72 % tomu co za VaV utratily podniky ve Spojených státech. Ze zemí EU jde nejvíce peněz do VaV, jedna třetina, v podnicích, které působí na území Německa. V roce 2011 to bylo 50 mld. Eur, tj. například téměř 2krát více než v druhé Francii, 2,5krát více než ve Velké Británii, 5krát než v Itálii a dokonce 35krát více než v ČR. Přesto podniky působící v České republice investovaly do VaV v roce 2011 největší sumu ze všech nových členských zemí EU (1,4 mld. Eur). Ve středoevropském prostoru si proto stojíme v tomto hledisku velmi dobře, neboť nejen podniky v Maďarsku, ale i v Polsku investují do VaV přibližně polovinu toho co podniky v České republice. I v případě podnikatelského sektoru jsou pro lepší mezinárodní srovnání použity údaje o podnikových výdajích na VaV pomocí parity kupní sily (PPP). </w:t>
      </w:r>
    </w:p>
    <w:p w:rsidR="009D46E6" w:rsidRDefault="009D46E6" w:rsidP="00892E4B">
      <w:pPr>
        <w:pStyle w:val="Caption"/>
      </w:pPr>
      <w:bookmarkStart w:id="65" w:name="_Toc369091927"/>
      <w:r>
        <w:t xml:space="preserve">Tabulka </w:t>
      </w:r>
      <w:fldSimple w:instr=" STYLEREF 1 \s ">
        <w:r>
          <w:rPr>
            <w:noProof/>
          </w:rPr>
          <w:t>A</w:t>
        </w:r>
      </w:fldSimple>
      <w:r>
        <w:t>.</w:t>
      </w:r>
      <w:fldSimple w:instr=" SEQ Tabulka \* ARABIC \s 1 ">
        <w:r>
          <w:rPr>
            <w:noProof/>
          </w:rPr>
          <w:t>6</w:t>
        </w:r>
      </w:fldSimple>
      <w:r w:rsidRPr="00BC1D05">
        <w:t xml:space="preserve">: </w:t>
      </w:r>
      <w:r w:rsidRPr="00892E4B">
        <w:t>Výdaje za VaV provedený v podnikatelském sektoru (BERD) ve vybraných zemích (mil. US$ v PPP; EU28= 100)</w:t>
      </w:r>
      <w:bookmarkEnd w:id="65"/>
    </w:p>
    <w:tbl>
      <w:tblPr>
        <w:tblW w:w="9639" w:type="dxa"/>
        <w:tblInd w:w="108" w:type="dxa"/>
        <w:tblBorders>
          <w:top w:val="single" w:sz="18" w:space="0" w:color="auto"/>
          <w:bottom w:val="single" w:sz="18" w:space="0" w:color="auto"/>
        </w:tblBorders>
        <w:tblLayout w:type="fixed"/>
        <w:tblLook w:val="00A0"/>
      </w:tblPr>
      <w:tblGrid>
        <w:gridCol w:w="745"/>
        <w:gridCol w:w="895"/>
        <w:gridCol w:w="744"/>
        <w:gridCol w:w="744"/>
        <w:gridCol w:w="744"/>
        <w:gridCol w:w="743"/>
        <w:gridCol w:w="654"/>
        <w:gridCol w:w="655"/>
        <w:gridCol w:w="655"/>
        <w:gridCol w:w="655"/>
        <w:gridCol w:w="655"/>
        <w:gridCol w:w="608"/>
        <w:gridCol w:w="608"/>
        <w:gridCol w:w="534"/>
      </w:tblGrid>
      <w:tr w:rsidR="009D46E6" w:rsidRPr="00DB1559" w:rsidTr="00DB1559">
        <w:trPr>
          <w:trHeight w:val="239"/>
        </w:trPr>
        <w:tc>
          <w:tcPr>
            <w:tcW w:w="709" w:type="dxa"/>
            <w:tcBorders>
              <w:top w:val="single" w:sz="18" w:space="0" w:color="auto"/>
              <w:left w:val="nil"/>
              <w:bottom w:val="single" w:sz="18" w:space="0" w:color="auto"/>
              <w:right w:val="nil"/>
            </w:tcBorders>
            <w:shd w:val="clear" w:color="auto" w:fill="4F81BD"/>
            <w:noWrap/>
          </w:tcPr>
          <w:p w:rsidR="009D46E6" w:rsidRPr="00DB1559" w:rsidRDefault="009D46E6" w:rsidP="00DB1559">
            <w:pPr>
              <w:spacing w:after="0" w:line="240" w:lineRule="auto"/>
              <w:jc w:val="center"/>
              <w:rPr>
                <w:rFonts w:cs="Tahoma"/>
                <w:b/>
                <w:bCs/>
                <w:color w:val="FFFFFF"/>
                <w:sz w:val="13"/>
                <w:szCs w:val="13"/>
                <w:lang w:eastAsia="cs-CZ"/>
              </w:rPr>
            </w:pPr>
            <w:r w:rsidRPr="00DB1559">
              <w:rPr>
                <w:rFonts w:cs="Tahoma"/>
                <w:b/>
                <w:bCs/>
                <w:color w:val="FFFFFF"/>
                <w:sz w:val="13"/>
                <w:szCs w:val="13"/>
                <w:lang w:eastAsia="cs-CZ"/>
              </w:rPr>
              <w:t> </w:t>
            </w:r>
          </w:p>
        </w:tc>
        <w:tc>
          <w:tcPr>
            <w:tcW w:w="851"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jc w:val="center"/>
              <w:rPr>
                <w:rFonts w:cs="Tahoma"/>
                <w:b/>
                <w:bCs/>
                <w:color w:val="FFFFFF"/>
                <w:sz w:val="13"/>
                <w:szCs w:val="13"/>
                <w:lang w:eastAsia="cs-CZ"/>
              </w:rPr>
            </w:pPr>
            <w:r w:rsidRPr="00DB1559">
              <w:rPr>
                <w:rFonts w:cs="Tahoma"/>
                <w:b/>
                <w:color w:val="FFFFFF"/>
                <w:sz w:val="13"/>
                <w:szCs w:val="13"/>
                <w:lang w:eastAsia="cs-CZ"/>
              </w:rPr>
              <w:t>EU28</w:t>
            </w:r>
          </w:p>
        </w:tc>
        <w:tc>
          <w:tcPr>
            <w:tcW w:w="708"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jc w:val="center"/>
              <w:rPr>
                <w:rFonts w:cs="Tahoma"/>
                <w:b/>
                <w:bCs/>
                <w:color w:val="FFFFFF"/>
                <w:sz w:val="13"/>
                <w:szCs w:val="13"/>
                <w:lang w:eastAsia="cs-CZ"/>
              </w:rPr>
            </w:pPr>
            <w:r w:rsidRPr="00DB1559">
              <w:rPr>
                <w:rFonts w:cs="Tahoma"/>
                <w:b/>
                <w:color w:val="FFFFFF"/>
                <w:sz w:val="13"/>
                <w:szCs w:val="13"/>
                <w:lang w:eastAsia="cs-CZ"/>
              </w:rPr>
              <w:t>USA</w:t>
            </w:r>
          </w:p>
        </w:tc>
        <w:tc>
          <w:tcPr>
            <w:tcW w:w="709"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jc w:val="center"/>
              <w:rPr>
                <w:rFonts w:cs="Tahoma"/>
                <w:b/>
                <w:bCs/>
                <w:color w:val="FFFFFF"/>
                <w:sz w:val="13"/>
                <w:szCs w:val="13"/>
                <w:lang w:eastAsia="cs-CZ"/>
              </w:rPr>
            </w:pPr>
            <w:r w:rsidRPr="00DB1559">
              <w:rPr>
                <w:rFonts w:cs="Tahoma"/>
                <w:b/>
                <w:color w:val="FFFFFF"/>
                <w:sz w:val="13"/>
                <w:szCs w:val="13"/>
                <w:lang w:eastAsia="cs-CZ"/>
              </w:rPr>
              <w:t>Čína</w:t>
            </w:r>
          </w:p>
        </w:tc>
        <w:tc>
          <w:tcPr>
            <w:tcW w:w="709"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jc w:val="center"/>
              <w:rPr>
                <w:rFonts w:cs="Tahoma"/>
                <w:b/>
                <w:bCs/>
                <w:color w:val="FFFFFF"/>
                <w:sz w:val="13"/>
                <w:szCs w:val="13"/>
                <w:lang w:eastAsia="cs-CZ"/>
              </w:rPr>
            </w:pPr>
            <w:r w:rsidRPr="00DB1559">
              <w:rPr>
                <w:rFonts w:cs="Tahoma"/>
                <w:b/>
                <w:color w:val="FFFFFF"/>
                <w:sz w:val="13"/>
                <w:szCs w:val="13"/>
                <w:lang w:eastAsia="cs-CZ"/>
              </w:rPr>
              <w:t>Jap.</w:t>
            </w:r>
          </w:p>
        </w:tc>
        <w:tc>
          <w:tcPr>
            <w:tcW w:w="708"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jc w:val="center"/>
              <w:rPr>
                <w:rFonts w:cs="Tahoma"/>
                <w:b/>
                <w:bCs/>
                <w:color w:val="FFFFFF"/>
                <w:sz w:val="13"/>
                <w:szCs w:val="13"/>
                <w:lang w:eastAsia="cs-CZ"/>
              </w:rPr>
            </w:pPr>
            <w:r w:rsidRPr="00DB1559">
              <w:rPr>
                <w:rFonts w:cs="Tahoma"/>
                <w:b/>
                <w:color w:val="FFFFFF"/>
                <w:sz w:val="13"/>
                <w:szCs w:val="13"/>
                <w:lang w:eastAsia="cs-CZ"/>
              </w:rPr>
              <w:t>Něm.</w:t>
            </w:r>
          </w:p>
        </w:tc>
        <w:tc>
          <w:tcPr>
            <w:tcW w:w="623"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jc w:val="center"/>
              <w:rPr>
                <w:rFonts w:cs="Tahoma"/>
                <w:b/>
                <w:bCs/>
                <w:color w:val="FFFFFF"/>
                <w:sz w:val="13"/>
                <w:szCs w:val="13"/>
                <w:lang w:eastAsia="cs-CZ"/>
              </w:rPr>
            </w:pPr>
            <w:r w:rsidRPr="00DB1559">
              <w:rPr>
                <w:rFonts w:cs="Tahoma"/>
                <w:b/>
                <w:color w:val="FFFFFF"/>
                <w:sz w:val="13"/>
                <w:szCs w:val="13"/>
                <w:lang w:eastAsia="cs-CZ"/>
              </w:rPr>
              <w:t>Korea</w:t>
            </w:r>
          </w:p>
        </w:tc>
        <w:tc>
          <w:tcPr>
            <w:tcW w:w="624"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jc w:val="center"/>
              <w:rPr>
                <w:rFonts w:cs="Tahoma"/>
                <w:b/>
                <w:bCs/>
                <w:color w:val="FFFFFF"/>
                <w:sz w:val="13"/>
                <w:szCs w:val="13"/>
                <w:lang w:eastAsia="cs-CZ"/>
              </w:rPr>
            </w:pPr>
            <w:r w:rsidRPr="00DB1559">
              <w:rPr>
                <w:rFonts w:cs="Tahoma"/>
                <w:b/>
                <w:color w:val="FFFFFF"/>
                <w:sz w:val="13"/>
                <w:szCs w:val="13"/>
                <w:lang w:eastAsia="cs-CZ"/>
              </w:rPr>
              <w:t>Rusko</w:t>
            </w:r>
          </w:p>
        </w:tc>
        <w:tc>
          <w:tcPr>
            <w:tcW w:w="624"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jc w:val="center"/>
              <w:rPr>
                <w:rFonts w:cs="Tahoma"/>
                <w:b/>
                <w:bCs/>
                <w:color w:val="FFFFFF"/>
                <w:sz w:val="13"/>
                <w:szCs w:val="13"/>
                <w:lang w:eastAsia="cs-CZ"/>
              </w:rPr>
            </w:pPr>
            <w:r w:rsidRPr="00DB1559">
              <w:rPr>
                <w:rFonts w:cs="Tahoma"/>
                <w:b/>
                <w:color w:val="FFFFFF"/>
                <w:sz w:val="13"/>
                <w:szCs w:val="13"/>
                <w:lang w:eastAsia="cs-CZ"/>
              </w:rPr>
              <w:t>Rak.</w:t>
            </w:r>
          </w:p>
        </w:tc>
        <w:tc>
          <w:tcPr>
            <w:tcW w:w="624"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jc w:val="center"/>
              <w:rPr>
                <w:rFonts w:cs="Tahoma"/>
                <w:b/>
                <w:bCs/>
                <w:color w:val="FFFFFF"/>
                <w:sz w:val="13"/>
                <w:szCs w:val="13"/>
                <w:lang w:eastAsia="cs-CZ"/>
              </w:rPr>
            </w:pPr>
            <w:r w:rsidRPr="00DB1559">
              <w:rPr>
                <w:rFonts w:cs="Tahoma"/>
                <w:b/>
                <w:color w:val="FFFFFF"/>
                <w:sz w:val="13"/>
                <w:szCs w:val="13"/>
                <w:lang w:eastAsia="cs-CZ"/>
              </w:rPr>
              <w:t>Fin.</w:t>
            </w:r>
          </w:p>
        </w:tc>
        <w:tc>
          <w:tcPr>
            <w:tcW w:w="624"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jc w:val="center"/>
              <w:rPr>
                <w:rFonts w:cs="Tahoma"/>
                <w:b/>
                <w:bCs/>
                <w:color w:val="FFFFFF"/>
                <w:sz w:val="13"/>
                <w:szCs w:val="13"/>
                <w:lang w:eastAsia="cs-CZ"/>
              </w:rPr>
            </w:pPr>
            <w:r w:rsidRPr="00DB1559">
              <w:rPr>
                <w:rFonts w:cs="Tahoma"/>
                <w:b/>
                <w:color w:val="FFFFFF"/>
                <w:sz w:val="13"/>
                <w:szCs w:val="13"/>
                <w:lang w:eastAsia="cs-CZ"/>
              </w:rPr>
              <w:t>ČR</w:t>
            </w:r>
          </w:p>
        </w:tc>
        <w:tc>
          <w:tcPr>
            <w:tcW w:w="579"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jc w:val="center"/>
              <w:rPr>
                <w:rFonts w:cs="Tahoma"/>
                <w:b/>
                <w:bCs/>
                <w:color w:val="FFFFFF"/>
                <w:sz w:val="13"/>
                <w:szCs w:val="13"/>
                <w:lang w:eastAsia="cs-CZ"/>
              </w:rPr>
            </w:pPr>
            <w:r w:rsidRPr="00DB1559">
              <w:rPr>
                <w:rFonts w:cs="Tahoma"/>
                <w:b/>
                <w:color w:val="FFFFFF"/>
                <w:sz w:val="13"/>
                <w:szCs w:val="13"/>
                <w:lang w:eastAsia="cs-CZ"/>
              </w:rPr>
              <w:t>Pol.</w:t>
            </w:r>
          </w:p>
        </w:tc>
        <w:tc>
          <w:tcPr>
            <w:tcW w:w="579"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jc w:val="center"/>
              <w:rPr>
                <w:rFonts w:cs="Tahoma"/>
                <w:b/>
                <w:bCs/>
                <w:color w:val="FFFFFF"/>
                <w:sz w:val="13"/>
                <w:szCs w:val="13"/>
                <w:lang w:eastAsia="cs-CZ"/>
              </w:rPr>
            </w:pPr>
            <w:r w:rsidRPr="00DB1559">
              <w:rPr>
                <w:rFonts w:cs="Tahoma"/>
                <w:b/>
                <w:color w:val="FFFFFF"/>
                <w:sz w:val="13"/>
                <w:szCs w:val="13"/>
                <w:lang w:eastAsia="cs-CZ"/>
              </w:rPr>
              <w:t>Maď.</w:t>
            </w:r>
          </w:p>
        </w:tc>
        <w:tc>
          <w:tcPr>
            <w:tcW w:w="509"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jc w:val="center"/>
              <w:rPr>
                <w:rFonts w:cs="Tahoma"/>
                <w:b/>
                <w:bCs/>
                <w:color w:val="FFFFFF"/>
                <w:sz w:val="13"/>
                <w:szCs w:val="13"/>
                <w:lang w:eastAsia="cs-CZ"/>
              </w:rPr>
            </w:pPr>
            <w:r w:rsidRPr="00DB1559">
              <w:rPr>
                <w:rFonts w:cs="Tahoma"/>
                <w:b/>
                <w:color w:val="FFFFFF"/>
                <w:sz w:val="13"/>
                <w:szCs w:val="13"/>
                <w:lang w:eastAsia="cs-CZ"/>
              </w:rPr>
              <w:t>SR</w:t>
            </w:r>
          </w:p>
        </w:tc>
      </w:tr>
      <w:tr w:rsidR="009D46E6" w:rsidRPr="00DB1559" w:rsidTr="00DB1559">
        <w:trPr>
          <w:trHeight w:val="224"/>
        </w:trPr>
        <w:tc>
          <w:tcPr>
            <w:tcW w:w="709" w:type="dxa"/>
            <w:tcBorders>
              <w:left w:val="nil"/>
              <w:bottom w:val="nil"/>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3"/>
                <w:szCs w:val="13"/>
                <w:lang w:eastAsia="cs-CZ"/>
              </w:rPr>
            </w:pPr>
            <w:r w:rsidRPr="00DB1559">
              <w:rPr>
                <w:rFonts w:cs="Tahoma"/>
                <w:b/>
                <w:bCs/>
                <w:color w:val="FFFFFF"/>
                <w:sz w:val="13"/>
                <w:szCs w:val="13"/>
                <w:lang w:eastAsia="cs-CZ"/>
              </w:rPr>
              <w:t>2000</w:t>
            </w:r>
          </w:p>
        </w:tc>
        <w:tc>
          <w:tcPr>
            <w:tcW w:w="851" w:type="dxa"/>
            <w:shd w:val="clear" w:color="auto" w:fill="D8D8D8"/>
            <w:noWrap/>
            <w:vAlign w:val="center"/>
          </w:tcPr>
          <w:p w:rsidR="009D46E6" w:rsidRPr="00DB1559" w:rsidRDefault="009D46E6" w:rsidP="00DB1559">
            <w:pPr>
              <w:spacing w:after="0"/>
              <w:jc w:val="right"/>
              <w:rPr>
                <w:rFonts w:cs="Tahoma"/>
                <w:b/>
                <w:bCs/>
                <w:color w:val="000000"/>
                <w:sz w:val="13"/>
                <w:szCs w:val="13"/>
                <w:lang w:eastAsia="cs-CZ"/>
              </w:rPr>
            </w:pPr>
            <w:r w:rsidRPr="00DB1559">
              <w:rPr>
                <w:rFonts w:cs="Tahoma"/>
                <w:b/>
                <w:bCs/>
                <w:color w:val="000000"/>
                <w:sz w:val="13"/>
                <w:szCs w:val="13"/>
                <w:lang w:eastAsia="cs-CZ"/>
              </w:rPr>
              <w:t>117 217</w:t>
            </w:r>
          </w:p>
        </w:tc>
        <w:tc>
          <w:tcPr>
            <w:tcW w:w="708" w:type="dxa"/>
            <w:shd w:val="clear" w:color="auto" w:fill="D8D8D8"/>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199 961</w:t>
            </w:r>
          </w:p>
        </w:tc>
        <w:tc>
          <w:tcPr>
            <w:tcW w:w="709" w:type="dxa"/>
            <w:shd w:val="clear" w:color="auto" w:fill="D8D8D8"/>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16 319</w:t>
            </w:r>
          </w:p>
        </w:tc>
        <w:tc>
          <w:tcPr>
            <w:tcW w:w="709" w:type="dxa"/>
            <w:shd w:val="clear" w:color="auto" w:fill="D8D8D8"/>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70 015</w:t>
            </w:r>
          </w:p>
        </w:tc>
        <w:tc>
          <w:tcPr>
            <w:tcW w:w="708" w:type="dxa"/>
            <w:shd w:val="clear" w:color="auto" w:fill="D8D8D8"/>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36 817</w:t>
            </w:r>
          </w:p>
        </w:tc>
        <w:tc>
          <w:tcPr>
            <w:tcW w:w="623" w:type="dxa"/>
            <w:shd w:val="clear" w:color="auto" w:fill="D8D8D8"/>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13 742</w:t>
            </w:r>
          </w:p>
        </w:tc>
        <w:tc>
          <w:tcPr>
            <w:tcW w:w="624" w:type="dxa"/>
            <w:shd w:val="clear" w:color="auto" w:fill="D8D8D8"/>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7 429</w:t>
            </w:r>
          </w:p>
        </w:tc>
        <w:tc>
          <w:tcPr>
            <w:tcW w:w="624" w:type="dxa"/>
            <w:shd w:val="clear" w:color="auto" w:fill="D8D8D8"/>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2 991</w:t>
            </w:r>
          </w:p>
        </w:tc>
        <w:tc>
          <w:tcPr>
            <w:tcW w:w="624" w:type="dxa"/>
            <w:shd w:val="clear" w:color="auto" w:fill="D8D8D8"/>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3 152</w:t>
            </w:r>
          </w:p>
        </w:tc>
        <w:tc>
          <w:tcPr>
            <w:tcW w:w="624" w:type="dxa"/>
            <w:shd w:val="clear" w:color="auto" w:fill="D8D8D8"/>
            <w:noWrap/>
            <w:vAlign w:val="center"/>
          </w:tcPr>
          <w:p w:rsidR="009D46E6" w:rsidRPr="00DB1559" w:rsidRDefault="009D46E6" w:rsidP="00DB1559">
            <w:pPr>
              <w:spacing w:after="0"/>
              <w:jc w:val="right"/>
              <w:rPr>
                <w:rFonts w:cs="Tahoma"/>
                <w:b/>
                <w:bCs/>
                <w:color w:val="000000"/>
                <w:sz w:val="13"/>
                <w:szCs w:val="13"/>
                <w:lang w:eastAsia="cs-CZ"/>
              </w:rPr>
            </w:pPr>
            <w:r w:rsidRPr="00DB1559">
              <w:rPr>
                <w:rFonts w:cs="Tahoma"/>
                <w:b/>
                <w:bCs/>
                <w:color w:val="000000"/>
                <w:sz w:val="13"/>
                <w:szCs w:val="13"/>
                <w:lang w:eastAsia="cs-CZ"/>
              </w:rPr>
              <w:t>1 117</w:t>
            </w:r>
          </w:p>
        </w:tc>
        <w:tc>
          <w:tcPr>
            <w:tcW w:w="579" w:type="dxa"/>
            <w:shd w:val="clear" w:color="auto" w:fill="D8D8D8"/>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940</w:t>
            </w:r>
          </w:p>
        </w:tc>
        <w:tc>
          <w:tcPr>
            <w:tcW w:w="579" w:type="dxa"/>
            <w:shd w:val="clear" w:color="auto" w:fill="D8D8D8"/>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433</w:t>
            </w:r>
          </w:p>
        </w:tc>
        <w:tc>
          <w:tcPr>
            <w:tcW w:w="509" w:type="dxa"/>
            <w:shd w:val="clear" w:color="auto" w:fill="D8D8D8"/>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253</w:t>
            </w:r>
          </w:p>
        </w:tc>
      </w:tr>
      <w:tr w:rsidR="009D46E6" w:rsidRPr="00DB1559" w:rsidTr="00DB1559">
        <w:trPr>
          <w:trHeight w:val="224"/>
        </w:trPr>
        <w:tc>
          <w:tcPr>
            <w:tcW w:w="709" w:type="dxa"/>
            <w:tcBorders>
              <w:left w:val="nil"/>
              <w:bottom w:val="nil"/>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3"/>
                <w:szCs w:val="13"/>
                <w:lang w:eastAsia="cs-CZ"/>
              </w:rPr>
            </w:pPr>
            <w:r w:rsidRPr="00DB1559">
              <w:rPr>
                <w:rFonts w:cs="Tahoma"/>
                <w:b/>
                <w:bCs/>
                <w:color w:val="FFFFFF"/>
                <w:sz w:val="13"/>
                <w:szCs w:val="13"/>
                <w:lang w:eastAsia="cs-CZ"/>
              </w:rPr>
              <w:t>2007</w:t>
            </w:r>
          </w:p>
        </w:tc>
        <w:tc>
          <w:tcPr>
            <w:tcW w:w="851" w:type="dxa"/>
            <w:noWrap/>
            <w:vAlign w:val="center"/>
          </w:tcPr>
          <w:p w:rsidR="009D46E6" w:rsidRPr="00DB1559" w:rsidRDefault="009D46E6" w:rsidP="00DB1559">
            <w:pPr>
              <w:spacing w:after="0"/>
              <w:jc w:val="right"/>
              <w:rPr>
                <w:rFonts w:cs="Tahoma"/>
                <w:b/>
                <w:bCs/>
                <w:color w:val="000000"/>
                <w:sz w:val="13"/>
                <w:szCs w:val="13"/>
                <w:lang w:eastAsia="cs-CZ"/>
              </w:rPr>
            </w:pPr>
            <w:r w:rsidRPr="00DB1559">
              <w:rPr>
                <w:rFonts w:cs="Tahoma"/>
                <w:b/>
                <w:bCs/>
                <w:color w:val="000000"/>
                <w:sz w:val="13"/>
                <w:szCs w:val="13"/>
                <w:lang w:eastAsia="cs-CZ"/>
              </w:rPr>
              <w:t>170 566</w:t>
            </w:r>
          </w:p>
        </w:tc>
        <w:tc>
          <w:tcPr>
            <w:tcW w:w="708" w:type="dxa"/>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269 267</w:t>
            </w:r>
          </w:p>
        </w:tc>
        <w:tc>
          <w:tcPr>
            <w:tcW w:w="709" w:type="dxa"/>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73 964</w:t>
            </w:r>
          </w:p>
        </w:tc>
        <w:tc>
          <w:tcPr>
            <w:tcW w:w="709" w:type="dxa"/>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115 046</w:t>
            </w:r>
          </w:p>
        </w:tc>
        <w:tc>
          <w:tcPr>
            <w:tcW w:w="708" w:type="dxa"/>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51 807</w:t>
            </w:r>
          </w:p>
        </w:tc>
        <w:tc>
          <w:tcPr>
            <w:tcW w:w="623" w:type="dxa"/>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31 048</w:t>
            </w:r>
          </w:p>
        </w:tc>
        <w:tc>
          <w:tcPr>
            <w:tcW w:w="624" w:type="dxa"/>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17 058</w:t>
            </w:r>
          </w:p>
        </w:tc>
        <w:tc>
          <w:tcPr>
            <w:tcW w:w="624" w:type="dxa"/>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5 586</w:t>
            </w:r>
          </w:p>
        </w:tc>
        <w:tc>
          <w:tcPr>
            <w:tcW w:w="624" w:type="dxa"/>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4 798</w:t>
            </w:r>
          </w:p>
        </w:tc>
        <w:tc>
          <w:tcPr>
            <w:tcW w:w="624" w:type="dxa"/>
            <w:noWrap/>
            <w:vAlign w:val="center"/>
          </w:tcPr>
          <w:p w:rsidR="009D46E6" w:rsidRPr="00DB1559" w:rsidRDefault="009D46E6" w:rsidP="00DB1559">
            <w:pPr>
              <w:spacing w:after="0"/>
              <w:jc w:val="right"/>
              <w:rPr>
                <w:rFonts w:cs="Tahoma"/>
                <w:b/>
                <w:bCs/>
                <w:color w:val="000000"/>
                <w:sz w:val="13"/>
                <w:szCs w:val="13"/>
                <w:lang w:eastAsia="cs-CZ"/>
              </w:rPr>
            </w:pPr>
            <w:r w:rsidRPr="00DB1559">
              <w:rPr>
                <w:rFonts w:cs="Tahoma"/>
                <w:b/>
                <w:bCs/>
                <w:color w:val="000000"/>
                <w:sz w:val="13"/>
                <w:szCs w:val="13"/>
                <w:lang w:eastAsia="cs-CZ"/>
              </w:rPr>
              <w:t>2 104</w:t>
            </w:r>
          </w:p>
        </w:tc>
        <w:tc>
          <w:tcPr>
            <w:tcW w:w="579" w:type="dxa"/>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1 099</w:t>
            </w:r>
          </w:p>
        </w:tc>
        <w:tc>
          <w:tcPr>
            <w:tcW w:w="579" w:type="dxa"/>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942</w:t>
            </w:r>
          </w:p>
        </w:tc>
        <w:tc>
          <w:tcPr>
            <w:tcW w:w="509" w:type="dxa"/>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205</w:t>
            </w:r>
          </w:p>
        </w:tc>
      </w:tr>
      <w:tr w:rsidR="009D46E6" w:rsidRPr="00DB1559" w:rsidTr="00DB1559">
        <w:trPr>
          <w:trHeight w:val="224"/>
        </w:trPr>
        <w:tc>
          <w:tcPr>
            <w:tcW w:w="709" w:type="dxa"/>
            <w:tcBorders>
              <w:left w:val="nil"/>
              <w:bottom w:val="nil"/>
              <w:right w:val="nil"/>
            </w:tcBorders>
            <w:shd w:val="clear" w:color="auto" w:fill="4F81BD"/>
            <w:noWrap/>
            <w:vAlign w:val="center"/>
          </w:tcPr>
          <w:p w:rsidR="009D46E6" w:rsidRPr="00DB1559" w:rsidRDefault="009D46E6" w:rsidP="00DB1559">
            <w:pPr>
              <w:spacing w:after="0" w:line="240" w:lineRule="auto"/>
              <w:jc w:val="center"/>
              <w:rPr>
                <w:rFonts w:cs="Tahoma"/>
                <w:b/>
                <w:bCs/>
                <w:color w:val="FFFFFF"/>
                <w:sz w:val="13"/>
                <w:szCs w:val="13"/>
                <w:lang w:eastAsia="cs-CZ"/>
              </w:rPr>
            </w:pPr>
            <w:r w:rsidRPr="00DB1559">
              <w:rPr>
                <w:rFonts w:cs="Tahoma"/>
                <w:b/>
                <w:bCs/>
                <w:color w:val="FFFFFF"/>
                <w:sz w:val="13"/>
                <w:szCs w:val="13"/>
                <w:lang w:eastAsia="cs-CZ"/>
              </w:rPr>
              <w:t>2011</w:t>
            </w:r>
          </w:p>
        </w:tc>
        <w:tc>
          <w:tcPr>
            <w:tcW w:w="851" w:type="dxa"/>
            <w:shd w:val="clear" w:color="auto" w:fill="D8D8D8"/>
            <w:noWrap/>
            <w:vAlign w:val="center"/>
          </w:tcPr>
          <w:p w:rsidR="009D46E6" w:rsidRPr="00DB1559" w:rsidRDefault="009D46E6" w:rsidP="00DB1559">
            <w:pPr>
              <w:spacing w:after="0"/>
              <w:jc w:val="right"/>
              <w:rPr>
                <w:rFonts w:cs="Tahoma"/>
                <w:b/>
                <w:bCs/>
                <w:color w:val="000000"/>
                <w:sz w:val="13"/>
                <w:szCs w:val="13"/>
                <w:lang w:eastAsia="cs-CZ"/>
              </w:rPr>
            </w:pPr>
            <w:r w:rsidRPr="00DB1559">
              <w:rPr>
                <w:rFonts w:cs="Tahoma"/>
                <w:b/>
                <w:bCs/>
                <w:color w:val="000000"/>
                <w:sz w:val="13"/>
                <w:szCs w:val="13"/>
                <w:lang w:eastAsia="cs-CZ"/>
              </w:rPr>
              <w:t>198 286</w:t>
            </w:r>
          </w:p>
        </w:tc>
        <w:tc>
          <w:tcPr>
            <w:tcW w:w="708" w:type="dxa"/>
            <w:shd w:val="clear" w:color="auto" w:fill="D8D8D8"/>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283 784</w:t>
            </w:r>
          </w:p>
        </w:tc>
        <w:tc>
          <w:tcPr>
            <w:tcW w:w="709" w:type="dxa"/>
            <w:shd w:val="clear" w:color="auto" w:fill="D8D8D8"/>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157 664</w:t>
            </w:r>
          </w:p>
        </w:tc>
        <w:tc>
          <w:tcPr>
            <w:tcW w:w="709" w:type="dxa"/>
            <w:shd w:val="clear" w:color="auto" w:fill="D8D8D8"/>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112 779</w:t>
            </w:r>
          </w:p>
        </w:tc>
        <w:tc>
          <w:tcPr>
            <w:tcW w:w="708" w:type="dxa"/>
            <w:shd w:val="clear" w:color="auto" w:fill="D8D8D8"/>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62 650</w:t>
            </w:r>
          </w:p>
        </w:tc>
        <w:tc>
          <w:tcPr>
            <w:tcW w:w="623" w:type="dxa"/>
            <w:shd w:val="clear" w:color="auto" w:fill="D8D8D8"/>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45 836</w:t>
            </w:r>
          </w:p>
        </w:tc>
        <w:tc>
          <w:tcPr>
            <w:tcW w:w="624" w:type="dxa"/>
            <w:shd w:val="clear" w:color="auto" w:fill="D8D8D8"/>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21 362</w:t>
            </w:r>
          </w:p>
        </w:tc>
        <w:tc>
          <w:tcPr>
            <w:tcW w:w="624" w:type="dxa"/>
            <w:shd w:val="clear" w:color="auto" w:fill="D8D8D8"/>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6 647</w:t>
            </w:r>
          </w:p>
        </w:tc>
        <w:tc>
          <w:tcPr>
            <w:tcW w:w="624" w:type="dxa"/>
            <w:shd w:val="clear" w:color="auto" w:fill="D8D8D8"/>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5 379</w:t>
            </w:r>
          </w:p>
        </w:tc>
        <w:tc>
          <w:tcPr>
            <w:tcW w:w="624" w:type="dxa"/>
            <w:shd w:val="clear" w:color="auto" w:fill="D8D8D8"/>
            <w:noWrap/>
            <w:vAlign w:val="center"/>
          </w:tcPr>
          <w:p w:rsidR="009D46E6" w:rsidRPr="00DB1559" w:rsidRDefault="009D46E6" w:rsidP="00DB1559">
            <w:pPr>
              <w:spacing w:after="0"/>
              <w:jc w:val="right"/>
              <w:rPr>
                <w:rFonts w:cs="Tahoma"/>
                <w:b/>
                <w:bCs/>
                <w:color w:val="000000"/>
                <w:sz w:val="13"/>
                <w:szCs w:val="13"/>
                <w:lang w:eastAsia="cs-CZ"/>
              </w:rPr>
            </w:pPr>
            <w:r w:rsidRPr="00DB1559">
              <w:rPr>
                <w:rFonts w:cs="Tahoma"/>
                <w:b/>
                <w:bCs/>
                <w:color w:val="000000"/>
                <w:sz w:val="13"/>
                <w:szCs w:val="13"/>
                <w:lang w:eastAsia="cs-CZ"/>
              </w:rPr>
              <w:t>2 498</w:t>
            </w:r>
          </w:p>
        </w:tc>
        <w:tc>
          <w:tcPr>
            <w:tcW w:w="579" w:type="dxa"/>
            <w:shd w:val="clear" w:color="auto" w:fill="D8D8D8"/>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1 877</w:t>
            </w:r>
          </w:p>
        </w:tc>
        <w:tc>
          <w:tcPr>
            <w:tcW w:w="579" w:type="dxa"/>
            <w:shd w:val="clear" w:color="auto" w:fill="D8D8D8"/>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1 612</w:t>
            </w:r>
          </w:p>
        </w:tc>
        <w:tc>
          <w:tcPr>
            <w:tcW w:w="509" w:type="dxa"/>
            <w:shd w:val="clear" w:color="auto" w:fill="D8D8D8"/>
            <w:noWrap/>
            <w:vAlign w:val="center"/>
          </w:tcPr>
          <w:p w:rsidR="009D46E6" w:rsidRPr="00DB1559" w:rsidRDefault="009D46E6" w:rsidP="00DB1559">
            <w:pPr>
              <w:spacing w:after="0"/>
              <w:jc w:val="right"/>
              <w:rPr>
                <w:rFonts w:cs="Tahoma"/>
                <w:color w:val="000000"/>
                <w:sz w:val="13"/>
                <w:szCs w:val="13"/>
                <w:lang w:eastAsia="cs-CZ"/>
              </w:rPr>
            </w:pPr>
            <w:r w:rsidRPr="00DB1559">
              <w:rPr>
                <w:rFonts w:cs="Tahoma"/>
                <w:color w:val="000000"/>
                <w:sz w:val="13"/>
                <w:szCs w:val="13"/>
                <w:lang w:eastAsia="cs-CZ"/>
              </w:rPr>
              <w:t>328</w:t>
            </w:r>
          </w:p>
        </w:tc>
      </w:tr>
      <w:tr w:rsidR="009D46E6" w:rsidRPr="00DB1559" w:rsidTr="00DB1559">
        <w:trPr>
          <w:trHeight w:val="224"/>
        </w:trPr>
        <w:tc>
          <w:tcPr>
            <w:tcW w:w="709" w:type="dxa"/>
            <w:tcBorders>
              <w:left w:val="nil"/>
              <w:bottom w:val="nil"/>
              <w:right w:val="nil"/>
            </w:tcBorders>
            <w:shd w:val="clear" w:color="auto" w:fill="4F81BD"/>
            <w:noWrap/>
            <w:vAlign w:val="center"/>
          </w:tcPr>
          <w:p w:rsidR="009D46E6" w:rsidRPr="00DB1559" w:rsidRDefault="009D46E6" w:rsidP="00DB1559">
            <w:pPr>
              <w:spacing w:after="0" w:line="240" w:lineRule="auto"/>
              <w:jc w:val="center"/>
              <w:rPr>
                <w:rFonts w:cs="Tahoma"/>
                <w:b/>
                <w:bCs/>
                <w:i/>
                <w:iCs/>
                <w:color w:val="FFFFFF"/>
                <w:sz w:val="13"/>
                <w:szCs w:val="13"/>
                <w:lang w:eastAsia="cs-CZ"/>
              </w:rPr>
            </w:pPr>
            <w:r w:rsidRPr="00DB1559">
              <w:rPr>
                <w:rFonts w:cs="Tahoma"/>
                <w:b/>
                <w:bCs/>
                <w:i/>
                <w:iCs/>
                <w:color w:val="FFFFFF"/>
                <w:sz w:val="13"/>
                <w:szCs w:val="13"/>
                <w:lang w:eastAsia="cs-CZ"/>
              </w:rPr>
              <w:t>2000</w:t>
            </w:r>
          </w:p>
        </w:tc>
        <w:tc>
          <w:tcPr>
            <w:tcW w:w="851" w:type="dxa"/>
            <w:noWrap/>
            <w:vAlign w:val="center"/>
          </w:tcPr>
          <w:p w:rsidR="009D46E6" w:rsidRPr="00DB1559" w:rsidRDefault="009D46E6" w:rsidP="00DB1559">
            <w:pPr>
              <w:spacing w:after="0"/>
              <w:jc w:val="right"/>
              <w:rPr>
                <w:rFonts w:cs="Tahoma"/>
                <w:b/>
                <w:bCs/>
                <w:i/>
                <w:iCs/>
                <w:color w:val="000000"/>
                <w:sz w:val="13"/>
                <w:szCs w:val="13"/>
                <w:lang w:eastAsia="cs-CZ"/>
              </w:rPr>
            </w:pPr>
            <w:r w:rsidRPr="00DB1559">
              <w:rPr>
                <w:rFonts w:cs="Tahoma"/>
                <w:b/>
                <w:bCs/>
                <w:i/>
                <w:iCs/>
                <w:color w:val="000000"/>
                <w:sz w:val="13"/>
                <w:szCs w:val="13"/>
                <w:lang w:eastAsia="cs-CZ"/>
              </w:rPr>
              <w:t>100,0</w:t>
            </w:r>
          </w:p>
        </w:tc>
        <w:tc>
          <w:tcPr>
            <w:tcW w:w="708" w:type="dxa"/>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170,6</w:t>
            </w:r>
          </w:p>
        </w:tc>
        <w:tc>
          <w:tcPr>
            <w:tcW w:w="709" w:type="dxa"/>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13,9</w:t>
            </w:r>
          </w:p>
        </w:tc>
        <w:tc>
          <w:tcPr>
            <w:tcW w:w="709" w:type="dxa"/>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59,7</w:t>
            </w:r>
          </w:p>
        </w:tc>
        <w:tc>
          <w:tcPr>
            <w:tcW w:w="708" w:type="dxa"/>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31,4</w:t>
            </w:r>
          </w:p>
        </w:tc>
        <w:tc>
          <w:tcPr>
            <w:tcW w:w="623" w:type="dxa"/>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11,7</w:t>
            </w:r>
          </w:p>
        </w:tc>
        <w:tc>
          <w:tcPr>
            <w:tcW w:w="624" w:type="dxa"/>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6,3</w:t>
            </w:r>
          </w:p>
        </w:tc>
        <w:tc>
          <w:tcPr>
            <w:tcW w:w="624" w:type="dxa"/>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2,6</w:t>
            </w:r>
          </w:p>
        </w:tc>
        <w:tc>
          <w:tcPr>
            <w:tcW w:w="624" w:type="dxa"/>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2,7</w:t>
            </w:r>
          </w:p>
        </w:tc>
        <w:tc>
          <w:tcPr>
            <w:tcW w:w="624" w:type="dxa"/>
            <w:noWrap/>
            <w:vAlign w:val="center"/>
          </w:tcPr>
          <w:p w:rsidR="009D46E6" w:rsidRPr="00DB1559" w:rsidRDefault="009D46E6" w:rsidP="00DB1559">
            <w:pPr>
              <w:spacing w:after="0"/>
              <w:jc w:val="right"/>
              <w:rPr>
                <w:rFonts w:cs="Tahoma"/>
                <w:b/>
                <w:bCs/>
                <w:i/>
                <w:iCs/>
                <w:color w:val="000000"/>
                <w:sz w:val="13"/>
                <w:szCs w:val="13"/>
                <w:lang w:eastAsia="cs-CZ"/>
              </w:rPr>
            </w:pPr>
            <w:r w:rsidRPr="00DB1559">
              <w:rPr>
                <w:rFonts w:cs="Tahoma"/>
                <w:b/>
                <w:bCs/>
                <w:i/>
                <w:iCs/>
                <w:color w:val="000000"/>
                <w:sz w:val="13"/>
                <w:szCs w:val="13"/>
                <w:lang w:eastAsia="cs-CZ"/>
              </w:rPr>
              <w:t>0,95</w:t>
            </w:r>
          </w:p>
        </w:tc>
        <w:tc>
          <w:tcPr>
            <w:tcW w:w="579" w:type="dxa"/>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0,80</w:t>
            </w:r>
          </w:p>
        </w:tc>
        <w:tc>
          <w:tcPr>
            <w:tcW w:w="579" w:type="dxa"/>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0,37</w:t>
            </w:r>
          </w:p>
        </w:tc>
        <w:tc>
          <w:tcPr>
            <w:tcW w:w="509" w:type="dxa"/>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0,22</w:t>
            </w:r>
          </w:p>
        </w:tc>
      </w:tr>
      <w:tr w:rsidR="009D46E6" w:rsidRPr="00DB1559" w:rsidTr="00DB1559">
        <w:trPr>
          <w:trHeight w:val="224"/>
        </w:trPr>
        <w:tc>
          <w:tcPr>
            <w:tcW w:w="709" w:type="dxa"/>
            <w:tcBorders>
              <w:left w:val="nil"/>
              <w:bottom w:val="nil"/>
              <w:right w:val="nil"/>
            </w:tcBorders>
            <w:shd w:val="clear" w:color="auto" w:fill="4F81BD"/>
            <w:noWrap/>
            <w:vAlign w:val="center"/>
          </w:tcPr>
          <w:p w:rsidR="009D46E6" w:rsidRPr="00DB1559" w:rsidRDefault="009D46E6" w:rsidP="00DB1559">
            <w:pPr>
              <w:spacing w:after="0" w:line="240" w:lineRule="auto"/>
              <w:jc w:val="center"/>
              <w:rPr>
                <w:rFonts w:cs="Tahoma"/>
                <w:b/>
                <w:bCs/>
                <w:i/>
                <w:iCs/>
                <w:color w:val="FFFFFF"/>
                <w:sz w:val="13"/>
                <w:szCs w:val="13"/>
                <w:lang w:eastAsia="cs-CZ"/>
              </w:rPr>
            </w:pPr>
            <w:r w:rsidRPr="00DB1559">
              <w:rPr>
                <w:rFonts w:cs="Tahoma"/>
                <w:b/>
                <w:bCs/>
                <w:i/>
                <w:iCs/>
                <w:color w:val="FFFFFF"/>
                <w:sz w:val="13"/>
                <w:szCs w:val="13"/>
                <w:lang w:eastAsia="cs-CZ"/>
              </w:rPr>
              <w:t>2007</w:t>
            </w:r>
          </w:p>
        </w:tc>
        <w:tc>
          <w:tcPr>
            <w:tcW w:w="851" w:type="dxa"/>
            <w:shd w:val="clear" w:color="auto" w:fill="D8D8D8"/>
            <w:noWrap/>
            <w:vAlign w:val="center"/>
          </w:tcPr>
          <w:p w:rsidR="009D46E6" w:rsidRPr="00DB1559" w:rsidRDefault="009D46E6" w:rsidP="00DB1559">
            <w:pPr>
              <w:spacing w:after="0"/>
              <w:jc w:val="right"/>
              <w:rPr>
                <w:rFonts w:cs="Tahoma"/>
                <w:b/>
                <w:bCs/>
                <w:i/>
                <w:iCs/>
                <w:color w:val="000000"/>
                <w:sz w:val="13"/>
                <w:szCs w:val="13"/>
                <w:lang w:eastAsia="cs-CZ"/>
              </w:rPr>
            </w:pPr>
            <w:r w:rsidRPr="00DB1559">
              <w:rPr>
                <w:rFonts w:cs="Tahoma"/>
                <w:b/>
                <w:bCs/>
                <w:i/>
                <w:iCs/>
                <w:color w:val="000000"/>
                <w:sz w:val="13"/>
                <w:szCs w:val="13"/>
                <w:lang w:eastAsia="cs-CZ"/>
              </w:rPr>
              <w:t>100,0</w:t>
            </w:r>
          </w:p>
        </w:tc>
        <w:tc>
          <w:tcPr>
            <w:tcW w:w="708" w:type="dxa"/>
            <w:shd w:val="clear" w:color="auto" w:fill="D8D8D8"/>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157,9</w:t>
            </w:r>
          </w:p>
        </w:tc>
        <w:tc>
          <w:tcPr>
            <w:tcW w:w="709" w:type="dxa"/>
            <w:shd w:val="clear" w:color="auto" w:fill="D8D8D8"/>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43,4</w:t>
            </w:r>
          </w:p>
        </w:tc>
        <w:tc>
          <w:tcPr>
            <w:tcW w:w="709" w:type="dxa"/>
            <w:shd w:val="clear" w:color="auto" w:fill="D8D8D8"/>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67,4</w:t>
            </w:r>
          </w:p>
        </w:tc>
        <w:tc>
          <w:tcPr>
            <w:tcW w:w="708" w:type="dxa"/>
            <w:shd w:val="clear" w:color="auto" w:fill="D8D8D8"/>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30,4</w:t>
            </w:r>
          </w:p>
        </w:tc>
        <w:tc>
          <w:tcPr>
            <w:tcW w:w="623" w:type="dxa"/>
            <w:shd w:val="clear" w:color="auto" w:fill="D8D8D8"/>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18,2</w:t>
            </w:r>
          </w:p>
        </w:tc>
        <w:tc>
          <w:tcPr>
            <w:tcW w:w="624" w:type="dxa"/>
            <w:shd w:val="clear" w:color="auto" w:fill="D8D8D8"/>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10,0</w:t>
            </w:r>
          </w:p>
        </w:tc>
        <w:tc>
          <w:tcPr>
            <w:tcW w:w="624" w:type="dxa"/>
            <w:shd w:val="clear" w:color="auto" w:fill="D8D8D8"/>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3,3</w:t>
            </w:r>
          </w:p>
        </w:tc>
        <w:tc>
          <w:tcPr>
            <w:tcW w:w="624" w:type="dxa"/>
            <w:shd w:val="clear" w:color="auto" w:fill="D8D8D8"/>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2,8</w:t>
            </w:r>
          </w:p>
        </w:tc>
        <w:tc>
          <w:tcPr>
            <w:tcW w:w="624" w:type="dxa"/>
            <w:shd w:val="clear" w:color="auto" w:fill="D8D8D8"/>
            <w:noWrap/>
            <w:vAlign w:val="center"/>
          </w:tcPr>
          <w:p w:rsidR="009D46E6" w:rsidRPr="00DB1559" w:rsidRDefault="009D46E6" w:rsidP="00DB1559">
            <w:pPr>
              <w:spacing w:after="0"/>
              <w:jc w:val="right"/>
              <w:rPr>
                <w:rFonts w:cs="Tahoma"/>
                <w:b/>
                <w:bCs/>
                <w:i/>
                <w:iCs/>
                <w:color w:val="000000"/>
                <w:sz w:val="13"/>
                <w:szCs w:val="13"/>
                <w:lang w:eastAsia="cs-CZ"/>
              </w:rPr>
            </w:pPr>
            <w:r w:rsidRPr="00DB1559">
              <w:rPr>
                <w:rFonts w:cs="Tahoma"/>
                <w:b/>
                <w:bCs/>
                <w:i/>
                <w:iCs/>
                <w:color w:val="000000"/>
                <w:sz w:val="13"/>
                <w:szCs w:val="13"/>
                <w:lang w:eastAsia="cs-CZ"/>
              </w:rPr>
              <w:t>1,23</w:t>
            </w:r>
          </w:p>
        </w:tc>
        <w:tc>
          <w:tcPr>
            <w:tcW w:w="579" w:type="dxa"/>
            <w:shd w:val="clear" w:color="auto" w:fill="D8D8D8"/>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0,64</w:t>
            </w:r>
          </w:p>
        </w:tc>
        <w:tc>
          <w:tcPr>
            <w:tcW w:w="579" w:type="dxa"/>
            <w:shd w:val="clear" w:color="auto" w:fill="D8D8D8"/>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0,55</w:t>
            </w:r>
          </w:p>
        </w:tc>
        <w:tc>
          <w:tcPr>
            <w:tcW w:w="509" w:type="dxa"/>
            <w:shd w:val="clear" w:color="auto" w:fill="D8D8D8"/>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0,12</w:t>
            </w:r>
          </w:p>
        </w:tc>
      </w:tr>
      <w:tr w:rsidR="009D46E6" w:rsidRPr="00DB1559" w:rsidTr="00DB1559">
        <w:trPr>
          <w:trHeight w:val="239"/>
        </w:trPr>
        <w:tc>
          <w:tcPr>
            <w:tcW w:w="709" w:type="dxa"/>
            <w:tcBorders>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Tahoma"/>
                <w:b/>
                <w:bCs/>
                <w:i/>
                <w:iCs/>
                <w:color w:val="FFFFFF"/>
                <w:sz w:val="13"/>
                <w:szCs w:val="13"/>
                <w:lang w:eastAsia="cs-CZ"/>
              </w:rPr>
            </w:pPr>
            <w:r w:rsidRPr="00DB1559">
              <w:rPr>
                <w:rFonts w:cs="Tahoma"/>
                <w:b/>
                <w:bCs/>
                <w:i/>
                <w:iCs/>
                <w:color w:val="FFFFFF"/>
                <w:sz w:val="13"/>
                <w:szCs w:val="13"/>
                <w:lang w:eastAsia="cs-CZ"/>
              </w:rPr>
              <w:t>2011</w:t>
            </w:r>
          </w:p>
        </w:tc>
        <w:tc>
          <w:tcPr>
            <w:tcW w:w="851" w:type="dxa"/>
            <w:tcBorders>
              <w:bottom w:val="single" w:sz="18" w:space="0" w:color="auto"/>
            </w:tcBorders>
            <w:noWrap/>
            <w:vAlign w:val="center"/>
          </w:tcPr>
          <w:p w:rsidR="009D46E6" w:rsidRPr="00DB1559" w:rsidRDefault="009D46E6" w:rsidP="00DB1559">
            <w:pPr>
              <w:spacing w:after="0"/>
              <w:jc w:val="right"/>
              <w:rPr>
                <w:rFonts w:cs="Tahoma"/>
                <w:b/>
                <w:bCs/>
                <w:i/>
                <w:iCs/>
                <w:color w:val="000000"/>
                <w:sz w:val="13"/>
                <w:szCs w:val="13"/>
                <w:lang w:eastAsia="cs-CZ"/>
              </w:rPr>
            </w:pPr>
            <w:r w:rsidRPr="00DB1559">
              <w:rPr>
                <w:rFonts w:cs="Tahoma"/>
                <w:b/>
                <w:bCs/>
                <w:i/>
                <w:iCs/>
                <w:color w:val="000000"/>
                <w:sz w:val="13"/>
                <w:szCs w:val="13"/>
                <w:lang w:eastAsia="cs-CZ"/>
              </w:rPr>
              <w:t>100,0</w:t>
            </w:r>
          </w:p>
        </w:tc>
        <w:tc>
          <w:tcPr>
            <w:tcW w:w="708" w:type="dxa"/>
            <w:tcBorders>
              <w:bottom w:val="single" w:sz="18" w:space="0" w:color="auto"/>
            </w:tcBorders>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143,1</w:t>
            </w:r>
          </w:p>
        </w:tc>
        <w:tc>
          <w:tcPr>
            <w:tcW w:w="709" w:type="dxa"/>
            <w:tcBorders>
              <w:bottom w:val="single" w:sz="18" w:space="0" w:color="auto"/>
            </w:tcBorders>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79,5</w:t>
            </w:r>
          </w:p>
        </w:tc>
        <w:tc>
          <w:tcPr>
            <w:tcW w:w="709" w:type="dxa"/>
            <w:tcBorders>
              <w:bottom w:val="single" w:sz="18" w:space="0" w:color="auto"/>
            </w:tcBorders>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56,9</w:t>
            </w:r>
          </w:p>
        </w:tc>
        <w:tc>
          <w:tcPr>
            <w:tcW w:w="708" w:type="dxa"/>
            <w:tcBorders>
              <w:bottom w:val="single" w:sz="18" w:space="0" w:color="auto"/>
            </w:tcBorders>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31,6</w:t>
            </w:r>
          </w:p>
        </w:tc>
        <w:tc>
          <w:tcPr>
            <w:tcW w:w="623" w:type="dxa"/>
            <w:tcBorders>
              <w:bottom w:val="single" w:sz="18" w:space="0" w:color="auto"/>
            </w:tcBorders>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23,1</w:t>
            </w:r>
          </w:p>
        </w:tc>
        <w:tc>
          <w:tcPr>
            <w:tcW w:w="624" w:type="dxa"/>
            <w:tcBorders>
              <w:bottom w:val="single" w:sz="18" w:space="0" w:color="auto"/>
            </w:tcBorders>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10,8</w:t>
            </w:r>
          </w:p>
        </w:tc>
        <w:tc>
          <w:tcPr>
            <w:tcW w:w="624" w:type="dxa"/>
            <w:tcBorders>
              <w:bottom w:val="single" w:sz="18" w:space="0" w:color="auto"/>
            </w:tcBorders>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3,4</w:t>
            </w:r>
          </w:p>
        </w:tc>
        <w:tc>
          <w:tcPr>
            <w:tcW w:w="624" w:type="dxa"/>
            <w:tcBorders>
              <w:bottom w:val="single" w:sz="18" w:space="0" w:color="auto"/>
            </w:tcBorders>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2,7</w:t>
            </w:r>
          </w:p>
        </w:tc>
        <w:tc>
          <w:tcPr>
            <w:tcW w:w="624" w:type="dxa"/>
            <w:tcBorders>
              <w:bottom w:val="single" w:sz="18" w:space="0" w:color="auto"/>
            </w:tcBorders>
            <w:noWrap/>
            <w:vAlign w:val="center"/>
          </w:tcPr>
          <w:p w:rsidR="009D46E6" w:rsidRPr="00DB1559" w:rsidRDefault="009D46E6" w:rsidP="00DB1559">
            <w:pPr>
              <w:spacing w:after="0"/>
              <w:jc w:val="right"/>
              <w:rPr>
                <w:rFonts w:cs="Tahoma"/>
                <w:b/>
                <w:bCs/>
                <w:i/>
                <w:iCs/>
                <w:color w:val="000000"/>
                <w:sz w:val="13"/>
                <w:szCs w:val="13"/>
                <w:lang w:eastAsia="cs-CZ"/>
              </w:rPr>
            </w:pPr>
            <w:r w:rsidRPr="00DB1559">
              <w:rPr>
                <w:rFonts w:cs="Tahoma"/>
                <w:b/>
                <w:bCs/>
                <w:i/>
                <w:iCs/>
                <w:color w:val="000000"/>
                <w:sz w:val="13"/>
                <w:szCs w:val="13"/>
                <w:lang w:eastAsia="cs-CZ"/>
              </w:rPr>
              <w:t>1,26</w:t>
            </w:r>
          </w:p>
        </w:tc>
        <w:tc>
          <w:tcPr>
            <w:tcW w:w="579" w:type="dxa"/>
            <w:tcBorders>
              <w:bottom w:val="single" w:sz="18" w:space="0" w:color="auto"/>
            </w:tcBorders>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0,95</w:t>
            </w:r>
          </w:p>
        </w:tc>
        <w:tc>
          <w:tcPr>
            <w:tcW w:w="579" w:type="dxa"/>
            <w:tcBorders>
              <w:bottom w:val="single" w:sz="18" w:space="0" w:color="auto"/>
            </w:tcBorders>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0,81</w:t>
            </w:r>
          </w:p>
        </w:tc>
        <w:tc>
          <w:tcPr>
            <w:tcW w:w="509" w:type="dxa"/>
            <w:tcBorders>
              <w:bottom w:val="single" w:sz="18" w:space="0" w:color="auto"/>
            </w:tcBorders>
            <w:noWrap/>
            <w:vAlign w:val="center"/>
          </w:tcPr>
          <w:p w:rsidR="009D46E6" w:rsidRPr="00DB1559" w:rsidRDefault="009D46E6" w:rsidP="00DB1559">
            <w:pPr>
              <w:spacing w:after="0"/>
              <w:jc w:val="right"/>
              <w:rPr>
                <w:rFonts w:cs="Tahoma"/>
                <w:i/>
                <w:iCs/>
                <w:color w:val="000000"/>
                <w:sz w:val="13"/>
                <w:szCs w:val="13"/>
                <w:lang w:eastAsia="cs-CZ"/>
              </w:rPr>
            </w:pPr>
            <w:r w:rsidRPr="00DB1559">
              <w:rPr>
                <w:rFonts w:cs="Tahoma"/>
                <w:i/>
                <w:iCs/>
                <w:color w:val="000000"/>
                <w:sz w:val="13"/>
                <w:szCs w:val="13"/>
                <w:lang w:eastAsia="cs-CZ"/>
              </w:rPr>
              <w:t>0,17</w:t>
            </w:r>
          </w:p>
        </w:tc>
      </w:tr>
    </w:tbl>
    <w:p w:rsidR="009D46E6" w:rsidRDefault="009D46E6" w:rsidP="00892E4B">
      <w:pPr>
        <w:pStyle w:val="Zdroj"/>
      </w:pPr>
      <w:r>
        <w:t>Zdroj: OECD MSTI 2013/1, Eurostat září 2013 a vlastní dopočty ČSÚ</w:t>
      </w:r>
    </w:p>
    <w:p w:rsidR="009D46E6" w:rsidRDefault="009D46E6" w:rsidP="006B2A35"/>
    <w:p w:rsidR="009D46E6" w:rsidRDefault="009D46E6" w:rsidP="006B2A35">
      <w:r>
        <w:t xml:space="preserve">Podnikatelský sektor má dominantní roli ve VaV, měřeno jeho podílem na celkových výdajích na VaV, především v asijských zemích OECD (Japonsko, Korea a Čína) s více jak 75% podílem. Více jak dvoutřetinový podíl byl pak zaznamenán taky ve skandinávských zemích, Německu, Rakousku, Belgii, Slovinsku nebo Spojených státech (údaje za rok 2011). Podnikatelský sektor, na rozdíl od ostatních nových členských zemí EU, hraje v provádění VaV stále hlavní roli kromě zmíněného Slovinska i v Estonsku, Maďarsku a s menším odstupem pak i v ČR. Průměr za EU28 dosáhl 62 % a tento podíl se v posledních deseti letech nijak výrazně nemění. </w:t>
      </w:r>
    </w:p>
    <w:p w:rsidR="009D46E6" w:rsidRDefault="009D46E6" w:rsidP="006B2A35">
      <w:r>
        <w:t xml:space="preserve">Na rozdíl od výdajů na VaV ve veřejném sektoru, i v případě vyjádření BERD jako % HDP dostaneme obdobné srovnání jako u předchozího poměrového ukazatele (BERD jako % GERD). V roce 2011 byla ze zemí EU28 nejvyšší intenzita výdajů na VaV uskutečněných v podnikatelském sektoru, více než 2 % HDP, dosažena ve skandinávských zemích, jedná o stejné země, které vykázaly nejvyšší intenzitu celkových výdajů na VaV. Velmi vysokých hodnot (téměř 2 %) výdajů na VaV k HDP dosahuje podnikatelský sektor také v Německu a v Rakousku a s menším odstupem pak ve Slovinsku a Estonsku (údaje za rok 2011). V průměru EU28 se hodnota výdajů na VaV v podnikatelském sektoru pohybuje okolo 1,1 % již od roku 2000. Naopak v ČR dochází k postupnému nárůstu tohoto podílu z 0,7 % v roce 2000 na 0,9 % HDP v roce 2011 (1 % v roce 2012), neboli na úroveň zemí jakými jsou Nizozemsko nebo Spojené království. Ze zemí OECD byly investice do podnikatelského VaV v poměru k HDP zdaleka nejvyšší v Izraeli (3,5 % HDP) a Koreji (3,1 % HDP). </w:t>
      </w:r>
    </w:p>
    <w:p w:rsidR="009D46E6" w:rsidRDefault="009D46E6" w:rsidP="006B2A35">
      <w:r>
        <w:t xml:space="preserve">Stejně jako byl v případě výdajů za VaV uskutečněných ve vládním a vysokoškolském sektoru bylo podrobněji rozebráno jejich financování ze soukromých zdrojů, graf A.30 přináší naopak informace o zapojení domácích veřejných zdrojů ve financování podnikatelského VaV v zemích EU. Jestliže v případě VaV prováděného ve vládním a vysokoškolském sektoru patřila ČR mezi země EU s poměrně nízkým podílem soukromých zdrojů na financování veřejného VaV, tak u soukromého VaV patříme mezi státy s jedním z nejvyšších podílů veřejných zdrojů na financování VaV prováděného v podnikatelském sektoru (graf A.30a). </w:t>
      </w:r>
    </w:p>
    <w:p w:rsidR="009D46E6" w:rsidRPr="006B2A35" w:rsidRDefault="009D46E6" w:rsidP="00892E4B">
      <w:r>
        <w:t>V roce 2010 dosáhly výdaje z domácích veřejných zdrojů určené na financování VaV v podnikatelském sektoru v zemích EU28 celkem 10,5 mld. Eur. Na této částce se téměř jednou čtvrtinou (22,3 %) podílela Francie a jednou pětinou Německo. V ČR šlo z veřejných domácích zdrojů do podnikatelského VaV na jedné straně v absolutním vyjádření 2krát více finančních prostředků než v Polsku nebo Maďarsku, ale na druhé straně pouze třetina toho co v Rakousku.</w:t>
      </w:r>
    </w:p>
    <w:p w:rsidR="009D46E6" w:rsidRDefault="009D46E6" w:rsidP="006B2A35"/>
    <w:p w:rsidR="009D46E6" w:rsidRDefault="009D46E6" w:rsidP="00892E4B">
      <w:pPr>
        <w:pStyle w:val="Caption"/>
        <w:tabs>
          <w:tab w:val="clear" w:pos="1276"/>
        </w:tabs>
        <w:ind w:left="1134" w:hanging="1134"/>
      </w:pPr>
      <w:bookmarkStart w:id="66" w:name="_Toc369091990"/>
      <w:r>
        <w:t xml:space="preserve">Graf </w:t>
      </w:r>
      <w:fldSimple w:instr=" STYLEREF 1 \s ">
        <w:r>
          <w:rPr>
            <w:noProof/>
          </w:rPr>
          <w:t>A</w:t>
        </w:r>
      </w:fldSimple>
      <w:r>
        <w:t>.</w:t>
      </w:r>
      <w:fldSimple w:instr=" SEQ Graf \* ARABIC \s 1 ">
        <w:r>
          <w:rPr>
            <w:noProof/>
          </w:rPr>
          <w:t>29</w:t>
        </w:r>
      </w:fldSimple>
      <w:r w:rsidRPr="00BD5EC7">
        <w:t xml:space="preserve">: </w:t>
      </w:r>
      <w:r w:rsidRPr="00892E4B">
        <w:t>Výdaje za provedený VaV v podnikatelském sektoru (%)</w:t>
      </w:r>
      <w:bookmarkEnd w:id="66"/>
    </w:p>
    <w:p w:rsidR="009D46E6" w:rsidRPr="00892E4B" w:rsidRDefault="009D46E6" w:rsidP="00892E4B">
      <w:pPr>
        <w:pStyle w:val="Objekt"/>
        <w:rPr>
          <w:lang w:eastAsia="en-US"/>
        </w:rPr>
      </w:pPr>
      <w:r w:rsidRPr="001D1D98">
        <w:pict>
          <v:shape id="Graf 36" o:spid="_x0000_i1098" type="#_x0000_t75" style="width:219.6pt;height:310.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fIRag3AAAAAUBAAAPAAAAZHJzL2Rvd25y&#10;ZXYueG1sTI9PS8QwEMXvgt8hjODNTXetdalNFxH0UvBPFb1Om7EtTSalye7Wb2/0opeBx3u895ti&#10;t1gjDjT7wbGC9SoBQdw6PXCn4O31/mILwgdkjcYxKfgiD7vy9KTAXLsjv9ChDp2IJexzVNCHMOVS&#10;+rYni37lJuLofbrZYohy7qSe8RjLrZGbJMmkxYHjQo8T3fXUjvXeKqgen7MOm9qkS3X1MH5Um6f1&#10;+K7U+dlyewMi0BL+wvCDH9GhjEyN27P2wiiIj4TfG700vc5ANAqyy3QLsizkf/ryGw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">
            <v:imagedata r:id="rId85" o:title="" croptop="-912f" cropbottom="-859f" cropleft="-150f" cropright="-1515f"/>
            <o:lock v:ext="edit" aspectratio="f"/>
          </v:shape>
        </w:pict>
      </w:r>
      <w:r>
        <w:rPr>
          <w:lang w:eastAsia="en-US"/>
        </w:rPr>
        <w:tab/>
      </w:r>
      <w:r>
        <w:rPr>
          <w:lang w:eastAsia="en-US"/>
        </w:rPr>
        <w:tab/>
      </w:r>
      <w:r>
        <w:rPr>
          <w:lang w:eastAsia="en-US"/>
        </w:rPr>
        <w:tab/>
      </w:r>
      <w:r w:rsidRPr="001D1D98">
        <w:pict>
          <v:shape id="Graf 35" o:spid="_x0000_i1099" type="#_x0000_t75" style="width:219.6pt;height:317.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6uHCc3AAAAAUBAAAPAAAAZHJzL2Rvd25y&#10;ZXYueG1sTI/BTsMwEETvSPyDtUhcEHWAyLQhTlUVegYKReLmxkscEa+j2GnD37NwgctKoxnNvC2X&#10;k+/EAYfYBtJwNctAINXBttRoeH3ZXM5BxGTImi4QavjCCMvq9KQ0hQ1HesbDNjWCSygWRoNLqS+k&#10;jLVDb+Is9EjsfYTBm8RyaKQdzJHLfSevs0xJb1riBWd6XDusP7ej17CQ6m13cf++dpvVw25U7dPj&#10;wjZan59NqzsQCaf0F4YffEaHipn2YSQbRaeBH0m/l708v1Ug9hrUTT4HWZXyP331DQ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">
            <v:imagedata r:id="rId86" o:title="" croptop="-907f" cropbottom="-549f" cropleft="-285f" cropright="-1380f"/>
            <o:lock v:ext="edit" aspectratio="f"/>
          </v:shape>
        </w:pict>
      </w:r>
    </w:p>
    <w:p w:rsidR="009D46E6" w:rsidRDefault="009D46E6" w:rsidP="00892E4B">
      <w:pPr>
        <w:pStyle w:val="Zdroj"/>
      </w:pPr>
      <w:r>
        <w:t>Zdroj: OECD MSTI 2013/1, Eurostat září 2013 a vlastní dopočty ČSÚ</w:t>
      </w:r>
    </w:p>
    <w:p w:rsidR="009D46E6" w:rsidRPr="00892E4B" w:rsidRDefault="009D46E6" w:rsidP="00892E4B"/>
    <w:p w:rsidR="009D46E6" w:rsidRDefault="009D46E6" w:rsidP="00892E4B">
      <w:pPr>
        <w:pStyle w:val="Caption"/>
        <w:tabs>
          <w:tab w:val="clear" w:pos="1276"/>
        </w:tabs>
        <w:ind w:left="1134" w:hanging="1134"/>
      </w:pPr>
      <w:bookmarkStart w:id="67" w:name="_Toc369091991"/>
      <w:r>
        <w:t xml:space="preserve">Graf </w:t>
      </w:r>
      <w:fldSimple w:instr=" STYLEREF 1 \s ">
        <w:r>
          <w:rPr>
            <w:noProof/>
          </w:rPr>
          <w:t>A</w:t>
        </w:r>
      </w:fldSimple>
      <w:r>
        <w:t>.</w:t>
      </w:r>
      <w:fldSimple w:instr=" SEQ Graf \* ARABIC \s 1 ">
        <w:r>
          <w:rPr>
            <w:noProof/>
          </w:rPr>
          <w:t>30</w:t>
        </w:r>
      </w:fldSimple>
      <w:r w:rsidRPr="00BD5EC7">
        <w:t xml:space="preserve">: </w:t>
      </w:r>
      <w:r w:rsidRPr="00892E4B">
        <w:t>Výdaje na VaV v podnikatelském sektoru financované z domácích veřejných zdrojů v zemích EU (%)</w:t>
      </w:r>
      <w:bookmarkEnd w:id="67"/>
    </w:p>
    <w:p w:rsidR="009D46E6" w:rsidRPr="00892E4B" w:rsidRDefault="009D46E6" w:rsidP="00892E4B">
      <w:pPr>
        <w:pStyle w:val="Objekt"/>
        <w:rPr>
          <w:lang w:eastAsia="en-US"/>
        </w:rPr>
      </w:pPr>
      <w:r w:rsidRPr="001D1D98">
        <w:pict>
          <v:shape id="Graf 37" o:spid="_x0000_i1100" type="#_x0000_t75" style="width:223.8pt;height:310.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ik5q73AAAAAUBAAAPAAAAZHJzL2Rvd25y&#10;ZXYueG1sTI/BTsMwEETvSPyDtUi9UackSqMQp0IN5YZQWySubrwkEfE6st0k8PUYLu1lpdGMZt4W&#10;m1n3bETrOkMCVssIGFJtVEeNgPfj7j4D5rwkJXtDKOAbHWzK25tC5spMtMfx4BsWSsjlUkDr/ZBz&#10;7uoWtXRLMyAF79NYLX2QtuHKyimU654/RFHKtewoLLRywG2L9dfhrAW8fGyz/TpevcU/z9P4qquK&#10;LFVCLO7mp0dgHmd/CcMffkCHMjCdzJmUY72A8Ij/v8FLknUK7CQgjZMMeFnwa/ryFw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">
            <v:imagedata r:id="rId87" o:title="" croptop="-816f" cropbottom="-954f" cropleft="-150f" cropright="-1377f"/>
            <o:lock v:ext="edit" aspectratio="f"/>
          </v:shape>
        </w:pict>
      </w:r>
      <w:r>
        <w:rPr>
          <w:lang w:eastAsia="en-US"/>
        </w:rPr>
        <w:tab/>
      </w:r>
      <w:r>
        <w:rPr>
          <w:lang w:eastAsia="en-US"/>
        </w:rPr>
        <w:tab/>
      </w:r>
      <w:r>
        <w:rPr>
          <w:lang w:eastAsia="en-US"/>
        </w:rPr>
        <w:tab/>
      </w:r>
      <w:r w:rsidRPr="001D1D98">
        <w:pict>
          <v:shape id="Graf 38" o:spid="_x0000_i1101" type="#_x0000_t75" style="width:223.8pt;height:311.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pxXUO3QAAAAUBAAAPAAAAZHJzL2Rvd25y&#10;ZXYueG1sTI/BTsMwEETvSPyDtUhcEHWAKFQhTkVBHEAcaFpx3sZLEojXId624e8xXOCy0mhGM2+L&#10;xeR6tacxdJ4NXMwSUMS1tx03Bjbrh/M5qCDIFnvPZOCLAizK46MCc+sPvKJ9JY2KJRxyNNCKDLnW&#10;oW7JYZj5gTh6b350KFGOjbYjHmK56/VlkmTaYcdxocWB7lqqP6qdM3A2TVlTPcqrPK9elvfv3dNn&#10;skRjTk+m2xtQQpP8heEHP6JDGZm2fsc2qN5AfER+b/TS9DoDtTWQXaVz0GWh/9OX3w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">
            <v:imagedata r:id="rId88" o:title="" croptop="-913f" cropbottom="-955f" cropleft="-150f" cropright="-1377f"/>
            <o:lock v:ext="edit" aspectratio="f"/>
          </v:shape>
        </w:pict>
      </w:r>
    </w:p>
    <w:p w:rsidR="009D46E6" w:rsidRPr="006B2A35" w:rsidRDefault="009D46E6" w:rsidP="00892E4B">
      <w:pPr>
        <w:pStyle w:val="Zdroj"/>
      </w:pPr>
      <w:r>
        <w:t>Zdroj: OECD MSTI 2013/1, Eurostat září 2013 a vlastní dopočty ČSÚ</w:t>
      </w:r>
      <w:r w:rsidRPr="006B2A35">
        <w:br w:type="page"/>
      </w:r>
    </w:p>
    <w:p w:rsidR="009D46E6" w:rsidRDefault="009D46E6" w:rsidP="00411AE0">
      <w:pPr>
        <w:pStyle w:val="Heading2"/>
      </w:pPr>
      <w:bookmarkStart w:id="68" w:name="_Toc369091869"/>
      <w:r>
        <w:t>Přímá podpora výzkumu a vývoje ze státního rozpočtu</w:t>
      </w:r>
      <w:bookmarkEnd w:id="68"/>
    </w:p>
    <w:p w:rsidR="009D46E6" w:rsidRDefault="009D46E6" w:rsidP="00546662">
      <w:r w:rsidRPr="00451710">
        <w:t xml:space="preserve">Celková přímá podpora </w:t>
      </w:r>
      <w:r>
        <w:t>VaV</w:t>
      </w:r>
      <w:r w:rsidRPr="00451710">
        <w:t xml:space="preserve"> z veřejných zdrojů zahrnuje veškeré finanční prostředky poskytnuté z veřejných rozpočtů na podporu VaV, včetně prostředků plynoucích na VaV do zahraničí. Z veřejných prostředků na</w:t>
      </w:r>
      <w:r>
        <w:t> </w:t>
      </w:r>
      <w:r w:rsidRPr="00451710">
        <w:t xml:space="preserve">VaV je dle platné mezinárodní metodiky vyloučena podpora VaV realizovaná pomocí návratných půjček, předfinancování programů EU krytých příjmy z Evropské </w:t>
      </w:r>
      <w:r w:rsidRPr="00E9491D">
        <w:t>unie a podpora inovací.</w:t>
      </w:r>
    </w:p>
    <w:p w:rsidR="009D46E6" w:rsidRDefault="009D46E6" w:rsidP="00546662">
      <w:r w:rsidRPr="00FC373D">
        <w:t xml:space="preserve">Zdrojem dat pro </w:t>
      </w:r>
      <w:r>
        <w:t xml:space="preserve">tuto </w:t>
      </w:r>
      <w:r w:rsidRPr="00FC373D">
        <w:t>kapitolu</w:t>
      </w:r>
      <w:r>
        <w:t xml:space="preserve"> </w:t>
      </w:r>
      <w:r w:rsidRPr="00FC373D">
        <w:t>je Roční statistick</w:t>
      </w:r>
      <w:r>
        <w:t xml:space="preserve">á úloha </w:t>
      </w:r>
      <w:r w:rsidRPr="00357324">
        <w:t>GBAORD (Státní rozpočtové výdaje a dotace na</w:t>
      </w:r>
      <w:r>
        <w:t>  </w:t>
      </w:r>
      <w:r w:rsidRPr="00357324">
        <w:t>VaV), která je v rámci Evropské unie organizována jako povinné zjišťování na základě legislativního aktu Nařízení komise (ES) č. 753/2004</w:t>
      </w:r>
      <w:r w:rsidRPr="00451710">
        <w:t xml:space="preserve"> </w:t>
      </w:r>
      <w:r>
        <w:t>a metodiky uvedené ve Frascati manuálu (OECD, 2002) s cílem identifikace stěžejních oblasti VaV, do kterých je státní podpora VaV směřována v členění podle socioekonomických cílů (klasifikace NABS). V České republice je statistika GBAORD zabezpečena ČSÚ ve spolupráci s Radou pro výzkum, vývoj a inovace prostřednictvím Informačního systému výzkumu, experimentálního vývoje a inovací (IS VaVaI)</w:t>
      </w:r>
      <w:r>
        <w:rPr>
          <w:rStyle w:val="FootnoteReference"/>
          <w:rFonts w:cs="MetaPro-Normal"/>
        </w:rPr>
        <w:footnoteReference w:id="17"/>
      </w:r>
      <w:r>
        <w:t>.</w:t>
      </w:r>
    </w:p>
    <w:p w:rsidR="009D46E6" w:rsidRDefault="009D46E6" w:rsidP="00546662">
      <w:r>
        <w:t>Veškeré údaje o celkové přímé podpoře VaV ze státního rozpočtu, pokud není uvedeno jinak, vychází z údajů uvedených v závěrečném účtu státního rozpočtu ČR pro oblast VaV (kapitola VaV) poskytnutých Ministerstvem financí ČR. Jde tedy o výdaje, které byly ze státního rozpočtu v daném roce na VaV opravdu čerpány a ne naplánovány (schváleny).</w:t>
      </w:r>
    </w:p>
    <w:p w:rsidR="009D46E6" w:rsidRDefault="009D46E6" w:rsidP="00546662">
      <w:r w:rsidRPr="00AD1E16">
        <w:t>Jelikož je statistická úloha GBAORD založena na analýze a identifikaci všech částek plynoucích na VaV z</w:t>
      </w:r>
      <w:r>
        <w:t> </w:t>
      </w:r>
      <w:r w:rsidRPr="00AD1E16">
        <w:t>veřejných rozpočtů získaných z administrativních zdrojů, liší se od údajů získaných přímo od příjemců této podpory (kapitol</w:t>
      </w:r>
      <w:r>
        <w:t>a</w:t>
      </w:r>
      <w:r w:rsidRPr="00AD1E16">
        <w:t xml:space="preserve"> A</w:t>
      </w:r>
      <w:r>
        <w:t>.</w:t>
      </w:r>
      <w:r w:rsidRPr="00AD1E16">
        <w:t>1). Mezinárodní srovnatelnost údajů ze statistické úlohy GBAORD je ve většině zemí obecně nižší než u údajů získaných přímo od subjektů provádějících VaV.</w:t>
      </w:r>
    </w:p>
    <w:p w:rsidR="009D46E6" w:rsidRDefault="009D46E6" w:rsidP="00750D9B">
      <w:pPr>
        <w:pStyle w:val="Caption"/>
        <w:rPr>
          <w:noProof/>
        </w:rPr>
      </w:pPr>
      <w:bookmarkStart w:id="69" w:name="_Toc340128656"/>
      <w:bookmarkStart w:id="70" w:name="_Toc369091928"/>
      <w:r>
        <w:t xml:space="preserve">Tabulka </w:t>
      </w:r>
      <w:fldSimple w:instr=" STYLEREF 1 \s ">
        <w:r>
          <w:rPr>
            <w:noProof/>
          </w:rPr>
          <w:t>A</w:t>
        </w:r>
      </w:fldSimple>
      <w:r>
        <w:t>.</w:t>
      </w:r>
      <w:fldSimple w:instr=" SEQ Tabulka \* ARABIC \s 1 ">
        <w:r>
          <w:rPr>
            <w:noProof/>
          </w:rPr>
          <w:t>7</w:t>
        </w:r>
      </w:fldSimple>
      <w:r>
        <w:t>:</w:t>
      </w:r>
      <w:r w:rsidRPr="00571E3F">
        <w:t xml:space="preserve"> </w:t>
      </w:r>
      <w:r w:rsidRPr="000B1306">
        <w:rPr>
          <w:noProof/>
        </w:rPr>
        <w:t>Celkové výdaje státního rozpočtu ČR na podporu VaV (mld. Kč)</w:t>
      </w:r>
      <w:bookmarkEnd w:id="69"/>
      <w:bookmarkEnd w:id="70"/>
    </w:p>
    <w:tbl>
      <w:tblPr>
        <w:tblW w:w="9639" w:type="dxa"/>
        <w:jc w:val="center"/>
        <w:tblBorders>
          <w:top w:val="single" w:sz="18" w:space="0" w:color="auto"/>
          <w:bottom w:val="single" w:sz="18" w:space="0" w:color="auto"/>
        </w:tblBorders>
        <w:tblLayout w:type="fixed"/>
        <w:tblLook w:val="00A0"/>
      </w:tblPr>
      <w:tblGrid>
        <w:gridCol w:w="1764"/>
        <w:gridCol w:w="656"/>
        <w:gridCol w:w="657"/>
        <w:gridCol w:w="657"/>
        <w:gridCol w:w="657"/>
        <w:gridCol w:w="657"/>
        <w:gridCol w:w="656"/>
        <w:gridCol w:w="655"/>
        <w:gridCol w:w="656"/>
        <w:gridCol w:w="656"/>
        <w:gridCol w:w="656"/>
        <w:gridCol w:w="656"/>
        <w:gridCol w:w="656"/>
      </w:tblGrid>
      <w:tr w:rsidR="009D46E6" w:rsidRPr="00DB1559" w:rsidTr="00DB1559">
        <w:trPr>
          <w:trHeight w:val="283"/>
          <w:jc w:val="center"/>
        </w:trPr>
        <w:tc>
          <w:tcPr>
            <w:tcW w:w="1764"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p>
        </w:tc>
        <w:tc>
          <w:tcPr>
            <w:tcW w:w="656"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r w:rsidRPr="00DB1559">
              <w:rPr>
                <w:rFonts w:cs="Arial"/>
                <w:b/>
                <w:bCs/>
                <w:color w:val="FFFFFF"/>
                <w:sz w:val="15"/>
                <w:szCs w:val="15"/>
                <w:lang w:eastAsia="cs-CZ"/>
              </w:rPr>
              <w:t>2001</w:t>
            </w:r>
          </w:p>
        </w:tc>
        <w:tc>
          <w:tcPr>
            <w:tcW w:w="657"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r w:rsidRPr="00DB1559">
              <w:rPr>
                <w:rFonts w:cs="Arial"/>
                <w:b/>
                <w:bCs/>
                <w:color w:val="FFFFFF"/>
                <w:sz w:val="15"/>
                <w:szCs w:val="15"/>
                <w:lang w:eastAsia="cs-CZ"/>
              </w:rPr>
              <w:t>2002</w:t>
            </w:r>
          </w:p>
        </w:tc>
        <w:tc>
          <w:tcPr>
            <w:tcW w:w="657"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r w:rsidRPr="00DB1559">
              <w:rPr>
                <w:rFonts w:cs="Arial"/>
                <w:b/>
                <w:bCs/>
                <w:color w:val="FFFFFF"/>
                <w:sz w:val="15"/>
                <w:szCs w:val="15"/>
                <w:lang w:eastAsia="cs-CZ"/>
              </w:rPr>
              <w:t>2003</w:t>
            </w:r>
          </w:p>
        </w:tc>
        <w:tc>
          <w:tcPr>
            <w:tcW w:w="657"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r w:rsidRPr="00DB1559">
              <w:rPr>
                <w:rFonts w:cs="Arial"/>
                <w:b/>
                <w:bCs/>
                <w:color w:val="FFFFFF"/>
                <w:sz w:val="15"/>
                <w:szCs w:val="15"/>
                <w:lang w:eastAsia="cs-CZ"/>
              </w:rPr>
              <w:t>2004</w:t>
            </w:r>
          </w:p>
        </w:tc>
        <w:tc>
          <w:tcPr>
            <w:tcW w:w="657"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r w:rsidRPr="00DB1559">
              <w:rPr>
                <w:rFonts w:cs="Arial"/>
                <w:b/>
                <w:bCs/>
                <w:color w:val="FFFFFF"/>
                <w:sz w:val="15"/>
                <w:szCs w:val="15"/>
                <w:lang w:eastAsia="cs-CZ"/>
              </w:rPr>
              <w:t>2005</w:t>
            </w:r>
          </w:p>
        </w:tc>
        <w:tc>
          <w:tcPr>
            <w:tcW w:w="656"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r w:rsidRPr="00DB1559">
              <w:rPr>
                <w:rFonts w:cs="Arial"/>
                <w:b/>
                <w:bCs/>
                <w:color w:val="FFFFFF"/>
                <w:sz w:val="15"/>
                <w:szCs w:val="15"/>
                <w:lang w:eastAsia="cs-CZ"/>
              </w:rPr>
              <w:t>2006</w:t>
            </w:r>
          </w:p>
        </w:tc>
        <w:tc>
          <w:tcPr>
            <w:tcW w:w="655"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r w:rsidRPr="00DB1559">
              <w:rPr>
                <w:rFonts w:cs="Arial"/>
                <w:b/>
                <w:bCs/>
                <w:color w:val="FFFFFF"/>
                <w:sz w:val="15"/>
                <w:szCs w:val="15"/>
                <w:lang w:eastAsia="cs-CZ"/>
              </w:rPr>
              <w:t>2007</w:t>
            </w:r>
          </w:p>
        </w:tc>
        <w:tc>
          <w:tcPr>
            <w:tcW w:w="656"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r w:rsidRPr="00DB1559">
              <w:rPr>
                <w:rFonts w:cs="Arial"/>
                <w:b/>
                <w:bCs/>
                <w:color w:val="FFFFFF"/>
                <w:sz w:val="15"/>
                <w:szCs w:val="15"/>
                <w:lang w:eastAsia="cs-CZ"/>
              </w:rPr>
              <w:t>2008</w:t>
            </w:r>
          </w:p>
        </w:tc>
        <w:tc>
          <w:tcPr>
            <w:tcW w:w="656"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r w:rsidRPr="00DB1559">
              <w:rPr>
                <w:rFonts w:cs="Arial"/>
                <w:b/>
                <w:bCs/>
                <w:color w:val="FFFFFF"/>
                <w:sz w:val="15"/>
                <w:szCs w:val="15"/>
                <w:lang w:eastAsia="cs-CZ"/>
              </w:rPr>
              <w:t>2009</w:t>
            </w:r>
          </w:p>
        </w:tc>
        <w:tc>
          <w:tcPr>
            <w:tcW w:w="656"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r w:rsidRPr="00DB1559">
              <w:rPr>
                <w:rFonts w:cs="Arial"/>
                <w:b/>
                <w:bCs/>
                <w:color w:val="FFFFFF"/>
                <w:sz w:val="15"/>
                <w:szCs w:val="15"/>
                <w:lang w:eastAsia="cs-CZ"/>
              </w:rPr>
              <w:t>2010</w:t>
            </w:r>
          </w:p>
        </w:tc>
        <w:tc>
          <w:tcPr>
            <w:tcW w:w="656"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r w:rsidRPr="00DB1559">
              <w:rPr>
                <w:rFonts w:cs="Arial"/>
                <w:b/>
                <w:bCs/>
                <w:color w:val="FFFFFF"/>
                <w:sz w:val="15"/>
                <w:szCs w:val="15"/>
                <w:lang w:eastAsia="cs-CZ"/>
              </w:rPr>
              <w:t>2011</w:t>
            </w:r>
          </w:p>
        </w:tc>
        <w:tc>
          <w:tcPr>
            <w:tcW w:w="656"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r w:rsidRPr="00DB1559">
              <w:rPr>
                <w:rFonts w:cs="Arial"/>
                <w:b/>
                <w:bCs/>
                <w:color w:val="FFFFFF"/>
                <w:sz w:val="15"/>
                <w:szCs w:val="15"/>
                <w:lang w:eastAsia="cs-CZ"/>
              </w:rPr>
              <w:t>2012</w:t>
            </w:r>
          </w:p>
        </w:tc>
      </w:tr>
      <w:tr w:rsidR="009D46E6" w:rsidRPr="00DB1559" w:rsidTr="00DB1559">
        <w:trPr>
          <w:trHeight w:val="283"/>
          <w:jc w:val="center"/>
        </w:trPr>
        <w:tc>
          <w:tcPr>
            <w:tcW w:w="1764" w:type="dxa"/>
            <w:tcBorders>
              <w:left w:val="nil"/>
              <w:bottom w:val="nil"/>
              <w:right w:val="nil"/>
            </w:tcBorders>
            <w:shd w:val="clear" w:color="auto" w:fill="4F81BD"/>
            <w:noWrap/>
            <w:vAlign w:val="center"/>
          </w:tcPr>
          <w:p w:rsidR="009D46E6" w:rsidRPr="00DB1559" w:rsidRDefault="009D46E6" w:rsidP="00DB1559">
            <w:pPr>
              <w:spacing w:after="0" w:line="240" w:lineRule="auto"/>
              <w:jc w:val="left"/>
              <w:rPr>
                <w:rFonts w:cs="Arial"/>
                <w:b/>
                <w:bCs/>
                <w:color w:val="FFFFFF"/>
                <w:sz w:val="15"/>
                <w:szCs w:val="15"/>
                <w:lang w:eastAsia="cs-CZ"/>
              </w:rPr>
            </w:pPr>
            <w:r w:rsidRPr="00DB1559">
              <w:rPr>
                <w:rFonts w:cs="Arial"/>
                <w:b/>
                <w:bCs/>
                <w:color w:val="FFFFFF"/>
                <w:sz w:val="15"/>
                <w:szCs w:val="15"/>
                <w:lang w:eastAsia="cs-CZ"/>
              </w:rPr>
              <w:t>Schválené výdaje</w:t>
            </w:r>
          </w:p>
        </w:tc>
        <w:tc>
          <w:tcPr>
            <w:tcW w:w="656" w:type="dxa"/>
            <w:shd w:val="clear" w:color="auto" w:fill="FFFFFF"/>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12,6</w:t>
            </w:r>
          </w:p>
        </w:tc>
        <w:tc>
          <w:tcPr>
            <w:tcW w:w="657" w:type="dxa"/>
            <w:shd w:val="clear" w:color="auto" w:fill="FFFFFF"/>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12,5</w:t>
            </w:r>
          </w:p>
        </w:tc>
        <w:tc>
          <w:tcPr>
            <w:tcW w:w="657" w:type="dxa"/>
            <w:shd w:val="clear" w:color="auto" w:fill="FFFFFF"/>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13,9</w:t>
            </w:r>
          </w:p>
        </w:tc>
        <w:tc>
          <w:tcPr>
            <w:tcW w:w="657" w:type="dxa"/>
            <w:shd w:val="clear" w:color="auto" w:fill="FFFFFF"/>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14,7</w:t>
            </w:r>
          </w:p>
        </w:tc>
        <w:tc>
          <w:tcPr>
            <w:tcW w:w="657" w:type="dxa"/>
            <w:shd w:val="clear" w:color="auto" w:fill="FFFFFF"/>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16,5</w:t>
            </w:r>
          </w:p>
        </w:tc>
        <w:tc>
          <w:tcPr>
            <w:tcW w:w="656" w:type="dxa"/>
            <w:shd w:val="clear" w:color="auto" w:fill="FFFFFF"/>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18,2</w:t>
            </w:r>
          </w:p>
        </w:tc>
        <w:tc>
          <w:tcPr>
            <w:tcW w:w="655" w:type="dxa"/>
            <w:shd w:val="clear" w:color="auto" w:fill="FFFFFF"/>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21,5</w:t>
            </w:r>
          </w:p>
        </w:tc>
        <w:tc>
          <w:tcPr>
            <w:tcW w:w="656" w:type="dxa"/>
            <w:shd w:val="clear" w:color="auto" w:fill="FFFFFF"/>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23,0</w:t>
            </w:r>
          </w:p>
        </w:tc>
        <w:tc>
          <w:tcPr>
            <w:tcW w:w="656" w:type="dxa"/>
            <w:shd w:val="clear" w:color="auto" w:fill="FFFFFF"/>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24,8</w:t>
            </w:r>
          </w:p>
        </w:tc>
        <w:tc>
          <w:tcPr>
            <w:tcW w:w="656" w:type="dxa"/>
            <w:shd w:val="clear" w:color="auto" w:fill="FFFFFF"/>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25,4</w:t>
            </w:r>
          </w:p>
        </w:tc>
        <w:tc>
          <w:tcPr>
            <w:tcW w:w="656" w:type="dxa"/>
            <w:shd w:val="clear" w:color="auto" w:fill="FFFFFF"/>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25,9</w:t>
            </w:r>
          </w:p>
        </w:tc>
        <w:tc>
          <w:tcPr>
            <w:tcW w:w="656" w:type="dxa"/>
            <w:shd w:val="clear" w:color="auto" w:fill="FFFFFF"/>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26,6</w:t>
            </w:r>
          </w:p>
        </w:tc>
      </w:tr>
      <w:tr w:rsidR="009D46E6" w:rsidRPr="00DB1559" w:rsidTr="00DB1559">
        <w:trPr>
          <w:trHeight w:val="283"/>
          <w:jc w:val="center"/>
        </w:trPr>
        <w:tc>
          <w:tcPr>
            <w:tcW w:w="1764" w:type="dxa"/>
            <w:tcBorders>
              <w:left w:val="nil"/>
              <w:bottom w:val="nil"/>
              <w:right w:val="nil"/>
            </w:tcBorders>
            <w:shd w:val="clear" w:color="auto" w:fill="4F81BD"/>
            <w:noWrap/>
            <w:vAlign w:val="center"/>
          </w:tcPr>
          <w:p w:rsidR="009D46E6" w:rsidRPr="00DB1559" w:rsidRDefault="009D46E6" w:rsidP="00DB1559">
            <w:pPr>
              <w:spacing w:after="0" w:line="240" w:lineRule="auto"/>
              <w:jc w:val="left"/>
              <w:rPr>
                <w:rFonts w:cs="Arial"/>
                <w:b/>
                <w:bCs/>
                <w:color w:val="FFFFFF"/>
                <w:sz w:val="15"/>
                <w:szCs w:val="15"/>
                <w:lang w:eastAsia="cs-CZ"/>
              </w:rPr>
            </w:pPr>
            <w:r w:rsidRPr="00DB1559">
              <w:rPr>
                <w:rFonts w:cs="Arial"/>
                <w:b/>
                <w:bCs/>
                <w:color w:val="FFFFFF"/>
                <w:sz w:val="15"/>
                <w:szCs w:val="15"/>
                <w:lang w:eastAsia="cs-CZ"/>
              </w:rPr>
              <w:t>Schválené výdaje*</w:t>
            </w:r>
          </w:p>
        </w:tc>
        <w:tc>
          <w:tcPr>
            <w:tcW w:w="656" w:type="dxa"/>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w:t>
            </w:r>
          </w:p>
        </w:tc>
        <w:tc>
          <w:tcPr>
            <w:tcW w:w="657" w:type="dxa"/>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w:t>
            </w:r>
          </w:p>
        </w:tc>
        <w:tc>
          <w:tcPr>
            <w:tcW w:w="657" w:type="dxa"/>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w:t>
            </w:r>
          </w:p>
        </w:tc>
        <w:tc>
          <w:tcPr>
            <w:tcW w:w="657" w:type="dxa"/>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w:t>
            </w:r>
          </w:p>
        </w:tc>
        <w:tc>
          <w:tcPr>
            <w:tcW w:w="657" w:type="dxa"/>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w:t>
            </w:r>
          </w:p>
        </w:tc>
        <w:tc>
          <w:tcPr>
            <w:tcW w:w="656" w:type="dxa"/>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w:t>
            </w:r>
          </w:p>
        </w:tc>
        <w:tc>
          <w:tcPr>
            <w:tcW w:w="655" w:type="dxa"/>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25,1</w:t>
            </w:r>
          </w:p>
        </w:tc>
        <w:tc>
          <w:tcPr>
            <w:tcW w:w="656" w:type="dxa"/>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23,1</w:t>
            </w:r>
          </w:p>
        </w:tc>
        <w:tc>
          <w:tcPr>
            <w:tcW w:w="656" w:type="dxa"/>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32,4</w:t>
            </w:r>
          </w:p>
        </w:tc>
        <w:tc>
          <w:tcPr>
            <w:tcW w:w="656" w:type="dxa"/>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29,4</w:t>
            </w:r>
          </w:p>
        </w:tc>
        <w:tc>
          <w:tcPr>
            <w:tcW w:w="656" w:type="dxa"/>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28,9</w:t>
            </w:r>
          </w:p>
        </w:tc>
        <w:tc>
          <w:tcPr>
            <w:tcW w:w="656" w:type="dxa"/>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38,7</w:t>
            </w:r>
          </w:p>
        </w:tc>
      </w:tr>
      <w:tr w:rsidR="009D46E6" w:rsidRPr="00DB1559" w:rsidTr="00DB1559">
        <w:trPr>
          <w:trHeight w:val="283"/>
          <w:jc w:val="center"/>
        </w:trPr>
        <w:tc>
          <w:tcPr>
            <w:tcW w:w="1764" w:type="dxa"/>
            <w:tcBorders>
              <w:left w:val="nil"/>
              <w:bottom w:val="nil"/>
              <w:right w:val="nil"/>
            </w:tcBorders>
            <w:shd w:val="clear" w:color="auto" w:fill="4F81BD"/>
            <w:noWrap/>
            <w:vAlign w:val="center"/>
          </w:tcPr>
          <w:p w:rsidR="009D46E6" w:rsidRPr="00DB1559" w:rsidRDefault="009D46E6" w:rsidP="00DB1559">
            <w:pPr>
              <w:spacing w:after="0" w:line="240" w:lineRule="auto"/>
              <w:jc w:val="left"/>
              <w:rPr>
                <w:rFonts w:cs="Arial"/>
                <w:b/>
                <w:bCs/>
                <w:color w:val="FFFFFF"/>
                <w:sz w:val="15"/>
                <w:szCs w:val="15"/>
                <w:lang w:eastAsia="cs-CZ"/>
              </w:rPr>
            </w:pPr>
            <w:r w:rsidRPr="00DB1559">
              <w:rPr>
                <w:rFonts w:cs="Arial"/>
                <w:b/>
                <w:bCs/>
                <w:color w:val="FFFFFF"/>
                <w:sz w:val="15"/>
                <w:szCs w:val="15"/>
                <w:lang w:eastAsia="cs-CZ"/>
              </w:rPr>
              <w:t>Skutečné výdaje</w:t>
            </w:r>
          </w:p>
        </w:tc>
        <w:tc>
          <w:tcPr>
            <w:tcW w:w="656" w:type="dxa"/>
            <w:shd w:val="clear" w:color="auto" w:fill="D8D8D8"/>
            <w:noWrap/>
            <w:vAlign w:val="center"/>
          </w:tcPr>
          <w:p w:rsidR="009D46E6" w:rsidRPr="00DB1559" w:rsidRDefault="009D46E6" w:rsidP="00DB1559">
            <w:pPr>
              <w:spacing w:after="0" w:line="240" w:lineRule="auto"/>
              <w:jc w:val="right"/>
              <w:rPr>
                <w:b/>
                <w:sz w:val="15"/>
                <w:szCs w:val="15"/>
                <w:lang w:eastAsia="cs-CZ"/>
              </w:rPr>
            </w:pPr>
            <w:r w:rsidRPr="00DB1559">
              <w:rPr>
                <w:b/>
                <w:sz w:val="15"/>
                <w:szCs w:val="15"/>
                <w:lang w:eastAsia="cs-CZ"/>
              </w:rPr>
              <w:t>12,6</w:t>
            </w:r>
          </w:p>
        </w:tc>
        <w:tc>
          <w:tcPr>
            <w:tcW w:w="657" w:type="dxa"/>
            <w:shd w:val="clear" w:color="auto" w:fill="D8D8D8"/>
            <w:noWrap/>
            <w:vAlign w:val="center"/>
          </w:tcPr>
          <w:p w:rsidR="009D46E6" w:rsidRPr="00DB1559" w:rsidRDefault="009D46E6" w:rsidP="00DB1559">
            <w:pPr>
              <w:spacing w:after="0" w:line="240" w:lineRule="auto"/>
              <w:jc w:val="right"/>
              <w:rPr>
                <w:b/>
                <w:sz w:val="15"/>
                <w:szCs w:val="15"/>
                <w:lang w:eastAsia="cs-CZ"/>
              </w:rPr>
            </w:pPr>
            <w:r w:rsidRPr="00DB1559">
              <w:rPr>
                <w:b/>
                <w:sz w:val="15"/>
                <w:szCs w:val="15"/>
                <w:lang w:eastAsia="cs-CZ"/>
              </w:rPr>
              <w:t>12,3</w:t>
            </w:r>
          </w:p>
        </w:tc>
        <w:tc>
          <w:tcPr>
            <w:tcW w:w="657" w:type="dxa"/>
            <w:shd w:val="clear" w:color="auto" w:fill="D8D8D8"/>
            <w:noWrap/>
            <w:vAlign w:val="center"/>
          </w:tcPr>
          <w:p w:rsidR="009D46E6" w:rsidRPr="00DB1559" w:rsidRDefault="009D46E6" w:rsidP="00DB1559">
            <w:pPr>
              <w:spacing w:after="0" w:line="240" w:lineRule="auto"/>
              <w:jc w:val="right"/>
              <w:rPr>
                <w:b/>
                <w:sz w:val="15"/>
                <w:szCs w:val="15"/>
                <w:lang w:eastAsia="cs-CZ"/>
              </w:rPr>
            </w:pPr>
            <w:r w:rsidRPr="00DB1559">
              <w:rPr>
                <w:b/>
                <w:sz w:val="15"/>
                <w:szCs w:val="15"/>
                <w:lang w:eastAsia="cs-CZ"/>
              </w:rPr>
              <w:t>13,4</w:t>
            </w:r>
          </w:p>
        </w:tc>
        <w:tc>
          <w:tcPr>
            <w:tcW w:w="657" w:type="dxa"/>
            <w:shd w:val="clear" w:color="auto" w:fill="D8D8D8"/>
            <w:noWrap/>
            <w:vAlign w:val="center"/>
          </w:tcPr>
          <w:p w:rsidR="009D46E6" w:rsidRPr="00DB1559" w:rsidRDefault="009D46E6" w:rsidP="00DB1559">
            <w:pPr>
              <w:spacing w:after="0" w:line="240" w:lineRule="auto"/>
              <w:jc w:val="right"/>
              <w:rPr>
                <w:b/>
                <w:sz w:val="15"/>
                <w:szCs w:val="15"/>
                <w:lang w:eastAsia="cs-CZ"/>
              </w:rPr>
            </w:pPr>
            <w:r w:rsidRPr="00DB1559">
              <w:rPr>
                <w:b/>
                <w:sz w:val="15"/>
                <w:szCs w:val="15"/>
                <w:lang w:eastAsia="cs-CZ"/>
              </w:rPr>
              <w:t>14,2</w:t>
            </w:r>
          </w:p>
        </w:tc>
        <w:tc>
          <w:tcPr>
            <w:tcW w:w="657" w:type="dxa"/>
            <w:shd w:val="clear" w:color="auto" w:fill="D8D8D8"/>
            <w:noWrap/>
            <w:vAlign w:val="center"/>
          </w:tcPr>
          <w:p w:rsidR="009D46E6" w:rsidRPr="00DB1559" w:rsidRDefault="009D46E6" w:rsidP="00DB1559">
            <w:pPr>
              <w:spacing w:after="0" w:line="240" w:lineRule="auto"/>
              <w:jc w:val="right"/>
              <w:rPr>
                <w:b/>
                <w:sz w:val="15"/>
                <w:szCs w:val="15"/>
                <w:lang w:eastAsia="cs-CZ"/>
              </w:rPr>
            </w:pPr>
            <w:r w:rsidRPr="00DB1559">
              <w:rPr>
                <w:b/>
                <w:sz w:val="15"/>
                <w:szCs w:val="15"/>
                <w:lang w:eastAsia="cs-CZ"/>
              </w:rPr>
              <w:t>16,4</w:t>
            </w:r>
          </w:p>
        </w:tc>
        <w:tc>
          <w:tcPr>
            <w:tcW w:w="656" w:type="dxa"/>
            <w:shd w:val="clear" w:color="auto" w:fill="D8D8D8"/>
            <w:noWrap/>
            <w:vAlign w:val="center"/>
          </w:tcPr>
          <w:p w:rsidR="009D46E6" w:rsidRPr="00DB1559" w:rsidRDefault="009D46E6" w:rsidP="00DB1559">
            <w:pPr>
              <w:spacing w:after="0" w:line="240" w:lineRule="auto"/>
              <w:jc w:val="right"/>
              <w:rPr>
                <w:b/>
                <w:sz w:val="15"/>
                <w:szCs w:val="15"/>
                <w:lang w:eastAsia="cs-CZ"/>
              </w:rPr>
            </w:pPr>
            <w:r w:rsidRPr="00DB1559">
              <w:rPr>
                <w:b/>
                <w:sz w:val="15"/>
                <w:szCs w:val="15"/>
                <w:lang w:eastAsia="cs-CZ"/>
              </w:rPr>
              <w:t>18,3</w:t>
            </w:r>
          </w:p>
        </w:tc>
        <w:tc>
          <w:tcPr>
            <w:tcW w:w="655" w:type="dxa"/>
            <w:shd w:val="clear" w:color="auto" w:fill="D8D8D8"/>
            <w:noWrap/>
            <w:vAlign w:val="center"/>
          </w:tcPr>
          <w:p w:rsidR="009D46E6" w:rsidRPr="00DB1559" w:rsidRDefault="009D46E6" w:rsidP="00DB1559">
            <w:pPr>
              <w:spacing w:after="0" w:line="240" w:lineRule="auto"/>
              <w:jc w:val="right"/>
              <w:rPr>
                <w:b/>
                <w:sz w:val="15"/>
                <w:szCs w:val="15"/>
                <w:lang w:eastAsia="cs-CZ"/>
              </w:rPr>
            </w:pPr>
            <w:r w:rsidRPr="00DB1559">
              <w:rPr>
                <w:b/>
                <w:sz w:val="15"/>
                <w:szCs w:val="15"/>
                <w:lang w:eastAsia="cs-CZ"/>
              </w:rPr>
              <w:t>20,5</w:t>
            </w:r>
          </w:p>
        </w:tc>
        <w:tc>
          <w:tcPr>
            <w:tcW w:w="656" w:type="dxa"/>
            <w:shd w:val="clear" w:color="auto" w:fill="D8D8D8"/>
            <w:noWrap/>
            <w:vAlign w:val="center"/>
          </w:tcPr>
          <w:p w:rsidR="009D46E6" w:rsidRPr="00DB1559" w:rsidRDefault="009D46E6" w:rsidP="00DB1559">
            <w:pPr>
              <w:spacing w:after="0" w:line="240" w:lineRule="auto"/>
              <w:jc w:val="right"/>
              <w:rPr>
                <w:b/>
                <w:sz w:val="15"/>
                <w:szCs w:val="15"/>
                <w:lang w:eastAsia="cs-CZ"/>
              </w:rPr>
            </w:pPr>
            <w:r w:rsidRPr="00DB1559">
              <w:rPr>
                <w:b/>
                <w:sz w:val="15"/>
                <w:szCs w:val="15"/>
                <w:lang w:eastAsia="cs-CZ"/>
              </w:rPr>
              <w:t>20,5</w:t>
            </w:r>
          </w:p>
        </w:tc>
        <w:tc>
          <w:tcPr>
            <w:tcW w:w="656" w:type="dxa"/>
            <w:shd w:val="clear" w:color="auto" w:fill="D8D8D8"/>
            <w:noWrap/>
            <w:vAlign w:val="center"/>
          </w:tcPr>
          <w:p w:rsidR="009D46E6" w:rsidRPr="00DB1559" w:rsidRDefault="009D46E6" w:rsidP="00DB1559">
            <w:pPr>
              <w:spacing w:after="0" w:line="240" w:lineRule="auto"/>
              <w:jc w:val="right"/>
              <w:rPr>
                <w:b/>
                <w:sz w:val="15"/>
                <w:szCs w:val="15"/>
                <w:lang w:eastAsia="cs-CZ"/>
              </w:rPr>
            </w:pPr>
            <w:r w:rsidRPr="00DB1559">
              <w:rPr>
                <w:b/>
                <w:sz w:val="15"/>
                <w:szCs w:val="15"/>
                <w:lang w:eastAsia="cs-CZ"/>
              </w:rPr>
              <w:t>23,0</w:t>
            </w:r>
          </w:p>
        </w:tc>
        <w:tc>
          <w:tcPr>
            <w:tcW w:w="656" w:type="dxa"/>
            <w:shd w:val="clear" w:color="auto" w:fill="D8D8D8"/>
            <w:noWrap/>
            <w:vAlign w:val="center"/>
          </w:tcPr>
          <w:p w:rsidR="009D46E6" w:rsidRPr="00DB1559" w:rsidRDefault="009D46E6" w:rsidP="00DB1559">
            <w:pPr>
              <w:spacing w:after="0" w:line="240" w:lineRule="auto"/>
              <w:jc w:val="right"/>
              <w:rPr>
                <w:b/>
                <w:sz w:val="15"/>
                <w:szCs w:val="15"/>
                <w:lang w:eastAsia="cs-CZ"/>
              </w:rPr>
            </w:pPr>
            <w:r w:rsidRPr="00DB1559">
              <w:rPr>
                <w:b/>
                <w:sz w:val="15"/>
                <w:szCs w:val="15"/>
                <w:lang w:eastAsia="cs-CZ"/>
              </w:rPr>
              <w:t>22,6</w:t>
            </w:r>
          </w:p>
        </w:tc>
        <w:tc>
          <w:tcPr>
            <w:tcW w:w="656" w:type="dxa"/>
            <w:shd w:val="clear" w:color="auto" w:fill="D8D8D8"/>
            <w:noWrap/>
            <w:vAlign w:val="center"/>
          </w:tcPr>
          <w:p w:rsidR="009D46E6" w:rsidRPr="00DB1559" w:rsidRDefault="009D46E6" w:rsidP="00DB1559">
            <w:pPr>
              <w:spacing w:after="0" w:line="240" w:lineRule="auto"/>
              <w:jc w:val="right"/>
              <w:rPr>
                <w:b/>
                <w:sz w:val="15"/>
                <w:szCs w:val="15"/>
                <w:lang w:eastAsia="cs-CZ"/>
              </w:rPr>
            </w:pPr>
            <w:r w:rsidRPr="00DB1559">
              <w:rPr>
                <w:b/>
                <w:sz w:val="15"/>
                <w:szCs w:val="15"/>
                <w:lang w:eastAsia="cs-CZ"/>
              </w:rPr>
              <w:t>25,8</w:t>
            </w:r>
          </w:p>
        </w:tc>
        <w:tc>
          <w:tcPr>
            <w:tcW w:w="656" w:type="dxa"/>
            <w:shd w:val="clear" w:color="auto" w:fill="D8D8D8"/>
            <w:noWrap/>
            <w:vAlign w:val="center"/>
          </w:tcPr>
          <w:p w:rsidR="009D46E6" w:rsidRPr="00DB1559" w:rsidRDefault="009D46E6" w:rsidP="00DB1559">
            <w:pPr>
              <w:spacing w:after="0" w:line="240" w:lineRule="auto"/>
              <w:jc w:val="right"/>
              <w:rPr>
                <w:b/>
                <w:sz w:val="15"/>
                <w:szCs w:val="15"/>
                <w:lang w:eastAsia="cs-CZ"/>
              </w:rPr>
            </w:pPr>
            <w:r w:rsidRPr="00DB1559">
              <w:rPr>
                <w:b/>
                <w:sz w:val="15"/>
                <w:szCs w:val="15"/>
                <w:lang w:eastAsia="cs-CZ"/>
              </w:rPr>
              <w:t>26,2</w:t>
            </w:r>
          </w:p>
        </w:tc>
      </w:tr>
      <w:tr w:rsidR="009D46E6" w:rsidRPr="00DB1559" w:rsidTr="00DB1559">
        <w:trPr>
          <w:trHeight w:val="283"/>
          <w:jc w:val="center"/>
        </w:trPr>
        <w:tc>
          <w:tcPr>
            <w:tcW w:w="1764" w:type="dxa"/>
            <w:tcBorders>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left"/>
              <w:rPr>
                <w:rFonts w:cs="Arial"/>
                <w:b/>
                <w:bCs/>
                <w:color w:val="FFFFFF"/>
                <w:sz w:val="15"/>
                <w:szCs w:val="15"/>
                <w:lang w:eastAsia="cs-CZ"/>
              </w:rPr>
            </w:pPr>
            <w:r w:rsidRPr="00DB1559">
              <w:rPr>
                <w:rFonts w:cs="Arial"/>
                <w:b/>
                <w:bCs/>
                <w:color w:val="FFFFFF"/>
                <w:sz w:val="15"/>
                <w:szCs w:val="15"/>
                <w:lang w:eastAsia="cs-CZ"/>
              </w:rPr>
              <w:t>Skutečné výdaje*</w:t>
            </w:r>
          </w:p>
        </w:tc>
        <w:tc>
          <w:tcPr>
            <w:tcW w:w="656" w:type="dxa"/>
            <w:tcBorders>
              <w:bottom w:val="single" w:sz="18" w:space="0" w:color="auto"/>
            </w:tcBorders>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w:t>
            </w:r>
          </w:p>
        </w:tc>
        <w:tc>
          <w:tcPr>
            <w:tcW w:w="657" w:type="dxa"/>
            <w:tcBorders>
              <w:bottom w:val="single" w:sz="18" w:space="0" w:color="auto"/>
            </w:tcBorders>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w:t>
            </w:r>
          </w:p>
        </w:tc>
        <w:tc>
          <w:tcPr>
            <w:tcW w:w="657" w:type="dxa"/>
            <w:tcBorders>
              <w:bottom w:val="single" w:sz="18" w:space="0" w:color="auto"/>
            </w:tcBorders>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w:t>
            </w:r>
          </w:p>
        </w:tc>
        <w:tc>
          <w:tcPr>
            <w:tcW w:w="657" w:type="dxa"/>
            <w:tcBorders>
              <w:bottom w:val="single" w:sz="18" w:space="0" w:color="auto"/>
            </w:tcBorders>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w:t>
            </w:r>
          </w:p>
        </w:tc>
        <w:tc>
          <w:tcPr>
            <w:tcW w:w="657" w:type="dxa"/>
            <w:tcBorders>
              <w:bottom w:val="single" w:sz="18" w:space="0" w:color="auto"/>
            </w:tcBorders>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w:t>
            </w:r>
          </w:p>
        </w:tc>
        <w:tc>
          <w:tcPr>
            <w:tcW w:w="656" w:type="dxa"/>
            <w:tcBorders>
              <w:bottom w:val="single" w:sz="18" w:space="0" w:color="auto"/>
            </w:tcBorders>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w:t>
            </w:r>
          </w:p>
        </w:tc>
        <w:tc>
          <w:tcPr>
            <w:tcW w:w="655" w:type="dxa"/>
            <w:tcBorders>
              <w:bottom w:val="single" w:sz="18" w:space="0" w:color="auto"/>
            </w:tcBorders>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20,5</w:t>
            </w:r>
          </w:p>
        </w:tc>
        <w:tc>
          <w:tcPr>
            <w:tcW w:w="656" w:type="dxa"/>
            <w:tcBorders>
              <w:bottom w:val="single" w:sz="18" w:space="0" w:color="auto"/>
            </w:tcBorders>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20,5</w:t>
            </w:r>
          </w:p>
        </w:tc>
        <w:tc>
          <w:tcPr>
            <w:tcW w:w="656" w:type="dxa"/>
            <w:tcBorders>
              <w:bottom w:val="single" w:sz="18" w:space="0" w:color="auto"/>
            </w:tcBorders>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24,1</w:t>
            </w:r>
          </w:p>
        </w:tc>
        <w:tc>
          <w:tcPr>
            <w:tcW w:w="656" w:type="dxa"/>
            <w:tcBorders>
              <w:bottom w:val="single" w:sz="18" w:space="0" w:color="auto"/>
            </w:tcBorders>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24,9</w:t>
            </w:r>
          </w:p>
        </w:tc>
        <w:tc>
          <w:tcPr>
            <w:tcW w:w="656" w:type="dxa"/>
            <w:tcBorders>
              <w:bottom w:val="single" w:sz="18" w:space="0" w:color="auto"/>
            </w:tcBorders>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37,5</w:t>
            </w:r>
          </w:p>
        </w:tc>
        <w:tc>
          <w:tcPr>
            <w:tcW w:w="656" w:type="dxa"/>
            <w:tcBorders>
              <w:bottom w:val="single" w:sz="18" w:space="0" w:color="auto"/>
            </w:tcBorders>
            <w:noWrap/>
            <w:vAlign w:val="center"/>
          </w:tcPr>
          <w:p w:rsidR="009D46E6" w:rsidRPr="00DB1559" w:rsidRDefault="009D46E6" w:rsidP="00DB1559">
            <w:pPr>
              <w:spacing w:after="0" w:line="240" w:lineRule="auto"/>
              <w:jc w:val="right"/>
              <w:rPr>
                <w:sz w:val="15"/>
                <w:szCs w:val="15"/>
                <w:lang w:eastAsia="cs-CZ"/>
              </w:rPr>
            </w:pPr>
            <w:r w:rsidRPr="00DB1559">
              <w:rPr>
                <w:sz w:val="15"/>
                <w:szCs w:val="15"/>
                <w:lang w:eastAsia="cs-CZ"/>
              </w:rPr>
              <w:t>39,1</w:t>
            </w:r>
          </w:p>
        </w:tc>
      </w:tr>
    </w:tbl>
    <w:p w:rsidR="009D46E6" w:rsidRDefault="009D46E6" w:rsidP="00546662">
      <w:pPr>
        <w:pStyle w:val="Zdroj"/>
      </w:pPr>
      <w:r>
        <w:t>Pozn.:* včetně výdajů na předfinancování programů EU, krytých příjmy z EU.</w:t>
      </w:r>
    </w:p>
    <w:p w:rsidR="009D46E6" w:rsidRPr="00411AE0" w:rsidRDefault="009D46E6" w:rsidP="00546662">
      <w:pPr>
        <w:pStyle w:val="Zdroj"/>
      </w:pPr>
      <w:r w:rsidRPr="00411AE0">
        <w:t>Zdroj: Ministerstvo financí ČR; Státní závěrečný účet</w:t>
      </w:r>
      <w:r>
        <w:t xml:space="preserve"> České republiky, kapitola VaV</w:t>
      </w:r>
    </w:p>
    <w:p w:rsidR="009D46E6" w:rsidRDefault="009D46E6" w:rsidP="003C6E2E">
      <w:pPr>
        <w:pStyle w:val="Heading3"/>
      </w:pPr>
      <w:bookmarkStart w:id="71" w:name="_Toc340128480"/>
      <w:bookmarkStart w:id="72" w:name="_Toc369091870"/>
      <w:r>
        <w:t>Celková přímá podpora VaV ze státního rozpočtu – základní ukazatele</w:t>
      </w:r>
      <w:bookmarkEnd w:id="71"/>
      <w:bookmarkEnd w:id="72"/>
    </w:p>
    <w:p w:rsidR="009D46E6" w:rsidRPr="00131CFE" w:rsidRDefault="009D46E6" w:rsidP="00546662">
      <w:r w:rsidRPr="00131CFE">
        <w:t>Státní rozpočet v</w:t>
      </w:r>
      <w:r>
        <w:t> </w:t>
      </w:r>
      <w:r w:rsidRPr="00131CFE">
        <w:t>Č</w:t>
      </w:r>
      <w:r>
        <w:t>eské republice</w:t>
      </w:r>
      <w:r w:rsidRPr="00131CFE">
        <w:t xml:space="preserve"> představuje po investicích ze soukromých podnikatelských zdrojů druhý nejdůležitější zdroj financování VaV. V roce 2012 činil podíl veřejných zdrojů na celkových výdajích na VaV uskutečněných v ČR přibližně 42 %. Maximální hodnoty dosáhl podíl veřejný</w:t>
      </w:r>
      <w:r>
        <w:t>ch zdrojů v roce 2009 (téměř 48 </w:t>
      </w:r>
      <w:r w:rsidRPr="00131CFE">
        <w:t xml:space="preserve">%), od této doby podíl veřejných zdrojů </w:t>
      </w:r>
      <w:r>
        <w:t>v</w:t>
      </w:r>
      <w:r w:rsidRPr="00131CFE">
        <w:t xml:space="preserve"> celkových výdajích na VaV mírně kles</w:t>
      </w:r>
      <w:r>
        <w:t>á</w:t>
      </w:r>
      <w:r w:rsidRPr="00131CFE">
        <w:t>.</w:t>
      </w:r>
    </w:p>
    <w:p w:rsidR="009D46E6" w:rsidRPr="00C647D1" w:rsidRDefault="009D46E6" w:rsidP="00546662">
      <w:r w:rsidRPr="00C647D1">
        <w:t xml:space="preserve">V roce 2012 vzrostla přímá podpora VaV ze státního rozpočtu oproti roku 2011 o 0,4 mld. Kč na 26,2 mld. Kč, což je přibližně 2,27 % celkových výdajů ze státního rozpočtu a 0,68 % HDP. Přímá podpora VaV ze státního rozpočtu tak dosáhla zatím nejvyšší hodnoty ve sledovaném období od roku 2001. </w:t>
      </w:r>
      <w:r>
        <w:t>V</w:t>
      </w:r>
      <w:r w:rsidRPr="0057798B">
        <w:t xml:space="preserve"> celkových výdajích z veřejného rozpočtu, který zahrnuje kromě státního rozpočtu i rozpočty územní a </w:t>
      </w:r>
      <w:r>
        <w:t>který</w:t>
      </w:r>
      <w:r w:rsidRPr="0057798B">
        <w:t xml:space="preserve"> se používá pro mezinárodní srovnání, v roce 2011 </w:t>
      </w:r>
      <w:r>
        <w:t xml:space="preserve">tvořily </w:t>
      </w:r>
      <w:r w:rsidRPr="0057798B">
        <w:t>státní výdaje na Va</w:t>
      </w:r>
      <w:r w:rsidRPr="0096487B">
        <w:t>V 1,53 %.</w:t>
      </w:r>
    </w:p>
    <w:p w:rsidR="009D46E6" w:rsidRPr="00621ABE" w:rsidRDefault="009D46E6" w:rsidP="00546662">
      <w:r>
        <w:t xml:space="preserve">Výdaje ze státního rozpočtu na VaV po poměrně výrazném poklesu v letech 1992 a 1993 spojitě rostou v běžných i stálých cenách (s výjimkou let 2002, 2008 a 2010). V nárůstu výdajů mezi jednotlivými roky jsou však patrné značné rozdíly. </w:t>
      </w:r>
      <w:r w:rsidRPr="00621ABE">
        <w:t>Výrazný meziroční nárůst v roce 2011 byl z velké části způsoben spolufinancováním projektů EU ze strukturálních fondů ze státního rozpočtu ČR.</w:t>
      </w:r>
      <w:r>
        <w:t xml:space="preserve"> Nárůst mezi lety 2011 a 2012 není již tak výrazný.</w:t>
      </w:r>
    </w:p>
    <w:p w:rsidR="009D46E6" w:rsidRPr="007A66F1" w:rsidRDefault="009D46E6" w:rsidP="00546662">
      <w:r w:rsidRPr="00905E96">
        <w:t>Výdaje na VaV ze státního rozpočtu byly v běžných cenách byly v roce 2012 více než dvakrát vyšší než před deseti lety (v roce 2002 výdaje na VaV činily 12,3 mld. Kč). Za toto období deseti let bylo ze státního rozpočtu na VaV ve vládním, vysokoškolském, podnikatelském a soukromém neziskovém sektoru čerpáno celkem 213 mld. Kč, v posledních pěti letech (2008 až 2012) pak 118 miliard.</w:t>
      </w:r>
    </w:p>
    <w:p w:rsidR="009D46E6" w:rsidRDefault="009D46E6" w:rsidP="00750D9B">
      <w:pPr>
        <w:pStyle w:val="Caption"/>
      </w:pPr>
      <w:bookmarkStart w:id="73" w:name="_Toc340128709"/>
      <w:bookmarkStart w:id="74" w:name="_Toc369091992"/>
      <w:r w:rsidRPr="000A5A97">
        <w:t xml:space="preserve">Graf </w:t>
      </w:r>
      <w:fldSimple w:instr=" STYLEREF 1 \s ">
        <w:r>
          <w:rPr>
            <w:noProof/>
          </w:rPr>
          <w:t>A</w:t>
        </w:r>
      </w:fldSimple>
      <w:r w:rsidRPr="000A5A97">
        <w:t>.</w:t>
      </w:r>
      <w:fldSimple w:instr=" SEQ Graf \* ARABIC \s 1 ">
        <w:r>
          <w:rPr>
            <w:noProof/>
          </w:rPr>
          <w:t>31</w:t>
        </w:r>
      </w:fldSimple>
      <w:r w:rsidRPr="000A5A97">
        <w:t>: Celkové výdaje státního rozpočtu ČR na přímou podporu VaV (mld. Kč, %)</w:t>
      </w:r>
      <w:bookmarkEnd w:id="73"/>
      <w:bookmarkEnd w:id="74"/>
    </w:p>
    <w:p w:rsidR="009D46E6" w:rsidRDefault="009D46E6" w:rsidP="00546662">
      <w:r w:rsidRPr="001D1D98">
        <w:rPr>
          <w:noProof/>
          <w:lang w:eastAsia="cs-CZ"/>
        </w:rPr>
        <w:pict>
          <v:shape id="Graf 15" o:spid="_x0000_i1102" type="#_x0000_t75" style="width:477pt;height:219.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">
            <v:imagedata r:id="rId89" o:title="" croptop="-4686f" cropbottom="-3826f" cropleft="-1877f" cropright="-2428f"/>
            <o:lock v:ext="edit" aspectratio="f"/>
          </v:shape>
        </w:pict>
      </w:r>
    </w:p>
    <w:p w:rsidR="009D46E6" w:rsidRDefault="009D46E6" w:rsidP="00546662">
      <w:pPr>
        <w:pStyle w:val="Zdroj"/>
      </w:pPr>
      <w:r w:rsidRPr="00F70640">
        <w:t xml:space="preserve">Pozn.: * V roce byla dokončena mimořádná revize Národních účtů, která měla vliv na zpětný přepočet hodnoty HDP v </w:t>
      </w:r>
      <w:r>
        <w:t>ČR</w:t>
      </w:r>
      <w:r w:rsidRPr="00F70640">
        <w:t xml:space="preserve"> 1995 až 2010. </w:t>
      </w:r>
    </w:p>
    <w:p w:rsidR="009D46E6" w:rsidRDefault="009D46E6" w:rsidP="00546662">
      <w:pPr>
        <w:pStyle w:val="Zdroj"/>
      </w:pPr>
      <w:r>
        <w:t xml:space="preserve">Zdroj: Český statistický úřad 2013 podle údajů ze Státního závěrečného účtu ČR, Kapitola VaV (MF ČR) </w:t>
      </w:r>
    </w:p>
    <w:p w:rsidR="009D46E6" w:rsidRPr="00F70640" w:rsidRDefault="009D46E6" w:rsidP="00546662"/>
    <w:p w:rsidR="009D46E6" w:rsidRDefault="009D46E6" w:rsidP="00750D9B">
      <w:pPr>
        <w:pStyle w:val="Caption"/>
      </w:pPr>
      <w:bookmarkStart w:id="75" w:name="_Toc340128657"/>
      <w:bookmarkStart w:id="76" w:name="_Toc369091929"/>
      <w:r w:rsidRPr="000A5A97">
        <w:t xml:space="preserve">Tabulka </w:t>
      </w:r>
      <w:fldSimple w:instr=" STYLEREF 1 \s ">
        <w:r>
          <w:rPr>
            <w:noProof/>
          </w:rPr>
          <w:t>A</w:t>
        </w:r>
      </w:fldSimple>
      <w:r w:rsidRPr="000A5A97">
        <w:t>.</w:t>
      </w:r>
      <w:fldSimple w:instr=" SEQ Tabulka \* ARABIC \s 1 ">
        <w:r>
          <w:rPr>
            <w:noProof/>
          </w:rPr>
          <w:t>8</w:t>
        </w:r>
      </w:fldSimple>
      <w:r w:rsidRPr="000A5A97">
        <w:t>: Meziroční změna celkových výdajů státního rozpočtu ČR na přímou podporu VaV</w:t>
      </w:r>
      <w:bookmarkEnd w:id="75"/>
      <w:bookmarkEnd w:id="76"/>
    </w:p>
    <w:tbl>
      <w:tblPr>
        <w:tblW w:w="9639" w:type="dxa"/>
        <w:jc w:val="center"/>
        <w:tblBorders>
          <w:top w:val="single" w:sz="18" w:space="0" w:color="auto"/>
          <w:bottom w:val="single" w:sz="18" w:space="0" w:color="auto"/>
        </w:tblBorders>
        <w:tblLayout w:type="fixed"/>
        <w:tblLook w:val="00A0"/>
      </w:tblPr>
      <w:tblGrid>
        <w:gridCol w:w="1764"/>
        <w:gridCol w:w="656"/>
        <w:gridCol w:w="657"/>
        <w:gridCol w:w="657"/>
        <w:gridCol w:w="657"/>
        <w:gridCol w:w="657"/>
        <w:gridCol w:w="656"/>
        <w:gridCol w:w="655"/>
        <w:gridCol w:w="656"/>
        <w:gridCol w:w="656"/>
        <w:gridCol w:w="656"/>
        <w:gridCol w:w="656"/>
        <w:gridCol w:w="656"/>
      </w:tblGrid>
      <w:tr w:rsidR="009D46E6" w:rsidRPr="00DB1559" w:rsidTr="00DB1559">
        <w:trPr>
          <w:trHeight w:val="283"/>
          <w:jc w:val="center"/>
        </w:trPr>
        <w:tc>
          <w:tcPr>
            <w:tcW w:w="1764"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p>
        </w:tc>
        <w:tc>
          <w:tcPr>
            <w:tcW w:w="656"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r w:rsidRPr="00DB1559">
              <w:rPr>
                <w:rFonts w:cs="Arial"/>
                <w:b/>
                <w:bCs/>
                <w:color w:val="FFFFFF"/>
                <w:sz w:val="15"/>
                <w:szCs w:val="15"/>
                <w:lang w:eastAsia="cs-CZ"/>
              </w:rPr>
              <w:t>2001</w:t>
            </w:r>
          </w:p>
        </w:tc>
        <w:tc>
          <w:tcPr>
            <w:tcW w:w="657"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r w:rsidRPr="00DB1559">
              <w:rPr>
                <w:rFonts w:cs="Arial"/>
                <w:b/>
                <w:bCs/>
                <w:color w:val="FFFFFF"/>
                <w:sz w:val="15"/>
                <w:szCs w:val="15"/>
                <w:lang w:eastAsia="cs-CZ"/>
              </w:rPr>
              <w:t>2002</w:t>
            </w:r>
          </w:p>
        </w:tc>
        <w:tc>
          <w:tcPr>
            <w:tcW w:w="657"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r w:rsidRPr="00DB1559">
              <w:rPr>
                <w:rFonts w:cs="Arial"/>
                <w:b/>
                <w:bCs/>
                <w:color w:val="FFFFFF"/>
                <w:sz w:val="15"/>
                <w:szCs w:val="15"/>
                <w:lang w:eastAsia="cs-CZ"/>
              </w:rPr>
              <w:t>2003</w:t>
            </w:r>
          </w:p>
        </w:tc>
        <w:tc>
          <w:tcPr>
            <w:tcW w:w="657"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r w:rsidRPr="00DB1559">
              <w:rPr>
                <w:rFonts w:cs="Arial"/>
                <w:b/>
                <w:bCs/>
                <w:color w:val="FFFFFF"/>
                <w:sz w:val="15"/>
                <w:szCs w:val="15"/>
                <w:lang w:eastAsia="cs-CZ"/>
              </w:rPr>
              <w:t>2004</w:t>
            </w:r>
          </w:p>
        </w:tc>
        <w:tc>
          <w:tcPr>
            <w:tcW w:w="657"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r w:rsidRPr="00DB1559">
              <w:rPr>
                <w:rFonts w:cs="Arial"/>
                <w:b/>
                <w:bCs/>
                <w:color w:val="FFFFFF"/>
                <w:sz w:val="15"/>
                <w:szCs w:val="15"/>
                <w:lang w:eastAsia="cs-CZ"/>
              </w:rPr>
              <w:t>2005</w:t>
            </w:r>
          </w:p>
        </w:tc>
        <w:tc>
          <w:tcPr>
            <w:tcW w:w="656"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r w:rsidRPr="00DB1559">
              <w:rPr>
                <w:rFonts w:cs="Arial"/>
                <w:b/>
                <w:bCs/>
                <w:color w:val="FFFFFF"/>
                <w:sz w:val="15"/>
                <w:szCs w:val="15"/>
                <w:lang w:eastAsia="cs-CZ"/>
              </w:rPr>
              <w:t>2006</w:t>
            </w:r>
          </w:p>
        </w:tc>
        <w:tc>
          <w:tcPr>
            <w:tcW w:w="655"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r w:rsidRPr="00DB1559">
              <w:rPr>
                <w:rFonts w:cs="Arial"/>
                <w:b/>
                <w:bCs/>
                <w:color w:val="FFFFFF"/>
                <w:sz w:val="15"/>
                <w:szCs w:val="15"/>
                <w:lang w:eastAsia="cs-CZ"/>
              </w:rPr>
              <w:t>2007</w:t>
            </w:r>
          </w:p>
        </w:tc>
        <w:tc>
          <w:tcPr>
            <w:tcW w:w="656"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r w:rsidRPr="00DB1559">
              <w:rPr>
                <w:rFonts w:cs="Arial"/>
                <w:b/>
                <w:bCs/>
                <w:color w:val="FFFFFF"/>
                <w:sz w:val="15"/>
                <w:szCs w:val="15"/>
                <w:lang w:eastAsia="cs-CZ"/>
              </w:rPr>
              <w:t>2008</w:t>
            </w:r>
          </w:p>
        </w:tc>
        <w:tc>
          <w:tcPr>
            <w:tcW w:w="656"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r w:rsidRPr="00DB1559">
              <w:rPr>
                <w:rFonts w:cs="Arial"/>
                <w:b/>
                <w:bCs/>
                <w:color w:val="FFFFFF"/>
                <w:sz w:val="15"/>
                <w:szCs w:val="15"/>
                <w:lang w:eastAsia="cs-CZ"/>
              </w:rPr>
              <w:t>2009</w:t>
            </w:r>
          </w:p>
        </w:tc>
        <w:tc>
          <w:tcPr>
            <w:tcW w:w="656"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r w:rsidRPr="00DB1559">
              <w:rPr>
                <w:rFonts w:cs="Arial"/>
                <w:b/>
                <w:bCs/>
                <w:color w:val="FFFFFF"/>
                <w:sz w:val="15"/>
                <w:szCs w:val="15"/>
                <w:lang w:eastAsia="cs-CZ"/>
              </w:rPr>
              <w:t>2010</w:t>
            </w:r>
          </w:p>
        </w:tc>
        <w:tc>
          <w:tcPr>
            <w:tcW w:w="656"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r w:rsidRPr="00DB1559">
              <w:rPr>
                <w:rFonts w:cs="Arial"/>
                <w:b/>
                <w:bCs/>
                <w:color w:val="FFFFFF"/>
                <w:sz w:val="15"/>
                <w:szCs w:val="15"/>
                <w:lang w:eastAsia="cs-CZ"/>
              </w:rPr>
              <w:t>2011</w:t>
            </w:r>
          </w:p>
        </w:tc>
        <w:tc>
          <w:tcPr>
            <w:tcW w:w="656" w:type="dxa"/>
            <w:tcBorders>
              <w:top w:val="single" w:sz="18" w:space="0" w:color="auto"/>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r w:rsidRPr="00DB1559">
              <w:rPr>
                <w:rFonts w:cs="Arial"/>
                <w:b/>
                <w:bCs/>
                <w:color w:val="FFFFFF"/>
                <w:sz w:val="15"/>
                <w:szCs w:val="15"/>
                <w:lang w:eastAsia="cs-CZ"/>
              </w:rPr>
              <w:t>2012</w:t>
            </w:r>
          </w:p>
        </w:tc>
      </w:tr>
      <w:tr w:rsidR="009D46E6" w:rsidRPr="00DB1559" w:rsidTr="00DB1559">
        <w:trPr>
          <w:trHeight w:val="283"/>
          <w:jc w:val="center"/>
        </w:trPr>
        <w:tc>
          <w:tcPr>
            <w:tcW w:w="1764" w:type="dxa"/>
            <w:tcBorders>
              <w:left w:val="nil"/>
              <w:bottom w:val="nil"/>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r w:rsidRPr="00DB1559">
              <w:rPr>
                <w:rFonts w:cs="Arial"/>
                <w:b/>
                <w:bCs/>
                <w:color w:val="FFFFFF"/>
                <w:sz w:val="15"/>
                <w:szCs w:val="15"/>
                <w:lang w:eastAsia="cs-CZ"/>
              </w:rPr>
              <w:t>mld. Kč (běžné ceny)</w:t>
            </w:r>
          </w:p>
        </w:tc>
        <w:tc>
          <w:tcPr>
            <w:tcW w:w="656" w:type="dxa"/>
            <w:shd w:val="clear" w:color="auto" w:fill="D8D8D8"/>
            <w:noWrap/>
            <w:vAlign w:val="center"/>
          </w:tcPr>
          <w:p w:rsidR="009D46E6" w:rsidRPr="00DB1559" w:rsidRDefault="009D46E6" w:rsidP="00DB1559">
            <w:pPr>
              <w:spacing w:after="0"/>
              <w:jc w:val="right"/>
              <w:rPr>
                <w:b/>
                <w:sz w:val="15"/>
                <w:szCs w:val="15"/>
                <w:lang w:eastAsia="cs-CZ"/>
              </w:rPr>
            </w:pPr>
            <w:r w:rsidRPr="00DB1559">
              <w:rPr>
                <w:b/>
                <w:sz w:val="15"/>
                <w:szCs w:val="15"/>
                <w:lang w:eastAsia="cs-CZ"/>
              </w:rPr>
              <w:t>0,7</w:t>
            </w:r>
          </w:p>
        </w:tc>
        <w:tc>
          <w:tcPr>
            <w:tcW w:w="657" w:type="dxa"/>
            <w:shd w:val="clear" w:color="auto" w:fill="D8D8D8"/>
            <w:noWrap/>
            <w:vAlign w:val="center"/>
          </w:tcPr>
          <w:p w:rsidR="009D46E6" w:rsidRPr="00DB1559" w:rsidRDefault="009D46E6" w:rsidP="00DB1559">
            <w:pPr>
              <w:spacing w:after="0"/>
              <w:jc w:val="right"/>
              <w:rPr>
                <w:b/>
                <w:sz w:val="15"/>
                <w:szCs w:val="15"/>
                <w:lang w:eastAsia="cs-CZ"/>
              </w:rPr>
            </w:pPr>
            <w:r w:rsidRPr="00DB1559">
              <w:rPr>
                <w:b/>
                <w:sz w:val="15"/>
                <w:szCs w:val="15"/>
                <w:lang w:eastAsia="cs-CZ"/>
              </w:rPr>
              <w:t>-0,3</w:t>
            </w:r>
          </w:p>
        </w:tc>
        <w:tc>
          <w:tcPr>
            <w:tcW w:w="657" w:type="dxa"/>
            <w:shd w:val="clear" w:color="auto" w:fill="D8D8D8"/>
            <w:noWrap/>
            <w:vAlign w:val="center"/>
          </w:tcPr>
          <w:p w:rsidR="009D46E6" w:rsidRPr="00DB1559" w:rsidRDefault="009D46E6" w:rsidP="00DB1559">
            <w:pPr>
              <w:spacing w:after="0"/>
              <w:jc w:val="right"/>
              <w:rPr>
                <w:b/>
                <w:sz w:val="15"/>
                <w:szCs w:val="15"/>
                <w:lang w:eastAsia="cs-CZ"/>
              </w:rPr>
            </w:pPr>
            <w:r w:rsidRPr="00DB1559">
              <w:rPr>
                <w:b/>
                <w:sz w:val="15"/>
                <w:szCs w:val="15"/>
                <w:lang w:eastAsia="cs-CZ"/>
              </w:rPr>
              <w:t>1,1</w:t>
            </w:r>
          </w:p>
        </w:tc>
        <w:tc>
          <w:tcPr>
            <w:tcW w:w="657" w:type="dxa"/>
            <w:shd w:val="clear" w:color="auto" w:fill="D8D8D8"/>
            <w:noWrap/>
            <w:vAlign w:val="center"/>
          </w:tcPr>
          <w:p w:rsidR="009D46E6" w:rsidRPr="00DB1559" w:rsidRDefault="009D46E6" w:rsidP="00DB1559">
            <w:pPr>
              <w:spacing w:after="0"/>
              <w:jc w:val="right"/>
              <w:rPr>
                <w:b/>
                <w:sz w:val="15"/>
                <w:szCs w:val="15"/>
                <w:lang w:eastAsia="cs-CZ"/>
              </w:rPr>
            </w:pPr>
            <w:r w:rsidRPr="00DB1559">
              <w:rPr>
                <w:b/>
                <w:sz w:val="15"/>
                <w:szCs w:val="15"/>
                <w:lang w:eastAsia="cs-CZ"/>
              </w:rPr>
              <w:t>0,7</w:t>
            </w:r>
          </w:p>
        </w:tc>
        <w:tc>
          <w:tcPr>
            <w:tcW w:w="657" w:type="dxa"/>
            <w:shd w:val="clear" w:color="auto" w:fill="D8D8D8"/>
            <w:noWrap/>
            <w:vAlign w:val="center"/>
          </w:tcPr>
          <w:p w:rsidR="009D46E6" w:rsidRPr="00DB1559" w:rsidRDefault="009D46E6" w:rsidP="00DB1559">
            <w:pPr>
              <w:spacing w:after="0"/>
              <w:jc w:val="right"/>
              <w:rPr>
                <w:b/>
                <w:sz w:val="15"/>
                <w:szCs w:val="15"/>
                <w:lang w:eastAsia="cs-CZ"/>
              </w:rPr>
            </w:pPr>
            <w:r w:rsidRPr="00DB1559">
              <w:rPr>
                <w:b/>
                <w:sz w:val="15"/>
                <w:szCs w:val="15"/>
                <w:lang w:eastAsia="cs-CZ"/>
              </w:rPr>
              <w:t>2,3</w:t>
            </w:r>
          </w:p>
        </w:tc>
        <w:tc>
          <w:tcPr>
            <w:tcW w:w="656" w:type="dxa"/>
            <w:shd w:val="clear" w:color="auto" w:fill="D8D8D8"/>
            <w:noWrap/>
            <w:vAlign w:val="center"/>
          </w:tcPr>
          <w:p w:rsidR="009D46E6" w:rsidRPr="00DB1559" w:rsidRDefault="009D46E6" w:rsidP="00DB1559">
            <w:pPr>
              <w:spacing w:after="0"/>
              <w:jc w:val="right"/>
              <w:rPr>
                <w:b/>
                <w:sz w:val="15"/>
                <w:szCs w:val="15"/>
                <w:lang w:eastAsia="cs-CZ"/>
              </w:rPr>
            </w:pPr>
            <w:r w:rsidRPr="00DB1559">
              <w:rPr>
                <w:b/>
                <w:sz w:val="15"/>
                <w:szCs w:val="15"/>
                <w:lang w:eastAsia="cs-CZ"/>
              </w:rPr>
              <w:t>1,9</w:t>
            </w:r>
          </w:p>
        </w:tc>
        <w:tc>
          <w:tcPr>
            <w:tcW w:w="655" w:type="dxa"/>
            <w:shd w:val="clear" w:color="auto" w:fill="D8D8D8"/>
            <w:noWrap/>
            <w:vAlign w:val="center"/>
          </w:tcPr>
          <w:p w:rsidR="009D46E6" w:rsidRPr="00DB1559" w:rsidRDefault="009D46E6" w:rsidP="00DB1559">
            <w:pPr>
              <w:spacing w:after="0"/>
              <w:jc w:val="right"/>
              <w:rPr>
                <w:b/>
                <w:sz w:val="15"/>
                <w:szCs w:val="15"/>
                <w:lang w:eastAsia="cs-CZ"/>
              </w:rPr>
            </w:pPr>
            <w:r w:rsidRPr="00DB1559">
              <w:rPr>
                <w:b/>
                <w:sz w:val="15"/>
                <w:szCs w:val="15"/>
                <w:lang w:eastAsia="cs-CZ"/>
              </w:rPr>
              <w:t>2,2</w:t>
            </w:r>
          </w:p>
        </w:tc>
        <w:tc>
          <w:tcPr>
            <w:tcW w:w="656" w:type="dxa"/>
            <w:shd w:val="clear" w:color="auto" w:fill="D8D8D8"/>
            <w:noWrap/>
            <w:vAlign w:val="center"/>
          </w:tcPr>
          <w:p w:rsidR="009D46E6" w:rsidRPr="00DB1559" w:rsidRDefault="009D46E6" w:rsidP="00DB1559">
            <w:pPr>
              <w:spacing w:after="0"/>
              <w:jc w:val="right"/>
              <w:rPr>
                <w:b/>
                <w:sz w:val="15"/>
                <w:szCs w:val="15"/>
                <w:lang w:eastAsia="cs-CZ"/>
              </w:rPr>
            </w:pPr>
            <w:r w:rsidRPr="00DB1559">
              <w:rPr>
                <w:b/>
                <w:sz w:val="15"/>
                <w:szCs w:val="15"/>
                <w:lang w:eastAsia="cs-CZ"/>
              </w:rPr>
              <w:t>0,0</w:t>
            </w:r>
          </w:p>
        </w:tc>
        <w:tc>
          <w:tcPr>
            <w:tcW w:w="656" w:type="dxa"/>
            <w:shd w:val="clear" w:color="auto" w:fill="D8D8D8"/>
            <w:noWrap/>
            <w:vAlign w:val="center"/>
          </w:tcPr>
          <w:p w:rsidR="009D46E6" w:rsidRPr="00DB1559" w:rsidRDefault="009D46E6" w:rsidP="00DB1559">
            <w:pPr>
              <w:spacing w:after="0"/>
              <w:jc w:val="right"/>
              <w:rPr>
                <w:b/>
                <w:sz w:val="15"/>
                <w:szCs w:val="15"/>
                <w:lang w:eastAsia="cs-CZ"/>
              </w:rPr>
            </w:pPr>
            <w:r w:rsidRPr="00DB1559">
              <w:rPr>
                <w:b/>
                <w:sz w:val="15"/>
                <w:szCs w:val="15"/>
                <w:lang w:eastAsia="cs-CZ"/>
              </w:rPr>
              <w:t>2,5</w:t>
            </w:r>
          </w:p>
        </w:tc>
        <w:tc>
          <w:tcPr>
            <w:tcW w:w="656" w:type="dxa"/>
            <w:shd w:val="clear" w:color="auto" w:fill="D8D8D8"/>
            <w:noWrap/>
            <w:vAlign w:val="center"/>
          </w:tcPr>
          <w:p w:rsidR="009D46E6" w:rsidRPr="00DB1559" w:rsidRDefault="009D46E6" w:rsidP="00DB1559">
            <w:pPr>
              <w:spacing w:after="0"/>
              <w:jc w:val="right"/>
              <w:rPr>
                <w:b/>
                <w:sz w:val="15"/>
                <w:szCs w:val="15"/>
                <w:lang w:eastAsia="cs-CZ"/>
              </w:rPr>
            </w:pPr>
            <w:r w:rsidRPr="00DB1559">
              <w:rPr>
                <w:b/>
                <w:sz w:val="15"/>
                <w:szCs w:val="15"/>
                <w:lang w:eastAsia="cs-CZ"/>
              </w:rPr>
              <w:t>-0,4</w:t>
            </w:r>
          </w:p>
        </w:tc>
        <w:tc>
          <w:tcPr>
            <w:tcW w:w="656" w:type="dxa"/>
            <w:shd w:val="clear" w:color="auto" w:fill="D8D8D8"/>
            <w:noWrap/>
            <w:vAlign w:val="center"/>
          </w:tcPr>
          <w:p w:rsidR="009D46E6" w:rsidRPr="00DB1559" w:rsidRDefault="009D46E6" w:rsidP="00DB1559">
            <w:pPr>
              <w:spacing w:after="0"/>
              <w:jc w:val="right"/>
              <w:rPr>
                <w:b/>
                <w:sz w:val="15"/>
                <w:szCs w:val="15"/>
                <w:lang w:eastAsia="cs-CZ"/>
              </w:rPr>
            </w:pPr>
            <w:r w:rsidRPr="00DB1559">
              <w:rPr>
                <w:b/>
                <w:sz w:val="15"/>
                <w:szCs w:val="15"/>
                <w:lang w:eastAsia="cs-CZ"/>
              </w:rPr>
              <w:t>3,2</w:t>
            </w:r>
          </w:p>
        </w:tc>
        <w:tc>
          <w:tcPr>
            <w:tcW w:w="656" w:type="dxa"/>
            <w:shd w:val="clear" w:color="auto" w:fill="D8D8D8"/>
            <w:noWrap/>
            <w:vAlign w:val="center"/>
          </w:tcPr>
          <w:p w:rsidR="009D46E6" w:rsidRPr="00DB1559" w:rsidRDefault="009D46E6" w:rsidP="00DB1559">
            <w:pPr>
              <w:spacing w:after="0"/>
              <w:jc w:val="right"/>
              <w:rPr>
                <w:b/>
                <w:sz w:val="15"/>
                <w:szCs w:val="15"/>
                <w:lang w:eastAsia="cs-CZ"/>
              </w:rPr>
            </w:pPr>
            <w:r w:rsidRPr="00DB1559">
              <w:rPr>
                <w:b/>
                <w:sz w:val="15"/>
                <w:szCs w:val="15"/>
                <w:lang w:eastAsia="cs-CZ"/>
              </w:rPr>
              <w:t>0,4</w:t>
            </w:r>
          </w:p>
        </w:tc>
      </w:tr>
      <w:tr w:rsidR="009D46E6" w:rsidRPr="00DB1559" w:rsidTr="00DB1559">
        <w:trPr>
          <w:trHeight w:val="283"/>
          <w:jc w:val="center"/>
        </w:trPr>
        <w:tc>
          <w:tcPr>
            <w:tcW w:w="1764" w:type="dxa"/>
            <w:tcBorders>
              <w:left w:val="nil"/>
              <w:bottom w:val="nil"/>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lang w:eastAsia="cs-CZ"/>
              </w:rPr>
            </w:pPr>
            <w:r w:rsidRPr="00DB1559">
              <w:rPr>
                <w:rFonts w:cs="Arial"/>
                <w:b/>
                <w:bCs/>
                <w:color w:val="FFFFFF"/>
                <w:sz w:val="15"/>
                <w:szCs w:val="15"/>
                <w:lang w:eastAsia="cs-CZ"/>
              </w:rPr>
              <w:t>% v běžných cenách</w:t>
            </w:r>
          </w:p>
        </w:tc>
        <w:tc>
          <w:tcPr>
            <w:tcW w:w="656" w:type="dxa"/>
            <w:noWrap/>
            <w:vAlign w:val="center"/>
          </w:tcPr>
          <w:p w:rsidR="009D46E6" w:rsidRPr="00DB1559" w:rsidRDefault="009D46E6" w:rsidP="00DB1559">
            <w:pPr>
              <w:spacing w:after="0"/>
              <w:jc w:val="right"/>
              <w:rPr>
                <w:sz w:val="15"/>
                <w:szCs w:val="15"/>
                <w:lang w:eastAsia="cs-CZ"/>
              </w:rPr>
            </w:pPr>
            <w:r w:rsidRPr="00DB1559">
              <w:rPr>
                <w:sz w:val="15"/>
                <w:szCs w:val="15"/>
                <w:lang w:eastAsia="cs-CZ"/>
              </w:rPr>
              <w:t>6,0</w:t>
            </w:r>
          </w:p>
        </w:tc>
        <w:tc>
          <w:tcPr>
            <w:tcW w:w="657" w:type="dxa"/>
            <w:noWrap/>
            <w:vAlign w:val="center"/>
          </w:tcPr>
          <w:p w:rsidR="009D46E6" w:rsidRPr="00DB1559" w:rsidRDefault="009D46E6" w:rsidP="00DB1559">
            <w:pPr>
              <w:spacing w:after="0"/>
              <w:jc w:val="right"/>
              <w:rPr>
                <w:sz w:val="15"/>
                <w:szCs w:val="15"/>
                <w:lang w:eastAsia="cs-CZ"/>
              </w:rPr>
            </w:pPr>
            <w:r w:rsidRPr="00DB1559">
              <w:rPr>
                <w:sz w:val="15"/>
                <w:szCs w:val="15"/>
                <w:lang w:eastAsia="cs-CZ"/>
              </w:rPr>
              <w:t>-2,6</w:t>
            </w:r>
          </w:p>
        </w:tc>
        <w:tc>
          <w:tcPr>
            <w:tcW w:w="657" w:type="dxa"/>
            <w:noWrap/>
            <w:vAlign w:val="center"/>
          </w:tcPr>
          <w:p w:rsidR="009D46E6" w:rsidRPr="00DB1559" w:rsidRDefault="009D46E6" w:rsidP="00DB1559">
            <w:pPr>
              <w:spacing w:after="0"/>
              <w:jc w:val="right"/>
              <w:rPr>
                <w:sz w:val="15"/>
                <w:szCs w:val="15"/>
                <w:lang w:eastAsia="cs-CZ"/>
              </w:rPr>
            </w:pPr>
            <w:r w:rsidRPr="00DB1559">
              <w:rPr>
                <w:sz w:val="15"/>
                <w:szCs w:val="15"/>
                <w:lang w:eastAsia="cs-CZ"/>
              </w:rPr>
              <w:t>9,4</w:t>
            </w:r>
          </w:p>
        </w:tc>
        <w:tc>
          <w:tcPr>
            <w:tcW w:w="657" w:type="dxa"/>
            <w:noWrap/>
            <w:vAlign w:val="center"/>
          </w:tcPr>
          <w:p w:rsidR="009D46E6" w:rsidRPr="00DB1559" w:rsidRDefault="009D46E6" w:rsidP="00DB1559">
            <w:pPr>
              <w:spacing w:after="0"/>
              <w:jc w:val="right"/>
              <w:rPr>
                <w:sz w:val="15"/>
                <w:szCs w:val="15"/>
                <w:lang w:eastAsia="cs-CZ"/>
              </w:rPr>
            </w:pPr>
            <w:r w:rsidRPr="00DB1559">
              <w:rPr>
                <w:sz w:val="15"/>
                <w:szCs w:val="15"/>
                <w:lang w:eastAsia="cs-CZ"/>
              </w:rPr>
              <w:t>5,6</w:t>
            </w:r>
          </w:p>
        </w:tc>
        <w:tc>
          <w:tcPr>
            <w:tcW w:w="657" w:type="dxa"/>
            <w:noWrap/>
            <w:vAlign w:val="center"/>
          </w:tcPr>
          <w:p w:rsidR="009D46E6" w:rsidRPr="00DB1559" w:rsidRDefault="009D46E6" w:rsidP="00DB1559">
            <w:pPr>
              <w:spacing w:after="0"/>
              <w:jc w:val="right"/>
              <w:rPr>
                <w:sz w:val="15"/>
                <w:szCs w:val="15"/>
                <w:lang w:eastAsia="cs-CZ"/>
              </w:rPr>
            </w:pPr>
            <w:r w:rsidRPr="00DB1559">
              <w:rPr>
                <w:sz w:val="15"/>
                <w:szCs w:val="15"/>
                <w:lang w:eastAsia="cs-CZ"/>
              </w:rPr>
              <w:t>16,0</w:t>
            </w:r>
          </w:p>
        </w:tc>
        <w:tc>
          <w:tcPr>
            <w:tcW w:w="656" w:type="dxa"/>
            <w:noWrap/>
            <w:vAlign w:val="center"/>
          </w:tcPr>
          <w:p w:rsidR="009D46E6" w:rsidRPr="00DB1559" w:rsidRDefault="009D46E6" w:rsidP="00DB1559">
            <w:pPr>
              <w:spacing w:after="0"/>
              <w:jc w:val="right"/>
              <w:rPr>
                <w:sz w:val="15"/>
                <w:szCs w:val="15"/>
                <w:lang w:eastAsia="cs-CZ"/>
              </w:rPr>
            </w:pPr>
            <w:r w:rsidRPr="00DB1559">
              <w:rPr>
                <w:sz w:val="15"/>
                <w:szCs w:val="15"/>
                <w:lang w:eastAsia="cs-CZ"/>
              </w:rPr>
              <w:t>11,3</w:t>
            </w:r>
          </w:p>
        </w:tc>
        <w:tc>
          <w:tcPr>
            <w:tcW w:w="655" w:type="dxa"/>
            <w:noWrap/>
            <w:vAlign w:val="center"/>
          </w:tcPr>
          <w:p w:rsidR="009D46E6" w:rsidRPr="00DB1559" w:rsidRDefault="009D46E6" w:rsidP="00DB1559">
            <w:pPr>
              <w:spacing w:after="0"/>
              <w:jc w:val="right"/>
              <w:rPr>
                <w:sz w:val="15"/>
                <w:szCs w:val="15"/>
                <w:lang w:eastAsia="cs-CZ"/>
              </w:rPr>
            </w:pPr>
            <w:r w:rsidRPr="00DB1559">
              <w:rPr>
                <w:sz w:val="15"/>
                <w:szCs w:val="15"/>
                <w:lang w:eastAsia="cs-CZ"/>
              </w:rPr>
              <w:t>11,8</w:t>
            </w:r>
          </w:p>
        </w:tc>
        <w:tc>
          <w:tcPr>
            <w:tcW w:w="656" w:type="dxa"/>
            <w:noWrap/>
            <w:vAlign w:val="center"/>
          </w:tcPr>
          <w:p w:rsidR="009D46E6" w:rsidRPr="00DB1559" w:rsidRDefault="009D46E6" w:rsidP="00DB1559">
            <w:pPr>
              <w:spacing w:after="0"/>
              <w:jc w:val="right"/>
              <w:rPr>
                <w:sz w:val="15"/>
                <w:szCs w:val="15"/>
                <w:lang w:eastAsia="cs-CZ"/>
              </w:rPr>
            </w:pPr>
            <w:r w:rsidRPr="00DB1559">
              <w:rPr>
                <w:sz w:val="15"/>
                <w:szCs w:val="15"/>
                <w:lang w:eastAsia="cs-CZ"/>
              </w:rPr>
              <w:t>0,1</w:t>
            </w:r>
          </w:p>
        </w:tc>
        <w:tc>
          <w:tcPr>
            <w:tcW w:w="656" w:type="dxa"/>
            <w:noWrap/>
            <w:vAlign w:val="center"/>
          </w:tcPr>
          <w:p w:rsidR="009D46E6" w:rsidRPr="00DB1559" w:rsidRDefault="009D46E6" w:rsidP="00DB1559">
            <w:pPr>
              <w:spacing w:after="0"/>
              <w:jc w:val="right"/>
              <w:rPr>
                <w:sz w:val="15"/>
                <w:szCs w:val="15"/>
                <w:lang w:eastAsia="cs-CZ"/>
              </w:rPr>
            </w:pPr>
            <w:r w:rsidRPr="00DB1559">
              <w:rPr>
                <w:sz w:val="15"/>
                <w:szCs w:val="15"/>
                <w:lang w:eastAsia="cs-CZ"/>
              </w:rPr>
              <w:t>12,3</w:t>
            </w:r>
          </w:p>
        </w:tc>
        <w:tc>
          <w:tcPr>
            <w:tcW w:w="656" w:type="dxa"/>
            <w:noWrap/>
            <w:vAlign w:val="center"/>
          </w:tcPr>
          <w:p w:rsidR="009D46E6" w:rsidRPr="00DB1559" w:rsidRDefault="009D46E6" w:rsidP="00DB1559">
            <w:pPr>
              <w:spacing w:after="0"/>
              <w:jc w:val="right"/>
              <w:rPr>
                <w:sz w:val="15"/>
                <w:szCs w:val="15"/>
                <w:lang w:eastAsia="cs-CZ"/>
              </w:rPr>
            </w:pPr>
            <w:r w:rsidRPr="00DB1559">
              <w:rPr>
                <w:sz w:val="15"/>
                <w:szCs w:val="15"/>
                <w:lang w:eastAsia="cs-CZ"/>
              </w:rPr>
              <w:t>-1,8</w:t>
            </w:r>
          </w:p>
        </w:tc>
        <w:tc>
          <w:tcPr>
            <w:tcW w:w="656" w:type="dxa"/>
            <w:noWrap/>
            <w:vAlign w:val="center"/>
          </w:tcPr>
          <w:p w:rsidR="009D46E6" w:rsidRPr="00DB1559" w:rsidRDefault="009D46E6" w:rsidP="00DB1559">
            <w:pPr>
              <w:spacing w:after="0"/>
              <w:jc w:val="right"/>
              <w:rPr>
                <w:sz w:val="15"/>
                <w:szCs w:val="15"/>
                <w:lang w:eastAsia="cs-CZ"/>
              </w:rPr>
            </w:pPr>
            <w:r w:rsidRPr="00DB1559">
              <w:rPr>
                <w:sz w:val="15"/>
                <w:szCs w:val="15"/>
                <w:lang w:eastAsia="cs-CZ"/>
              </w:rPr>
              <w:t>14,1</w:t>
            </w:r>
          </w:p>
        </w:tc>
        <w:tc>
          <w:tcPr>
            <w:tcW w:w="656" w:type="dxa"/>
            <w:noWrap/>
            <w:vAlign w:val="center"/>
          </w:tcPr>
          <w:p w:rsidR="009D46E6" w:rsidRPr="00DB1559" w:rsidRDefault="009D46E6" w:rsidP="00DB1559">
            <w:pPr>
              <w:spacing w:after="0"/>
              <w:jc w:val="right"/>
              <w:rPr>
                <w:sz w:val="15"/>
                <w:szCs w:val="15"/>
                <w:lang w:eastAsia="cs-CZ"/>
              </w:rPr>
            </w:pPr>
            <w:r w:rsidRPr="00DB1559">
              <w:rPr>
                <w:sz w:val="15"/>
                <w:szCs w:val="15"/>
                <w:lang w:eastAsia="cs-CZ"/>
              </w:rPr>
              <w:t>1,5</w:t>
            </w:r>
          </w:p>
        </w:tc>
      </w:tr>
      <w:tr w:rsidR="009D46E6" w:rsidRPr="00DB1559" w:rsidTr="00DB1559">
        <w:trPr>
          <w:trHeight w:val="283"/>
          <w:jc w:val="center"/>
        </w:trPr>
        <w:tc>
          <w:tcPr>
            <w:tcW w:w="1764" w:type="dxa"/>
            <w:tcBorders>
              <w:left w:val="nil"/>
              <w:bottom w:val="single" w:sz="18" w:space="0" w:color="auto"/>
              <w:right w:val="nil"/>
            </w:tcBorders>
            <w:shd w:val="clear" w:color="auto" w:fill="4F81BD"/>
            <w:noWrap/>
            <w:vAlign w:val="center"/>
          </w:tcPr>
          <w:p w:rsidR="009D46E6" w:rsidRPr="00DB1559" w:rsidRDefault="009D46E6" w:rsidP="00DB1559">
            <w:pPr>
              <w:spacing w:after="0" w:line="240" w:lineRule="auto"/>
              <w:jc w:val="center"/>
              <w:rPr>
                <w:rFonts w:cs="Arial"/>
                <w:b/>
                <w:bCs/>
                <w:color w:val="FFFFFF"/>
                <w:sz w:val="15"/>
                <w:szCs w:val="15"/>
                <w:highlight w:val="yellow"/>
                <w:lang w:eastAsia="cs-CZ"/>
              </w:rPr>
            </w:pPr>
            <w:r w:rsidRPr="00DB1559">
              <w:rPr>
                <w:rFonts w:cs="Arial"/>
                <w:b/>
                <w:bCs/>
                <w:color w:val="FFFFFF"/>
                <w:sz w:val="15"/>
                <w:szCs w:val="15"/>
                <w:lang w:eastAsia="cs-CZ"/>
              </w:rPr>
              <w:t>% ve s.c. roku 2005</w:t>
            </w:r>
          </w:p>
        </w:tc>
        <w:tc>
          <w:tcPr>
            <w:tcW w:w="656" w:type="dxa"/>
            <w:tcBorders>
              <w:bottom w:val="single" w:sz="18" w:space="0" w:color="auto"/>
            </w:tcBorders>
            <w:shd w:val="clear" w:color="auto" w:fill="D8D8D8"/>
            <w:noWrap/>
            <w:vAlign w:val="center"/>
          </w:tcPr>
          <w:p w:rsidR="009D46E6" w:rsidRPr="00DB1559" w:rsidRDefault="009D46E6" w:rsidP="00DB1559">
            <w:pPr>
              <w:spacing w:after="0"/>
              <w:jc w:val="right"/>
              <w:rPr>
                <w:sz w:val="15"/>
                <w:szCs w:val="15"/>
                <w:lang w:eastAsia="cs-CZ"/>
              </w:rPr>
            </w:pPr>
            <w:r w:rsidRPr="00DB1559">
              <w:rPr>
                <w:sz w:val="15"/>
                <w:szCs w:val="15"/>
                <w:lang w:eastAsia="cs-CZ"/>
              </w:rPr>
              <w:t>1,3</w:t>
            </w:r>
          </w:p>
        </w:tc>
        <w:tc>
          <w:tcPr>
            <w:tcW w:w="657" w:type="dxa"/>
            <w:tcBorders>
              <w:bottom w:val="single" w:sz="18" w:space="0" w:color="auto"/>
            </w:tcBorders>
            <w:shd w:val="clear" w:color="auto" w:fill="D8D8D8"/>
            <w:noWrap/>
            <w:vAlign w:val="center"/>
          </w:tcPr>
          <w:p w:rsidR="009D46E6" w:rsidRPr="00DB1559" w:rsidRDefault="009D46E6" w:rsidP="00DB1559">
            <w:pPr>
              <w:spacing w:after="0"/>
              <w:jc w:val="right"/>
              <w:rPr>
                <w:sz w:val="15"/>
                <w:szCs w:val="15"/>
                <w:lang w:eastAsia="cs-CZ"/>
              </w:rPr>
            </w:pPr>
            <w:r w:rsidRPr="00DB1559">
              <w:rPr>
                <w:sz w:val="15"/>
                <w:szCs w:val="15"/>
                <w:lang w:eastAsia="cs-CZ"/>
              </w:rPr>
              <w:t>-5,2</w:t>
            </w:r>
          </w:p>
        </w:tc>
        <w:tc>
          <w:tcPr>
            <w:tcW w:w="657" w:type="dxa"/>
            <w:tcBorders>
              <w:bottom w:val="single" w:sz="18" w:space="0" w:color="auto"/>
            </w:tcBorders>
            <w:shd w:val="clear" w:color="auto" w:fill="D8D8D8"/>
            <w:noWrap/>
            <w:vAlign w:val="center"/>
          </w:tcPr>
          <w:p w:rsidR="009D46E6" w:rsidRPr="00DB1559" w:rsidRDefault="009D46E6" w:rsidP="00DB1559">
            <w:pPr>
              <w:spacing w:after="0"/>
              <w:jc w:val="right"/>
              <w:rPr>
                <w:sz w:val="15"/>
                <w:szCs w:val="15"/>
                <w:lang w:eastAsia="cs-CZ"/>
              </w:rPr>
            </w:pPr>
            <w:r w:rsidRPr="00DB1559">
              <w:rPr>
                <w:sz w:val="15"/>
                <w:szCs w:val="15"/>
                <w:lang w:eastAsia="cs-CZ"/>
              </w:rPr>
              <w:t>8,4</w:t>
            </w:r>
          </w:p>
        </w:tc>
        <w:tc>
          <w:tcPr>
            <w:tcW w:w="657" w:type="dxa"/>
            <w:tcBorders>
              <w:bottom w:val="single" w:sz="18" w:space="0" w:color="auto"/>
            </w:tcBorders>
            <w:shd w:val="clear" w:color="auto" w:fill="D8D8D8"/>
            <w:noWrap/>
            <w:vAlign w:val="center"/>
          </w:tcPr>
          <w:p w:rsidR="009D46E6" w:rsidRPr="00DB1559" w:rsidRDefault="009D46E6" w:rsidP="00DB1559">
            <w:pPr>
              <w:spacing w:after="0"/>
              <w:jc w:val="right"/>
              <w:rPr>
                <w:sz w:val="15"/>
                <w:szCs w:val="15"/>
                <w:lang w:eastAsia="cs-CZ"/>
              </w:rPr>
            </w:pPr>
            <w:r w:rsidRPr="00DB1559">
              <w:rPr>
                <w:sz w:val="15"/>
                <w:szCs w:val="15"/>
                <w:lang w:eastAsia="cs-CZ"/>
              </w:rPr>
              <w:t>1,5</w:t>
            </w:r>
          </w:p>
        </w:tc>
        <w:tc>
          <w:tcPr>
            <w:tcW w:w="657" w:type="dxa"/>
            <w:tcBorders>
              <w:bottom w:val="single" w:sz="18" w:space="0" w:color="auto"/>
            </w:tcBorders>
            <w:shd w:val="clear" w:color="auto" w:fill="D8D8D8"/>
            <w:noWrap/>
            <w:vAlign w:val="center"/>
          </w:tcPr>
          <w:p w:rsidR="009D46E6" w:rsidRPr="00DB1559" w:rsidRDefault="009D46E6" w:rsidP="00DB1559">
            <w:pPr>
              <w:spacing w:after="0"/>
              <w:jc w:val="right"/>
              <w:rPr>
                <w:sz w:val="15"/>
                <w:szCs w:val="15"/>
                <w:lang w:eastAsia="cs-CZ"/>
              </w:rPr>
            </w:pPr>
            <w:r w:rsidRPr="00DB1559">
              <w:rPr>
                <w:sz w:val="15"/>
                <w:szCs w:val="15"/>
                <w:lang w:eastAsia="cs-CZ"/>
              </w:rPr>
              <w:t>16,4</w:t>
            </w:r>
          </w:p>
        </w:tc>
        <w:tc>
          <w:tcPr>
            <w:tcW w:w="656" w:type="dxa"/>
            <w:tcBorders>
              <w:bottom w:val="single" w:sz="18" w:space="0" w:color="auto"/>
            </w:tcBorders>
            <w:shd w:val="clear" w:color="auto" w:fill="D8D8D8"/>
            <w:noWrap/>
            <w:vAlign w:val="center"/>
          </w:tcPr>
          <w:p w:rsidR="009D46E6" w:rsidRPr="00DB1559" w:rsidRDefault="009D46E6" w:rsidP="00DB1559">
            <w:pPr>
              <w:spacing w:after="0"/>
              <w:jc w:val="right"/>
              <w:rPr>
                <w:sz w:val="15"/>
                <w:szCs w:val="15"/>
                <w:lang w:eastAsia="cs-CZ"/>
              </w:rPr>
            </w:pPr>
            <w:r w:rsidRPr="00DB1559">
              <w:rPr>
                <w:sz w:val="15"/>
                <w:szCs w:val="15"/>
                <w:lang w:eastAsia="cs-CZ"/>
              </w:rPr>
              <w:t>10,8</w:t>
            </w:r>
          </w:p>
        </w:tc>
        <w:tc>
          <w:tcPr>
            <w:tcW w:w="655" w:type="dxa"/>
            <w:tcBorders>
              <w:bottom w:val="single" w:sz="18" w:space="0" w:color="auto"/>
            </w:tcBorders>
            <w:shd w:val="clear" w:color="auto" w:fill="D8D8D8"/>
            <w:noWrap/>
            <w:vAlign w:val="center"/>
          </w:tcPr>
          <w:p w:rsidR="009D46E6" w:rsidRPr="00DB1559" w:rsidRDefault="009D46E6" w:rsidP="00DB1559">
            <w:pPr>
              <w:spacing w:after="0"/>
              <w:jc w:val="right"/>
              <w:rPr>
                <w:sz w:val="15"/>
                <w:szCs w:val="15"/>
                <w:lang w:eastAsia="cs-CZ"/>
              </w:rPr>
            </w:pPr>
            <w:r w:rsidRPr="00DB1559">
              <w:rPr>
                <w:sz w:val="15"/>
                <w:szCs w:val="15"/>
                <w:lang w:eastAsia="cs-CZ"/>
              </w:rPr>
              <w:t>8,2</w:t>
            </w:r>
          </w:p>
        </w:tc>
        <w:tc>
          <w:tcPr>
            <w:tcW w:w="656" w:type="dxa"/>
            <w:tcBorders>
              <w:bottom w:val="single" w:sz="18" w:space="0" w:color="auto"/>
            </w:tcBorders>
            <w:shd w:val="clear" w:color="auto" w:fill="D8D8D8"/>
            <w:noWrap/>
            <w:vAlign w:val="center"/>
          </w:tcPr>
          <w:p w:rsidR="009D46E6" w:rsidRPr="00DB1559" w:rsidRDefault="009D46E6" w:rsidP="00DB1559">
            <w:pPr>
              <w:spacing w:after="0"/>
              <w:jc w:val="right"/>
              <w:rPr>
                <w:sz w:val="15"/>
                <w:szCs w:val="15"/>
                <w:lang w:eastAsia="cs-CZ"/>
              </w:rPr>
            </w:pPr>
            <w:r w:rsidRPr="00DB1559">
              <w:rPr>
                <w:sz w:val="15"/>
                <w:szCs w:val="15"/>
                <w:lang w:eastAsia="cs-CZ"/>
              </w:rPr>
              <w:t>-1,8</w:t>
            </w:r>
          </w:p>
        </w:tc>
        <w:tc>
          <w:tcPr>
            <w:tcW w:w="656" w:type="dxa"/>
            <w:tcBorders>
              <w:bottom w:val="single" w:sz="18" w:space="0" w:color="auto"/>
            </w:tcBorders>
            <w:shd w:val="clear" w:color="auto" w:fill="D8D8D8"/>
            <w:noWrap/>
            <w:vAlign w:val="center"/>
          </w:tcPr>
          <w:p w:rsidR="009D46E6" w:rsidRPr="00DB1559" w:rsidRDefault="009D46E6" w:rsidP="00DB1559">
            <w:pPr>
              <w:spacing w:after="0"/>
              <w:jc w:val="right"/>
              <w:rPr>
                <w:sz w:val="15"/>
                <w:szCs w:val="15"/>
                <w:lang w:eastAsia="cs-CZ"/>
              </w:rPr>
            </w:pPr>
            <w:r w:rsidRPr="00DB1559">
              <w:rPr>
                <w:sz w:val="15"/>
                <w:szCs w:val="15"/>
                <w:lang w:eastAsia="cs-CZ"/>
              </w:rPr>
              <w:t>9,8</w:t>
            </w:r>
          </w:p>
        </w:tc>
        <w:tc>
          <w:tcPr>
            <w:tcW w:w="656" w:type="dxa"/>
            <w:tcBorders>
              <w:bottom w:val="single" w:sz="18" w:space="0" w:color="auto"/>
            </w:tcBorders>
            <w:shd w:val="clear" w:color="auto" w:fill="D8D8D8"/>
            <w:noWrap/>
            <w:vAlign w:val="center"/>
          </w:tcPr>
          <w:p w:rsidR="009D46E6" w:rsidRPr="00DB1559" w:rsidRDefault="009D46E6" w:rsidP="00DB1559">
            <w:pPr>
              <w:spacing w:after="0"/>
              <w:jc w:val="right"/>
              <w:rPr>
                <w:sz w:val="15"/>
                <w:szCs w:val="15"/>
                <w:lang w:eastAsia="cs-CZ"/>
              </w:rPr>
            </w:pPr>
            <w:r w:rsidRPr="00DB1559">
              <w:rPr>
                <w:sz w:val="15"/>
                <w:szCs w:val="15"/>
                <w:lang w:eastAsia="cs-CZ"/>
              </w:rPr>
              <w:t>-0,2</w:t>
            </w:r>
          </w:p>
        </w:tc>
        <w:tc>
          <w:tcPr>
            <w:tcW w:w="656" w:type="dxa"/>
            <w:tcBorders>
              <w:bottom w:val="single" w:sz="18" w:space="0" w:color="auto"/>
            </w:tcBorders>
            <w:shd w:val="clear" w:color="auto" w:fill="D8D8D8"/>
            <w:noWrap/>
            <w:vAlign w:val="center"/>
          </w:tcPr>
          <w:p w:rsidR="009D46E6" w:rsidRPr="00DB1559" w:rsidRDefault="009D46E6" w:rsidP="00DB1559">
            <w:pPr>
              <w:spacing w:after="0"/>
              <w:jc w:val="right"/>
              <w:rPr>
                <w:sz w:val="15"/>
                <w:szCs w:val="15"/>
                <w:lang w:eastAsia="cs-CZ"/>
              </w:rPr>
            </w:pPr>
            <w:r w:rsidRPr="00DB1559">
              <w:rPr>
                <w:sz w:val="15"/>
                <w:szCs w:val="15"/>
                <w:lang w:eastAsia="cs-CZ"/>
              </w:rPr>
              <w:t>15,1</w:t>
            </w:r>
          </w:p>
        </w:tc>
        <w:tc>
          <w:tcPr>
            <w:tcW w:w="656" w:type="dxa"/>
            <w:tcBorders>
              <w:bottom w:val="single" w:sz="18" w:space="0" w:color="auto"/>
            </w:tcBorders>
            <w:shd w:val="clear" w:color="auto" w:fill="D8D8D8"/>
            <w:noWrap/>
            <w:vAlign w:val="center"/>
          </w:tcPr>
          <w:p w:rsidR="009D46E6" w:rsidRPr="00DB1559" w:rsidRDefault="009D46E6" w:rsidP="00DB1559">
            <w:pPr>
              <w:spacing w:after="0"/>
              <w:jc w:val="right"/>
              <w:rPr>
                <w:sz w:val="15"/>
                <w:szCs w:val="15"/>
                <w:lang w:eastAsia="cs-CZ"/>
              </w:rPr>
            </w:pPr>
            <w:r w:rsidRPr="00DB1559">
              <w:rPr>
                <w:sz w:val="15"/>
                <w:szCs w:val="15"/>
                <w:lang w:eastAsia="cs-CZ"/>
              </w:rPr>
              <w:t>0,0</w:t>
            </w:r>
          </w:p>
        </w:tc>
      </w:tr>
    </w:tbl>
    <w:p w:rsidR="009D46E6" w:rsidRDefault="009D46E6" w:rsidP="00546662">
      <w:pPr>
        <w:pStyle w:val="Zdroj"/>
      </w:pPr>
      <w:r>
        <w:t xml:space="preserve">Zdroj: Český statistický úřad 2013 podle údajů ze Státního závěrečného účtu ČR, Kapitola VaV (MF ČR) </w:t>
      </w:r>
    </w:p>
    <w:p w:rsidR="009D46E6" w:rsidRDefault="009D46E6" w:rsidP="00546662"/>
    <w:p w:rsidR="009D46E6" w:rsidRPr="00CF3210" w:rsidRDefault="009D46E6" w:rsidP="0042790F">
      <w:pPr>
        <w:pStyle w:val="Heading4"/>
      </w:pPr>
      <w:r w:rsidRPr="00CF3210">
        <w:t>Mezinárodní srovnání</w:t>
      </w:r>
    </w:p>
    <w:p w:rsidR="009D46E6" w:rsidRDefault="009D46E6" w:rsidP="00546662">
      <w:r>
        <w:t>Česká republika patří mezi země s vyšším podílem veřejných zdrojů ve financování VaV. Podíl veřejných zdrojů na celkových výdajích na VaV (GERD) v roce 2011 činil téměř 42 %, což je přibližně o šest procentních bodů více než v průměru zemí EU28, kde se veřejné zdroje v roce 2010 podílely přibližně na 35 % celkových výdajů na VaV. Podíl veřejných zdrojů ve financování VaV však v ČR v posledních letech pozvolna klesá.</w:t>
      </w:r>
    </w:p>
    <w:p w:rsidR="009D46E6" w:rsidRDefault="009D46E6" w:rsidP="00750D9B">
      <w:pPr>
        <w:pStyle w:val="Caption"/>
      </w:pPr>
      <w:bookmarkStart w:id="77" w:name="_Toc340128710"/>
      <w:bookmarkStart w:id="78" w:name="_Toc369091993"/>
      <w:r w:rsidRPr="000A5A97">
        <w:t xml:space="preserve">Graf </w:t>
      </w:r>
      <w:fldSimple w:instr=" STYLEREF 1 \s ">
        <w:r>
          <w:rPr>
            <w:noProof/>
          </w:rPr>
          <w:t>A</w:t>
        </w:r>
      </w:fldSimple>
      <w:r w:rsidRPr="000A5A97">
        <w:t>.</w:t>
      </w:r>
      <w:fldSimple w:instr=" SEQ Graf \* ARABIC \s 1 ">
        <w:r>
          <w:rPr>
            <w:noProof/>
          </w:rPr>
          <w:t>32</w:t>
        </w:r>
      </w:fldSimple>
      <w:r w:rsidRPr="000A5A97">
        <w:t>: Podíl veřejných zdrojů na financování VaV provedeném v daném státě (% GERD)</w:t>
      </w:r>
      <w:bookmarkEnd w:id="77"/>
      <w:bookmarkEnd w:id="78"/>
    </w:p>
    <w:p w:rsidR="009D46E6" w:rsidRDefault="009D46E6" w:rsidP="001D7F37">
      <w:pPr>
        <w:pStyle w:val="Objekt"/>
      </w:pPr>
      <w:r w:rsidRPr="001D1D98">
        <w:pict>
          <v:shape id="Graf 16" o:spid="_x0000_i1103" type="#_x0000_t75" style="width:471.6pt;height:199.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JcPZe3AAAAAUBAAAPAAAAZHJzL2Rvd25y&#10;ZXYueG1sTI9NS8QwEIbvgv8hjOBF3FR3KWttuoiyiAhC9+OebcammExKk+1Wf72jF70MDO/LM8+U&#10;q8k7MeIQu0AKbmYZCKQmmI5aBbvt+noJIiZNRrtAqOATI6yq87NSFyacqMZxk1rBEIqFVmBT6gsp&#10;Y2PR6zgLPRJn72HwOvE6tNIM+sRw7+RtluXS6474gtU9PlpsPjZHz5R6dOtFLb/eXl739mqLz2P/&#10;NFfq8mJ6uAeRcEp/ZfjRZ3Wo2OkQjmSicAr4kfQ7ObvL5zmIg4JFli9BVqX8b199Aw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">
            <v:imagedata r:id="rId90" o:title="" croptop="-795f" cropbottom="-1027f" cropleft="-2185f" cropright="-826f"/>
            <o:lock v:ext="edit" aspectratio="f"/>
          </v:shape>
        </w:pict>
      </w:r>
    </w:p>
    <w:p w:rsidR="009D46E6" w:rsidRDefault="009D46E6" w:rsidP="00546662">
      <w:pPr>
        <w:pStyle w:val="Zdroj"/>
      </w:pPr>
      <w:r>
        <w:t>Pozn.: EU28, Francie, Itálie, Německo, Portugalsko, Španělsko: 2010, Belgie, Nizozemsko: 2009; Švýcarsko: 2004. Aktuální data pro Řecko a Švýcarsko nejsou dostupná.</w:t>
      </w:r>
    </w:p>
    <w:p w:rsidR="009D46E6" w:rsidRDefault="009D46E6" w:rsidP="00546662">
      <w:pPr>
        <w:pStyle w:val="Zdroj"/>
      </w:pPr>
      <w:r>
        <w:t xml:space="preserve">Zdroj: </w:t>
      </w:r>
      <w:r w:rsidRPr="0085331E">
        <w:t xml:space="preserve">Zdroj: </w:t>
      </w:r>
      <w:r>
        <w:t>OECD</w:t>
      </w:r>
      <w:r w:rsidRPr="0085331E">
        <w:t xml:space="preserve"> </w:t>
      </w:r>
      <w:r>
        <w:t>(</w:t>
      </w:r>
      <w:r w:rsidRPr="0085331E">
        <w:t>MSTI 2013/1</w:t>
      </w:r>
      <w:r>
        <w:t xml:space="preserve">), </w:t>
      </w:r>
      <w:r w:rsidRPr="0085331E">
        <w:t xml:space="preserve">Eurostat </w:t>
      </w:r>
      <w:r>
        <w:t>(</w:t>
      </w:r>
      <w:r w:rsidRPr="0085331E">
        <w:t>srpen 2013) a vlastní dopočt</w:t>
      </w:r>
      <w:r>
        <w:t xml:space="preserve">y ČSÚ </w:t>
      </w:r>
    </w:p>
    <w:p w:rsidR="009D46E6" w:rsidRPr="00B94036" w:rsidRDefault="009D46E6" w:rsidP="00546662">
      <w:r>
        <w:t xml:space="preserve">V zemích EU patří mezi země s vyšším podílem veřejných zdrojů především jižní a nové členské státy, jako je například Španělsko, Portugalsko, Itálie, Rumunsko, Slovensko a zejména Polsko, kde v roce 2011 podíl veřejných zdrojů ve financování VaV přesáhl 55 %. Vyšší podíl veřejných zdrojů ve financování VaV byl pouze v Rusku, kde se v roce 2011 veřejné zdroje podílely přibližně na dvou třetinách celkových výdajů na VaV. </w:t>
      </w:r>
      <w:r w:rsidRPr="00B94036">
        <w:t xml:space="preserve">Naopak poměrně nízký podíl veřejných zdrojů </w:t>
      </w:r>
      <w:r>
        <w:t>ve</w:t>
      </w:r>
      <w:r w:rsidRPr="00B94036">
        <w:t xml:space="preserve"> financování VaV je v</w:t>
      </w:r>
      <w:r>
        <w:t xml:space="preserve">e skandinávských </w:t>
      </w:r>
      <w:r w:rsidRPr="00B94036">
        <w:t xml:space="preserve">zemích (zejména ve Finsku), a dále v Belgii, Irsku a Německu. Nízký podíl veřejných zdrojů </w:t>
      </w:r>
      <w:r>
        <w:t>ve</w:t>
      </w:r>
      <w:r w:rsidRPr="00B94036">
        <w:t xml:space="preserve"> financování VaV je také v</w:t>
      </w:r>
      <w:r>
        <w:t xml:space="preserve"> některých </w:t>
      </w:r>
      <w:r w:rsidRPr="00B94036">
        <w:t>asijských státech OECD, Číně a Švýcarsku.</w:t>
      </w:r>
    </w:p>
    <w:p w:rsidR="009D46E6" w:rsidRDefault="009D46E6" w:rsidP="00546662">
      <w:r w:rsidRPr="00DC642F">
        <w:t xml:space="preserve">Veřejné výdaje na VaV v průměru EU28 v roce 2010 (poslední dostupný údaj) </w:t>
      </w:r>
      <w:r>
        <w:t>dosáhly úrovně</w:t>
      </w:r>
      <w:r w:rsidRPr="00DC642F">
        <w:t xml:space="preserve"> 0,72 % HDP. Nejvyšší podíl veřejných výdajů na VaV k HDP je v rámci EU28 především ve skandinávských zemích, Německu a překvapivě i v</w:t>
      </w:r>
      <w:r>
        <w:t> </w:t>
      </w:r>
      <w:r w:rsidRPr="00DC642F">
        <w:t>Portugalsku</w:t>
      </w:r>
      <w:r>
        <w:t xml:space="preserve">. Veřejné výdaje na VaV přesáhly 1 % HDP ve Finsku, Portugalsku a Dánsku, a také v Koreji a ve Spojených státech. Vysoký podíl veřejných výdajů k HDP je také v Japonsku a ve Švýcarsku, a to přesto, že </w:t>
      </w:r>
      <w:r w:rsidRPr="00E559D5">
        <w:t>podíl veřejných zdrojů v celkových výdajích na VaV je v těchto zemích poměrně nízký.</w:t>
      </w:r>
    </w:p>
    <w:p w:rsidR="009D46E6" w:rsidRDefault="009D46E6" w:rsidP="00546662">
      <w:pPr>
        <w:rPr>
          <w:color w:val="808080"/>
        </w:rPr>
      </w:pPr>
      <w:r>
        <w:t>ČR</w:t>
      </w:r>
      <w:r w:rsidRPr="00DC642F">
        <w:t xml:space="preserve"> se s podílem veřejných výdajů </w:t>
      </w:r>
      <w:r>
        <w:t xml:space="preserve">na HDP </w:t>
      </w:r>
      <w:r w:rsidRPr="00DC642F">
        <w:t xml:space="preserve">ve výši 0,67 % (údaj z roku 2011) nachází mírně pod evropským průměrem. </w:t>
      </w:r>
      <w:r>
        <w:t xml:space="preserve">I když ČR v tomto ukazateli převyšuje většinu nových členských států EU i některé původní země EU, jako je například Irsko, Itálie, Spojené království či Belgie, stále značně zaostává především za skandinávskými zeměmi, Německem, Portugalskem, a z nových členských států EU i za Estonskem. Veřejné výdaje na VaV vyjádřené jako podíl na HDP však v ČR v posledních letech mírně rostou. </w:t>
      </w:r>
    </w:p>
    <w:p w:rsidR="009D46E6" w:rsidRDefault="009D46E6" w:rsidP="00750D9B">
      <w:pPr>
        <w:pStyle w:val="Caption"/>
      </w:pPr>
      <w:bookmarkStart w:id="79" w:name="_Toc340128711"/>
      <w:bookmarkStart w:id="80" w:name="_Toc369091994"/>
      <w:r w:rsidRPr="000A5A97">
        <w:t xml:space="preserve">Graf </w:t>
      </w:r>
      <w:fldSimple w:instr=" STYLEREF 1 \s ">
        <w:r>
          <w:rPr>
            <w:noProof/>
          </w:rPr>
          <w:t>A</w:t>
        </w:r>
      </w:fldSimple>
      <w:r w:rsidRPr="000A5A97">
        <w:t>.</w:t>
      </w:r>
      <w:fldSimple w:instr=" SEQ Graf \* ARABIC \s 1 ">
        <w:r>
          <w:rPr>
            <w:noProof/>
          </w:rPr>
          <w:t>33</w:t>
        </w:r>
      </w:fldSimple>
      <w:r w:rsidRPr="000A5A97">
        <w:t>: Intenzita veřejných výdajů na VaV (GBAORD jako % HDP)</w:t>
      </w:r>
      <w:bookmarkEnd w:id="79"/>
      <w:bookmarkEnd w:id="80"/>
    </w:p>
    <w:p w:rsidR="009D46E6" w:rsidRDefault="009D46E6" w:rsidP="001D7F37">
      <w:pPr>
        <w:pStyle w:val="Objekt"/>
      </w:pPr>
      <w:r w:rsidRPr="001D1D98">
        <w:pict>
          <v:shape id="Graf 4" o:spid="_x0000_i1104" type="#_x0000_t75" style="width:482.4pt;height:194.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oNlZY2gAAAAUBAAAPAAAAZHJzL2Rvd25y&#10;ZXYueG1sTI9PS8NAEMXvgt9hGcGb3diUEtNsShCkeNMoeJ1kp0no/gnZTZt+e0cvenkwvOG93yv2&#10;izXiTFMYvFPwuEpAkGu9Hlyn4PPj5SEDESI6jcY7UnClAPvy9qbAXPuLe6dzHTvBIS7kqKCPccyl&#10;DG1PFsPKj+TYO/rJYuRz6qSe8MLh1sh1kmylxcFxQ48jPffUnurZKjjRbF6r9SFt3766tNo0V8RD&#10;rdT93VLtQERa4t8z/OAzOpTM1PjZ6SCMAh4Sf5W9p+2GZzQK0izLQJaF/E9ffgM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">
            <v:imagedata r:id="rId91" o:title="" croptop="-3504f" cropbottom="-1880f" cropleft="-1215f" cropright="-990f"/>
            <o:lock v:ext="edit" aspectratio="f"/>
          </v:shape>
        </w:pict>
      </w:r>
    </w:p>
    <w:p w:rsidR="009D46E6" w:rsidRDefault="009D46E6" w:rsidP="00546662">
      <w:pPr>
        <w:pStyle w:val="Zdroj"/>
      </w:pPr>
      <w:r>
        <w:t>Pozn.: Spojené státy, Korea, Švýcarsko a Rusko: 2010</w:t>
      </w:r>
    </w:p>
    <w:p w:rsidR="009D46E6" w:rsidRDefault="009D46E6" w:rsidP="00546662">
      <w:pPr>
        <w:pStyle w:val="Zdroj"/>
      </w:pPr>
      <w:r>
        <w:t xml:space="preserve">Zdroj: OECD </w:t>
      </w:r>
      <w:r w:rsidRPr="00331587">
        <w:t>MSTI 2013/1</w:t>
      </w:r>
      <w:r>
        <w:t>,</w:t>
      </w:r>
      <w:r w:rsidRPr="00331587">
        <w:t xml:space="preserve"> Eurosta</w:t>
      </w:r>
      <w:r>
        <w:t>t (</w:t>
      </w:r>
      <w:r w:rsidRPr="00331587">
        <w:t>září 2013) a vlastní dopočt</w:t>
      </w:r>
      <w:r>
        <w:t>y ČSÚ</w:t>
      </w:r>
    </w:p>
    <w:p w:rsidR="009D46E6" w:rsidRDefault="009D46E6" w:rsidP="00546662"/>
    <w:p w:rsidR="009D46E6" w:rsidRPr="00F21922" w:rsidRDefault="009D46E6" w:rsidP="00546662">
      <w:r>
        <w:t>C</w:t>
      </w:r>
      <w:r w:rsidRPr="00F21922">
        <w:t xml:space="preserve">elkové státní rozpočtové výdaje a dotace na VaV (GBAORD) </w:t>
      </w:r>
      <w:r>
        <w:t>v</w:t>
      </w:r>
      <w:r w:rsidRPr="00F21922">
        <w:t xml:space="preserve"> roce 2011 v zemích EU</w:t>
      </w:r>
      <w:r>
        <w:t>28</w:t>
      </w:r>
      <w:r w:rsidRPr="00F21922">
        <w:t xml:space="preserve"> dosáhly 91,5</w:t>
      </w:r>
      <w:r>
        <w:t> </w:t>
      </w:r>
      <w:r w:rsidRPr="00F21922">
        <w:t xml:space="preserve">mld. Eur, </w:t>
      </w:r>
      <w:r>
        <w:t xml:space="preserve">což </w:t>
      </w:r>
      <w:r w:rsidRPr="00F21922">
        <w:t>j</w:t>
      </w:r>
      <w:r>
        <w:t>e</w:t>
      </w:r>
      <w:r w:rsidRPr="00F21922">
        <w:t xml:space="preserve"> o 1,2 mld. Eur méně než v roce 2010 (pokles přibližně o 1,3 %). Na více než polovině státních výdajů na VaV se podílely tři státy - Německo, Francie a Spojené království. V</w:t>
      </w:r>
      <w:r>
        <w:t> ČR</w:t>
      </w:r>
      <w:r w:rsidRPr="00F21922">
        <w:t xml:space="preserve"> se v roce 2011 státní rozpočtové výdaje a dotace na VaV zvýšily oproti roku 2010 přibližně o 150 mil. Eur a přesáhly hranici 1 mld.</w:t>
      </w:r>
      <w:r>
        <w:t> </w:t>
      </w:r>
      <w:r w:rsidRPr="00F21922">
        <w:t xml:space="preserve">Eur, což je více než 1 % celkových státních rozpočtových výdajů EU28. </w:t>
      </w:r>
      <w:r>
        <w:t>I</w:t>
      </w:r>
      <w:r w:rsidRPr="00F21922">
        <w:t xml:space="preserve"> přes tento nárůst státní rozpočtové výdaje na VaV nedosahují ani poloviční hodnoty </w:t>
      </w:r>
      <w:r>
        <w:t xml:space="preserve">státních výdajů na VaV v </w:t>
      </w:r>
      <w:r w:rsidRPr="00F21922">
        <w:t>Dánsk</w:t>
      </w:r>
      <w:r>
        <w:t>u</w:t>
      </w:r>
      <w:r w:rsidRPr="00F21922">
        <w:t xml:space="preserve"> nebo Rakousk</w:t>
      </w:r>
      <w:r>
        <w:t>u</w:t>
      </w:r>
      <w:r w:rsidRPr="00F21922">
        <w:t>, které jsou podle počtu obyvatel menší země než ČR.</w:t>
      </w:r>
    </w:p>
    <w:p w:rsidR="009D46E6" w:rsidRPr="00087BC2" w:rsidRDefault="009D46E6" w:rsidP="00546662">
      <w:r w:rsidRPr="00F21922">
        <w:t>Podíl GBAORD na celkových veřejných výdajích činil v roce 2011 v průměru zemí EU28 1,</w:t>
      </w:r>
      <w:r>
        <w:t>47</w:t>
      </w:r>
      <w:r w:rsidRPr="00F21922">
        <w:t xml:space="preserve"> %. </w:t>
      </w:r>
      <w:r>
        <w:t>Z</w:t>
      </w:r>
      <w:r w:rsidRPr="00F21922">
        <w:t xml:space="preserve">e zemí EU28 </w:t>
      </w:r>
      <w:r>
        <w:t xml:space="preserve">byl </w:t>
      </w:r>
      <w:r w:rsidRPr="00F21922">
        <w:t xml:space="preserve">tento podíl nejvyšší v Portugalsku, Estonsku, Finsku a Německu, kde </w:t>
      </w:r>
      <w:r>
        <w:t>státní rozpočtové výdaje na VaV</w:t>
      </w:r>
      <w:r w:rsidRPr="00F21922">
        <w:t xml:space="preserve"> přesáhl</w:t>
      </w:r>
      <w:r>
        <w:t>y</w:t>
      </w:r>
      <w:r w:rsidRPr="00F21922">
        <w:t xml:space="preserve"> (resp. dosáhl</w:t>
      </w:r>
      <w:r>
        <w:t>y</w:t>
      </w:r>
      <w:r w:rsidRPr="00F21922">
        <w:t>) 2 %</w:t>
      </w:r>
      <w:r>
        <w:t xml:space="preserve"> celkových veřejných výdajů</w:t>
      </w:r>
      <w:r w:rsidRPr="00F21922">
        <w:t xml:space="preserve">. </w:t>
      </w:r>
      <w:r>
        <w:t>N</w:t>
      </w:r>
      <w:r w:rsidRPr="00F21922">
        <w:t xml:space="preserve">ejvyšší </w:t>
      </w:r>
      <w:r>
        <w:t xml:space="preserve">podíl státních výdajů na VaV v celkových veřejných výdajích byl ze </w:t>
      </w:r>
      <w:r w:rsidRPr="00F21922">
        <w:t>sledovaných zemí v Koreji (3,4 % v roce 2010) a ve Spojených státech (2,4 % v roce 2010). V Č</w:t>
      </w:r>
      <w:r>
        <w:t>R</w:t>
      </w:r>
      <w:r w:rsidRPr="00F21922">
        <w:t xml:space="preserve"> se v roce 2011 státní rozpočtové výdaje </w:t>
      </w:r>
      <w:r>
        <w:t>na</w:t>
      </w:r>
      <w:r w:rsidRPr="00F21922">
        <w:t xml:space="preserve"> VaV </w:t>
      </w:r>
      <w:r>
        <w:t>přesáhl</w:t>
      </w:r>
      <w:r w:rsidRPr="0096487B">
        <w:t>y 1,5 %</w:t>
      </w:r>
      <w:r w:rsidRPr="00F21922">
        <w:t xml:space="preserve"> veřejných rozpočtů, což je více než v průměru zemí EU28. ČR tak přesáhla nejen všechny nové členské státy EU</w:t>
      </w:r>
      <w:r>
        <w:t xml:space="preserve"> (</w:t>
      </w:r>
      <w:r w:rsidRPr="00F21922">
        <w:t>s výjimkou Estonska</w:t>
      </w:r>
      <w:r>
        <w:t>)</w:t>
      </w:r>
      <w:r w:rsidRPr="00F21922">
        <w:t xml:space="preserve">, ale i </w:t>
      </w:r>
      <w:r>
        <w:t xml:space="preserve">se </w:t>
      </w:r>
      <w:r w:rsidRPr="00F21922">
        <w:t xml:space="preserve">země, jako je například </w:t>
      </w:r>
      <w:r>
        <w:t xml:space="preserve">Irsko, Itálie a Spojené království. ČR se tak v roce 2011 dostala na úroveň </w:t>
      </w:r>
      <w:r w:rsidRPr="00F21922">
        <w:t>Rakousk</w:t>
      </w:r>
      <w:r>
        <w:t>a</w:t>
      </w:r>
      <w:r w:rsidRPr="00F21922">
        <w:t>, Španělsk</w:t>
      </w:r>
      <w:r>
        <w:t>a</w:t>
      </w:r>
      <w:r w:rsidRPr="00F21922">
        <w:t xml:space="preserve"> a Francie</w:t>
      </w:r>
      <w:r w:rsidRPr="00087BC2">
        <w:t>.</w:t>
      </w:r>
    </w:p>
    <w:p w:rsidR="009D46E6" w:rsidRPr="000A5A97" w:rsidRDefault="009D46E6" w:rsidP="00750D9B">
      <w:pPr>
        <w:pStyle w:val="Caption"/>
      </w:pPr>
      <w:bookmarkStart w:id="81" w:name="_Toc340128712"/>
      <w:bookmarkStart w:id="82" w:name="_Toc369091995"/>
      <w:r w:rsidRPr="000A5A97">
        <w:t xml:space="preserve">Graf </w:t>
      </w:r>
      <w:fldSimple w:instr=" STYLEREF 1 \s ">
        <w:r>
          <w:rPr>
            <w:noProof/>
          </w:rPr>
          <w:t>A</w:t>
        </w:r>
      </w:fldSimple>
      <w:r w:rsidRPr="000A5A97">
        <w:t>.</w:t>
      </w:r>
      <w:fldSimple w:instr=" SEQ Graf \* ARABIC \s 1 ">
        <w:r>
          <w:rPr>
            <w:noProof/>
          </w:rPr>
          <w:t>34</w:t>
        </w:r>
      </w:fldSimple>
      <w:r w:rsidRPr="000A5A97">
        <w:t>: Státní rozpočtové výdaje a dotace na VaV (</w:t>
      </w:r>
      <w:r>
        <w:t>v</w:t>
      </w:r>
      <w:r w:rsidRPr="000A5A97">
        <w:t> % celkových veřejných výdajů)</w:t>
      </w:r>
      <w:bookmarkEnd w:id="81"/>
      <w:bookmarkEnd w:id="82"/>
    </w:p>
    <w:p w:rsidR="009D46E6" w:rsidRPr="000A5A97" w:rsidRDefault="009D46E6" w:rsidP="001D7F37">
      <w:pPr>
        <w:pStyle w:val="Objekt"/>
      </w:pPr>
      <w:r w:rsidRPr="001D1D98">
        <w:pict>
          <v:shape id="Graf 17" o:spid="_x0000_i1105" type="#_x0000_t75" style="width:481.8pt;height:215.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dw05i3QAAAAUBAAAPAAAAZHJzL2Rvd25y&#10;ZXYueG1sTI9RS8MwFIXfhf2HcAe+iEvcpGy16ZiCgu7JTAZ7y5prU9bclCZb6783+qIvFw7ncM53&#10;i/XoWnbBPjSeJNzNBDCkypuGagkfu+fbJbAQNRndekIJXxhgXU6uCp0bP9A7XlSsWSqhkGsJNsYu&#10;5zxUFp0OM98hJe/T907HJPuam14Pqdy1fC5Exp1uKC1Y3eGTxeqkzk7C/PEGt3vluRXdHg+vL2r3&#10;Nigpr6fj5gFYxDH+heEHP6FDmZiO/kwmsFZCeiT+3uStskUG7CjhfiGWwMuC/6cvvwE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">
            <v:imagedata r:id="rId92" o:title="" croptop="-2612f" cropbottom="-833f" cropleft="-1768f" cropright="-828f"/>
            <o:lock v:ext="edit" aspectratio="f"/>
          </v:shape>
        </w:pict>
      </w:r>
    </w:p>
    <w:p w:rsidR="009D46E6" w:rsidRDefault="009D46E6" w:rsidP="00546662">
      <w:pPr>
        <w:pStyle w:val="Zdroj"/>
      </w:pPr>
      <w:r w:rsidRPr="000A5A97">
        <w:t>Pozn.: Korea, Spojené státy a Japonsko: 2010, Polsko: 2009, Švýcarsko a</w:t>
      </w:r>
      <w:r>
        <w:t xml:space="preserve"> Rusko: 2008</w:t>
      </w:r>
    </w:p>
    <w:p w:rsidR="009D46E6" w:rsidRDefault="009D46E6" w:rsidP="00546662">
      <w:pPr>
        <w:pStyle w:val="Zdroj"/>
      </w:pPr>
      <w:r>
        <w:t xml:space="preserve">Zdroj: OECD </w:t>
      </w:r>
      <w:r w:rsidRPr="00331587">
        <w:t>MSTI 2013/1</w:t>
      </w:r>
      <w:r>
        <w:t>,</w:t>
      </w:r>
      <w:r w:rsidRPr="00331587">
        <w:t xml:space="preserve"> Eurosta</w:t>
      </w:r>
      <w:r>
        <w:t>t (</w:t>
      </w:r>
      <w:r w:rsidRPr="00331587">
        <w:t>září 2013) a vlastní dopočt</w:t>
      </w:r>
      <w:r>
        <w:t>y ČSÚ</w:t>
      </w:r>
    </w:p>
    <w:p w:rsidR="009D46E6" w:rsidRDefault="009D46E6" w:rsidP="003C6E2E">
      <w:pPr>
        <w:pStyle w:val="Heading3"/>
      </w:pPr>
      <w:bookmarkStart w:id="83" w:name="_Toc340128481"/>
      <w:bookmarkStart w:id="84" w:name="_Toc369091871"/>
      <w:r>
        <w:t>Podpora VaV ze státního rozpočtu podle typu financování, poskytovatelů a příjemců</w:t>
      </w:r>
      <w:bookmarkEnd w:id="83"/>
      <w:bookmarkEnd w:id="84"/>
    </w:p>
    <w:p w:rsidR="009D46E6" w:rsidRPr="00772DDF" w:rsidRDefault="009D46E6" w:rsidP="00546662">
      <w:r>
        <w:t>Výdaje státního rozpočtu na</w:t>
      </w:r>
      <w:r w:rsidRPr="00772DDF">
        <w:t xml:space="preserve"> </w:t>
      </w:r>
      <w:r>
        <w:t xml:space="preserve">VaV </w:t>
      </w:r>
      <w:r w:rsidRPr="00772DDF">
        <w:t xml:space="preserve">v ČR </w:t>
      </w:r>
      <w:r>
        <w:t>v posledních letech rostou a zároveň se mění podíl</w:t>
      </w:r>
      <w:r w:rsidRPr="00772DDF">
        <w:t xml:space="preserve"> mezi účelovou a institucionální podporou </w:t>
      </w:r>
      <w:r>
        <w:t xml:space="preserve">určenou </w:t>
      </w:r>
      <w:r w:rsidRPr="00772DDF">
        <w:t xml:space="preserve">přímo na VaV činnosti subjektů provádějících VaV. </w:t>
      </w:r>
      <w:r>
        <w:t xml:space="preserve">V roce </w:t>
      </w:r>
      <w:r w:rsidRPr="00772DDF">
        <w:t xml:space="preserve">2005 byla výše </w:t>
      </w:r>
      <w:r>
        <w:t>i</w:t>
      </w:r>
      <w:r w:rsidRPr="00772DDF">
        <w:t>nstitucionální podpor</w:t>
      </w:r>
      <w:r>
        <w:t>y</w:t>
      </w:r>
      <w:r w:rsidRPr="00772DDF">
        <w:t xml:space="preserve"> o téměř 2 mld. Kč vyšší než podpora účelová, </w:t>
      </w:r>
      <w:r>
        <w:t>v posledních dvou letech (tj. v roce 2011 a 2012) byla účelová podpora vyšší než institucionální podpora VaV. Nejvyšší rozdíl byl v roce 2011, kdy účelová podpora VaV v absolutním vyjádření převýšila institucionální podporu o 1,8 mld. Kč. V roce 2012 se však rozdíl mezi účelovou a institucionální podporu opět poněkud snížil.</w:t>
      </w:r>
      <w:r w:rsidRPr="00772DDF">
        <w:t xml:space="preserve"> </w:t>
      </w:r>
    </w:p>
    <w:p w:rsidR="009D46E6" w:rsidRDefault="009D46E6" w:rsidP="00750D9B">
      <w:pPr>
        <w:pStyle w:val="Caption"/>
      </w:pPr>
      <w:bookmarkStart w:id="85" w:name="_Toc340128713"/>
      <w:bookmarkStart w:id="86" w:name="_Toc369091996"/>
      <w:r>
        <w:rPr>
          <w:noProof/>
          <w:lang w:eastAsia="cs-CZ"/>
        </w:rPr>
        <w:pict>
          <v:group id="Skupina 3" o:spid="_x0000_s1029" style="position:absolute;left:0;text-align:left;margin-left:-10.2pt;margin-top:19.2pt;width:492.05pt;height:194.15pt;z-index:251652096" coordsize="62484,28098" o:gfxdata="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">
            <v:shape id="Chart 10" o:spid="_x0000_s1030" type="#_x0000_t75" style="position:absolute;left:39254;width:23223;height:2806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">
              <v:imagedata r:id="rId93" o:title=""/>
              <o:lock v:ext="edit" aspectratio="f"/>
            </v:shape>
            <v:shape id="Chart 8" o:spid="_x0000_s1031" type="#_x0000_t75" style="position:absolute;top:208;width:40290;height:27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">
              <v:imagedata r:id="rId94" o:title=""/>
              <o:lock v:ext="edit" aspectratio="f"/>
            </v:shape>
            <w10:wrap type="topAndBottom"/>
          </v:group>
        </w:pict>
      </w:r>
      <w:r>
        <w:t xml:space="preserve">Graf </w:t>
      </w:r>
      <w:fldSimple w:instr=" STYLEREF 1 \s ">
        <w:r>
          <w:rPr>
            <w:noProof/>
          </w:rPr>
          <w:t>A</w:t>
        </w:r>
      </w:fldSimple>
      <w:r>
        <w:t>.</w:t>
      </w:r>
      <w:fldSimple w:instr=" SEQ Graf \* ARABIC \s 1 ">
        <w:r>
          <w:rPr>
            <w:noProof/>
          </w:rPr>
          <w:t>35</w:t>
        </w:r>
      </w:fldSimple>
      <w:r>
        <w:t>: Výdaje státního rozpočtu ČR na VaV podle formy financování (mld. Kč, %)</w:t>
      </w:r>
      <w:bookmarkEnd w:id="85"/>
      <w:bookmarkEnd w:id="86"/>
    </w:p>
    <w:p w:rsidR="009D46E6" w:rsidRDefault="009D46E6" w:rsidP="00546662">
      <w:pPr>
        <w:pStyle w:val="Zdroj"/>
      </w:pPr>
      <w:r>
        <w:t>(1)</w:t>
      </w:r>
      <w:r>
        <w:tab/>
        <w:t>Zahrnuje podporu výzkumných záměrů, specifického výzkumu na vysokých školách, infrastruktury AV ČR a od roku 2010 i dlouhodobou podporu aktivit rozvoje výzkumných organizací.</w:t>
      </w:r>
    </w:p>
    <w:p w:rsidR="009D46E6" w:rsidRDefault="009D46E6" w:rsidP="00546662">
      <w:pPr>
        <w:pStyle w:val="Zdroj"/>
      </w:pPr>
      <w:r>
        <w:t>(2)</w:t>
      </w:r>
      <w:r>
        <w:tab/>
        <w:t>Zahrnuje náklady systému podpory VaV zejména na zajištění veřejných soutěží a hodnocení projektů, ocenění výsledku, mezinárodní poplatky atd. a náklady spojené s činností RVVI, GA ČR, TA ČR a AV ČR.</w:t>
      </w:r>
    </w:p>
    <w:p w:rsidR="009D46E6" w:rsidRDefault="009D46E6" w:rsidP="00546662">
      <w:pPr>
        <w:pStyle w:val="Zdroj"/>
      </w:pPr>
      <w:r>
        <w:t>(3)</w:t>
      </w:r>
      <w:r>
        <w:tab/>
        <w:t>Nezahrnuje spolufinancování projektů z EU a ostatní institucionální podporu – viz výše uvedená vysvětlivka (2)</w:t>
      </w:r>
    </w:p>
    <w:p w:rsidR="009D46E6" w:rsidRDefault="009D46E6" w:rsidP="00546662">
      <w:pPr>
        <w:pStyle w:val="Zdroj"/>
      </w:pPr>
      <w:r>
        <w:t>Zdroj: Český statistický úřad 2012 podle údajů ze státního závěrečného účtu ČR (MF ČR) a IS VaVaI (RVVI)</w:t>
      </w:r>
    </w:p>
    <w:p w:rsidR="009D46E6" w:rsidRPr="00546662" w:rsidRDefault="009D46E6" w:rsidP="00546662">
      <w:pPr>
        <w:spacing w:after="0"/>
        <w:rPr>
          <w:sz w:val="16"/>
          <w:szCs w:val="16"/>
        </w:rPr>
      </w:pPr>
    </w:p>
    <w:p w:rsidR="009D46E6" w:rsidRDefault="009D46E6" w:rsidP="00546662">
      <w:r>
        <w:t xml:space="preserve">Nejvýznamnějším poskytovatelem </w:t>
      </w:r>
      <w:r w:rsidRPr="004E0697">
        <w:t>veřejné podpory VaV v Č</w:t>
      </w:r>
      <w:r>
        <w:t>R</w:t>
      </w:r>
      <w:r w:rsidRPr="004E0697">
        <w:t xml:space="preserve"> je od roku 1999 </w:t>
      </w:r>
      <w:r w:rsidRPr="00044F37">
        <w:t xml:space="preserve">Ministerstvo školství, mládeže a tělovýchovy </w:t>
      </w:r>
      <w:r>
        <w:t>(</w:t>
      </w:r>
      <w:r w:rsidRPr="004E0697">
        <w:t>MŠMT</w:t>
      </w:r>
      <w:r>
        <w:t>).</w:t>
      </w:r>
      <w:r w:rsidRPr="004E0697">
        <w:t xml:space="preserve"> V roce 201</w:t>
      </w:r>
      <w:r>
        <w:t>2</w:t>
      </w:r>
      <w:r w:rsidRPr="004E0697">
        <w:t xml:space="preserve"> </w:t>
      </w:r>
      <w:r>
        <w:t xml:space="preserve">bylo z jeho </w:t>
      </w:r>
      <w:r w:rsidRPr="004E0697">
        <w:t xml:space="preserve">rozpočtové kapitoly </w:t>
      </w:r>
      <w:r>
        <w:t xml:space="preserve">rozděleno na podporu </w:t>
      </w:r>
      <w:r w:rsidRPr="004E0697">
        <w:t xml:space="preserve">VaV </w:t>
      </w:r>
      <w:r>
        <w:t>přibližně 1</w:t>
      </w:r>
      <w:r w:rsidRPr="004E0697">
        <w:t>0,</w:t>
      </w:r>
      <w:r>
        <w:t>2</w:t>
      </w:r>
      <w:r w:rsidRPr="004E0697">
        <w:t xml:space="preserve"> mld. Kč, což představuje </w:t>
      </w:r>
      <w:r>
        <w:t>39 </w:t>
      </w:r>
      <w:r w:rsidRPr="004E0697">
        <w:t xml:space="preserve">% celkové přímé podpory </w:t>
      </w:r>
      <w:r>
        <w:t xml:space="preserve">VaV </w:t>
      </w:r>
      <w:r w:rsidRPr="004E0697">
        <w:t xml:space="preserve">ze státního rozpočtu. </w:t>
      </w:r>
      <w:r>
        <w:t xml:space="preserve">Výše finančních prostředků poskytovaná MŠMT na podporu VaV od roku </w:t>
      </w:r>
      <w:r w:rsidRPr="004E0697">
        <w:t xml:space="preserve">2000 </w:t>
      </w:r>
      <w:r>
        <w:t xml:space="preserve">do roku 2011 </w:t>
      </w:r>
      <w:r w:rsidRPr="004E0697">
        <w:t>vzrostla téměř třikrát</w:t>
      </w:r>
      <w:r>
        <w:t>, v roce 2012 se však finanční prostředky poskytované MŠMT na podporu VaV snížily oproti roku 2011 přibližně o 0,4 mld. Kč.</w:t>
      </w:r>
    </w:p>
    <w:p w:rsidR="009D46E6" w:rsidRDefault="009D46E6" w:rsidP="00546662">
      <w:r>
        <w:t>D</w:t>
      </w:r>
      <w:r w:rsidRPr="00044F37">
        <w:t xml:space="preserve">ruhým nejvýznamnějším poskytovatelem veřejné podpory VaV </w:t>
      </w:r>
      <w:r>
        <w:t xml:space="preserve">je </w:t>
      </w:r>
      <w:r w:rsidRPr="00044F37">
        <w:t xml:space="preserve">Akademie věd ČR </w:t>
      </w:r>
      <w:r>
        <w:t>(AV ČR). Podíl AV ČR na celkové veřejné podpoře VaV v ČR však v posledních letech poněkud klesá (v roce 2005 se AV ČR podílela na celkové veřejné podpoře VaV 27 %, v roce 2012 její podíl klesl na 18 %).</w:t>
      </w:r>
    </w:p>
    <w:p w:rsidR="009D46E6" w:rsidRPr="008F5944" w:rsidRDefault="009D46E6" w:rsidP="00546662">
      <w:r>
        <w:t xml:space="preserve">MŠMT </w:t>
      </w:r>
      <w:r w:rsidRPr="008F5944">
        <w:t>s AV ČR jsou zároveň největšími poskytovateli institucionální podpory VaV</w:t>
      </w:r>
      <w:r>
        <w:t xml:space="preserve"> v ČR. MŠMT a AV ČR se </w:t>
      </w:r>
      <w:r w:rsidRPr="008F5944">
        <w:t>v roce 2012 společně podíl</w:t>
      </w:r>
      <w:r>
        <w:t>el</w:t>
      </w:r>
      <w:r w:rsidRPr="008F5944">
        <w:t>y na 8</w:t>
      </w:r>
      <w:r>
        <w:t>9</w:t>
      </w:r>
      <w:r w:rsidRPr="008F5944">
        <w:t> % institucionální</w:t>
      </w:r>
      <w:r>
        <w:t>ho financování</w:t>
      </w:r>
      <w:r w:rsidRPr="008F5944">
        <w:t xml:space="preserve"> VaV</w:t>
      </w:r>
      <w:r>
        <w:t>. MŠMT (</w:t>
      </w:r>
      <w:r w:rsidRPr="00740AC6">
        <w:t>přibližně 7,7 mld. Kč, tj. 56</w:t>
      </w:r>
      <w:r>
        <w:t> </w:t>
      </w:r>
      <w:r w:rsidRPr="00740AC6">
        <w:t>% celkové</w:t>
      </w:r>
      <w:r>
        <w:t>ho</w:t>
      </w:r>
      <w:r w:rsidRPr="00740AC6">
        <w:t xml:space="preserve"> institucionální</w:t>
      </w:r>
      <w:r>
        <w:t>ho</w:t>
      </w:r>
      <w:r w:rsidRPr="00740AC6">
        <w:t xml:space="preserve"> </w:t>
      </w:r>
      <w:r>
        <w:t>financování</w:t>
      </w:r>
      <w:r w:rsidRPr="00740AC6">
        <w:t xml:space="preserve">) </w:t>
      </w:r>
      <w:r>
        <w:t xml:space="preserve">podporuje </w:t>
      </w:r>
      <w:r w:rsidRPr="008F5944">
        <w:t xml:space="preserve">především </w:t>
      </w:r>
      <w:r>
        <w:t xml:space="preserve">na </w:t>
      </w:r>
      <w:r w:rsidRPr="008F5944">
        <w:t>veřejné vysoké školy</w:t>
      </w:r>
      <w:r>
        <w:t xml:space="preserve">, </w:t>
      </w:r>
      <w:r w:rsidRPr="008F5944">
        <w:t xml:space="preserve">AV ČR </w:t>
      </w:r>
      <w:r>
        <w:t xml:space="preserve">(přibližně 4,5 mld. Kč, </w:t>
      </w:r>
      <w:r w:rsidRPr="008F5944">
        <w:t>3</w:t>
      </w:r>
      <w:r>
        <w:t>3</w:t>
      </w:r>
      <w:r w:rsidRPr="008F5944">
        <w:t xml:space="preserve"> % </w:t>
      </w:r>
      <w:r>
        <w:t xml:space="preserve">celkové </w:t>
      </w:r>
      <w:r w:rsidRPr="008F5944">
        <w:t>institucionální podpory</w:t>
      </w:r>
      <w:r>
        <w:t>) své jednotlivé ústavy. V případě MŠMT se výše institucionálního financování v roce 2012 oproti roku 2011 zvýšila přibližně o 0,85 mld. Kč, u AV ČR se výše institucionálního financování prakticky nezměnila.</w:t>
      </w:r>
    </w:p>
    <w:p w:rsidR="009D46E6" w:rsidRDefault="009D46E6" w:rsidP="00546662">
      <w:r>
        <w:t xml:space="preserve">V roce 2012 kromě MŠMT a AV ČR poskytovalo institucionální financování pro resortní ústavy (které jsou většinou veřejnými výzkumnými institucemi) a další výzkumné organizace </w:t>
      </w:r>
      <w:r w:rsidRPr="000C0022">
        <w:t>Ministerstv</w:t>
      </w:r>
      <w:r>
        <w:t>o</w:t>
      </w:r>
      <w:r w:rsidRPr="000C0022">
        <w:t xml:space="preserve"> zemědělství</w:t>
      </w:r>
      <w:r>
        <w:t xml:space="preserve"> (MZe, 321 mil. Kč), </w:t>
      </w:r>
      <w:r w:rsidRPr="000C0022">
        <w:t xml:space="preserve">Ministerstvo vnitra </w:t>
      </w:r>
      <w:r>
        <w:t xml:space="preserve">(MV, 47 mil. Kč), </w:t>
      </w:r>
      <w:r w:rsidRPr="000C0022">
        <w:t>Ministerstvo obrany</w:t>
      </w:r>
      <w:r>
        <w:t xml:space="preserve"> (MO, 89 mil. Kč), </w:t>
      </w:r>
      <w:r w:rsidRPr="000C0022">
        <w:t>Ministerstvo zdravotnictví (MZd</w:t>
      </w:r>
      <w:r>
        <w:t>, 391 mil. Kč</w:t>
      </w:r>
      <w:r w:rsidRPr="000C0022">
        <w:t>)</w:t>
      </w:r>
      <w:r>
        <w:t>,</w:t>
      </w:r>
      <w:r w:rsidRPr="000C0022">
        <w:t xml:space="preserve"> Ministerstvo kultury (MK</w:t>
      </w:r>
      <w:r>
        <w:t>, 67 mil. Kč</w:t>
      </w:r>
      <w:r w:rsidRPr="000C0022">
        <w:t>)</w:t>
      </w:r>
      <w:r>
        <w:t xml:space="preserve"> a MPO (444 mil. Kč).</w:t>
      </w:r>
    </w:p>
    <w:p w:rsidR="009D46E6" w:rsidRPr="002E1975" w:rsidRDefault="009D46E6" w:rsidP="00546662">
      <w:r w:rsidRPr="00873F66">
        <w:t>Účelová (projektová) podpora VaV byla v roce 201</w:t>
      </w:r>
      <w:r>
        <w:t>2</w:t>
      </w:r>
      <w:r w:rsidRPr="00873F66">
        <w:t xml:space="preserve"> v České republice financovaná prostřednictvím </w:t>
      </w:r>
      <w:r>
        <w:t xml:space="preserve">12 </w:t>
      </w:r>
      <w:r w:rsidRPr="00873F66">
        <w:t>rozpočtových kapitol</w:t>
      </w:r>
      <w:r>
        <w:t>, což je o pět rozpočtových kapitol méně než v roce 2011</w:t>
      </w:r>
      <w:r w:rsidRPr="00873F66">
        <w:t xml:space="preserve"> (</w:t>
      </w:r>
      <w:r>
        <w:t>ke snižování počtu rozpočtových kapitol dochází v souladu s</w:t>
      </w:r>
      <w:r w:rsidRPr="00873F66">
        <w:t xml:space="preserve"> </w:t>
      </w:r>
      <w:r w:rsidRPr="002E1975">
        <w:t>Reform</w:t>
      </w:r>
      <w:r>
        <w:t>ou</w:t>
      </w:r>
      <w:r w:rsidRPr="002E1975">
        <w:t xml:space="preserve"> systému výzkumu, vývoje a inovací v ČR schválen</w:t>
      </w:r>
      <w:r>
        <w:t>ou</w:t>
      </w:r>
      <w:r w:rsidRPr="002E1975">
        <w:t xml:space="preserve"> usnesením vlády č. 287 ze dne 26. 3. 2008). </w:t>
      </w:r>
      <w:r>
        <w:t>N</w:t>
      </w:r>
      <w:r w:rsidRPr="002E1975">
        <w:t xml:space="preserve">evýznamnějším poskytovatelem účelové podpory VaV </w:t>
      </w:r>
      <w:r>
        <w:t xml:space="preserve">zůstalo v roce 2012 </w:t>
      </w:r>
      <w:r w:rsidRPr="002E1975">
        <w:t xml:space="preserve">Ministerstvo průmyslu a obchodu (MPO), které </w:t>
      </w:r>
      <w:r>
        <w:t xml:space="preserve">podporovalo </w:t>
      </w:r>
      <w:r w:rsidRPr="002E1975">
        <w:t>aplikovaný výzkum a experimentální vývoj prostřednictvím program</w:t>
      </w:r>
      <w:r>
        <w:t>u</w:t>
      </w:r>
      <w:r w:rsidRPr="002E1975">
        <w:t xml:space="preserve"> TIP</w:t>
      </w:r>
      <w:r>
        <w:t>.</w:t>
      </w:r>
      <w:r w:rsidRPr="002E1975">
        <w:t xml:space="preserve"> MPO</w:t>
      </w:r>
      <w:r>
        <w:t>, které</w:t>
      </w:r>
      <w:r w:rsidRPr="002E1975">
        <w:t xml:space="preserve"> je hlavním poskytovatelem účelové podpory v ČR od roku 2004</w:t>
      </w:r>
      <w:r>
        <w:t xml:space="preserve">, v roce </w:t>
      </w:r>
      <w:r w:rsidRPr="002E1975">
        <w:t xml:space="preserve">2012 </w:t>
      </w:r>
      <w:r>
        <w:t>rozdělilo celkem 3 mld. Kč., tj. přibližně čtvrtinu</w:t>
      </w:r>
      <w:r w:rsidRPr="002E1975">
        <w:t xml:space="preserve"> </w:t>
      </w:r>
      <w:r>
        <w:t xml:space="preserve">celkové </w:t>
      </w:r>
      <w:r w:rsidRPr="002E1975">
        <w:t>účelové podpo</w:t>
      </w:r>
      <w:r>
        <w:t>ry</w:t>
      </w:r>
      <w:r w:rsidRPr="002E1975">
        <w:t xml:space="preserve"> VaV </w:t>
      </w:r>
      <w:r>
        <w:t>v ČR</w:t>
      </w:r>
      <w:r w:rsidRPr="002E1975">
        <w:t xml:space="preserve">. Hlavními příjemci </w:t>
      </w:r>
      <w:r>
        <w:t xml:space="preserve">této </w:t>
      </w:r>
      <w:r w:rsidRPr="002E1975">
        <w:t xml:space="preserve">podpory </w:t>
      </w:r>
      <w:r>
        <w:t>jsou</w:t>
      </w:r>
      <w:r w:rsidRPr="002E1975">
        <w:t xml:space="preserve"> soukromé domácí podniky.</w:t>
      </w:r>
    </w:p>
    <w:p w:rsidR="009D46E6" w:rsidRDefault="009D46E6" w:rsidP="00546662">
      <w:r w:rsidRPr="00353EEC">
        <w:t xml:space="preserve">Druhým nejvýznamnějším poskytovatelem účelové podpory VaV </w:t>
      </w:r>
      <w:r>
        <w:t xml:space="preserve">se </w:t>
      </w:r>
      <w:r w:rsidRPr="00353EEC">
        <w:t>v roce 2012</w:t>
      </w:r>
      <w:r>
        <w:t xml:space="preserve"> stala</w:t>
      </w:r>
      <w:r w:rsidRPr="00353EEC">
        <w:t xml:space="preserve"> Grantová agentura ČR (GA ČR), která poskytuje granty na základní vědecký výzkum. Účelová podpora poskytovaná GA ČR se oproti roku 2011 zvýšila o více než 0,5 mld. Kč na téměř 2,9 mil. Kč, což představuje přibližně </w:t>
      </w:r>
      <w:r>
        <w:t xml:space="preserve">23 % </w:t>
      </w:r>
      <w:r w:rsidRPr="00353EEC">
        <w:t>účelové podpory VaV přidělené v roce 2012 v Č</w:t>
      </w:r>
      <w:r>
        <w:t>R</w:t>
      </w:r>
      <w:r w:rsidRPr="00353EEC">
        <w:t>.</w:t>
      </w:r>
    </w:p>
    <w:p w:rsidR="009D46E6" w:rsidRPr="00353EEC" w:rsidRDefault="009D46E6" w:rsidP="00546662">
      <w:r w:rsidRPr="005C6ED7">
        <w:t xml:space="preserve">Třetím nejvýznamnějším poskytovatelem účelové podpory VaV bylo MŠMT, </w:t>
      </w:r>
      <w:r>
        <w:t xml:space="preserve">u </w:t>
      </w:r>
      <w:r w:rsidRPr="005C6ED7">
        <w:t>které</w:t>
      </w:r>
      <w:r>
        <w:t>ho</w:t>
      </w:r>
      <w:r w:rsidRPr="005C6ED7">
        <w:t xml:space="preserve"> v roce 2012 </w:t>
      </w:r>
      <w:r>
        <w:t>výše účelové podpory činila téměř</w:t>
      </w:r>
      <w:r w:rsidRPr="005C6ED7">
        <w:t xml:space="preserve"> </w:t>
      </w:r>
      <w:r>
        <w:t>2</w:t>
      </w:r>
      <w:r w:rsidRPr="005C6ED7">
        <w:t>,</w:t>
      </w:r>
      <w:r>
        <w:t>5</w:t>
      </w:r>
      <w:r w:rsidRPr="005C6ED7">
        <w:t xml:space="preserve"> mld. Kč, což </w:t>
      </w:r>
      <w:r>
        <w:t>j</w:t>
      </w:r>
      <w:r w:rsidRPr="005C6ED7">
        <w:t xml:space="preserve">e přibližně </w:t>
      </w:r>
      <w:r>
        <w:t>20</w:t>
      </w:r>
      <w:r w:rsidRPr="005C6ED7">
        <w:t xml:space="preserve"> % celkové účelové podpory VaV. </w:t>
      </w:r>
      <w:r>
        <w:t xml:space="preserve">Jednalo se především o podporu specifického vysokoškolského výzkumu a podporu VaV v tzv. průřezových oblastech (mezinárodní spolupráce ve VaV, velké infrastruktury pro VaV). </w:t>
      </w:r>
      <w:r w:rsidRPr="005C6ED7">
        <w:t>Ve srovnání s předcházejícím rokem v</w:t>
      </w:r>
      <w:r>
        <w:t>šak</w:t>
      </w:r>
      <w:r w:rsidRPr="005C6ED7">
        <w:t xml:space="preserve"> došlo </w:t>
      </w:r>
      <w:r>
        <w:t xml:space="preserve">u MŠMT </w:t>
      </w:r>
      <w:r w:rsidRPr="005C6ED7">
        <w:t>k poklesu účelové podpory o 1,</w:t>
      </w:r>
      <w:r>
        <w:t>3</w:t>
      </w:r>
      <w:r w:rsidRPr="005C6ED7">
        <w:t xml:space="preserve"> mld. Kč (v roce 2011 MŠMT rozdělovalo 3,29 mld. Kč, tj. 26 % účelové podpory).</w:t>
      </w:r>
    </w:p>
    <w:p w:rsidR="009D46E6" w:rsidRDefault="009D46E6" w:rsidP="00750D9B">
      <w:pPr>
        <w:pStyle w:val="Caption"/>
      </w:pPr>
      <w:bookmarkStart w:id="87" w:name="_Toc340128714"/>
      <w:bookmarkStart w:id="88" w:name="_Toc369091997"/>
      <w:r>
        <w:rPr>
          <w:noProof/>
          <w:lang w:eastAsia="cs-CZ"/>
        </w:rPr>
        <w:pict>
          <v:group id="Skupina 6" o:spid="_x0000_s1032" style="position:absolute;left:0;text-align:left;margin-left:.3pt;margin-top:23.7pt;width:491.25pt;height:228.75pt;z-index:251651072" coordsize="63009,29051" o:gfxdata="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">
            <v:shape id="Chart 10" o:spid="_x0000_s1033" type="#_x0000_t75" style="position:absolute;left:32137;top:182;width:30845;height:2877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">
              <v:imagedata r:id="rId95" o:title=""/>
              <o:lock v:ext="edit" aspectratio="f"/>
            </v:shape>
            <v:shape id="Chart 8" o:spid="_x0000_s1034" type="#_x0000_t75" style="position:absolute;width:31953;height:2907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">
              <v:imagedata r:id="rId96" o:title=""/>
              <o:lock v:ext="edit" aspectratio="f"/>
            </v:shape>
            <w10:wrap type="topAndBottom"/>
          </v:group>
        </w:pict>
      </w:r>
      <w:r w:rsidRPr="000A5A97">
        <w:t xml:space="preserve">Graf </w:t>
      </w:r>
      <w:fldSimple w:instr=" STYLEREF 1 \s ">
        <w:r>
          <w:rPr>
            <w:noProof/>
          </w:rPr>
          <w:t>A</w:t>
        </w:r>
      </w:fldSimple>
      <w:r w:rsidRPr="000A5A97">
        <w:t>.</w:t>
      </w:r>
      <w:fldSimple w:instr=" SEQ Graf \* ARABIC \s 1 ">
        <w:r>
          <w:rPr>
            <w:noProof/>
          </w:rPr>
          <w:t>36</w:t>
        </w:r>
      </w:fldSimple>
      <w:r w:rsidRPr="000A5A97">
        <w:t>: Výdaje státního rozpočtu ČR na VaV podle hlavních poskytovatelů (mld. Kč, %)</w:t>
      </w:r>
      <w:bookmarkEnd w:id="87"/>
      <w:bookmarkEnd w:id="88"/>
    </w:p>
    <w:p w:rsidR="009D46E6" w:rsidRDefault="009D46E6" w:rsidP="00546662">
      <w:pPr>
        <w:pStyle w:val="Zdroj"/>
      </w:pPr>
      <w:r w:rsidRPr="00C60752">
        <w:t>Zdroj: ČSÚ 2013 podle údajů ze státního závěrečného účtu ČR (MF ČR), IS VaVaI (sekretariát RVVI) a vlastních dopočtů</w:t>
      </w:r>
    </w:p>
    <w:p w:rsidR="009D46E6" w:rsidRDefault="009D46E6" w:rsidP="00546662"/>
    <w:p w:rsidR="009D46E6" w:rsidRPr="005C6ED7" w:rsidRDefault="009D46E6" w:rsidP="00546662">
      <w:r w:rsidRPr="005C6ED7">
        <w:t>V roce 201</w:t>
      </w:r>
      <w:r>
        <w:t>2</w:t>
      </w:r>
      <w:r w:rsidRPr="005C6ED7">
        <w:t xml:space="preserve"> výrazně </w:t>
      </w:r>
      <w:r>
        <w:t>stoupl podíl účelové podpory poskytované Technologickou</w:t>
      </w:r>
      <w:r w:rsidRPr="005C6ED7">
        <w:t xml:space="preserve"> agentur</w:t>
      </w:r>
      <w:r>
        <w:t>ou</w:t>
      </w:r>
      <w:r w:rsidRPr="005C6ED7">
        <w:t xml:space="preserve"> ČR </w:t>
      </w:r>
      <w:r>
        <w:t>(TA ČR), která v tomto roce rozdělila přibližně 1,8 mld. Kč, což představuje oproti roku 2011 nárůst o více než 1 mld. Kč. TA ČR se tak v roce 2012 zařadila na čtvrté místo v objemu poskytnuté účelové podpory VaV. TA ČR podporuje zejména aplikovaný VaV prostřednictvím programů ALFA, BETA, OMEGA a Centra kompetence.</w:t>
      </w:r>
    </w:p>
    <w:p w:rsidR="009D46E6" w:rsidRPr="00FF23F7" w:rsidRDefault="009D46E6" w:rsidP="00546662">
      <w:r w:rsidRPr="00FF23F7">
        <w:t xml:space="preserve">Mezi další poskytovatele účelové podpory VaV v roce 2012 patřilo </w:t>
      </w:r>
      <w:r w:rsidRPr="00C27F14">
        <w:t>MZd (cca 570 mil. Kč; 4,6 % celkové</w:t>
      </w:r>
      <w:r>
        <w:t xml:space="preserve"> účelové podpory</w:t>
      </w:r>
      <w:r w:rsidRPr="00FF23F7">
        <w:t>)</w:t>
      </w:r>
      <w:r>
        <w:t>,</w:t>
      </w:r>
      <w:r w:rsidRPr="00FF23F7">
        <w:t xml:space="preserve"> MZe (</w:t>
      </w:r>
      <w:r>
        <w:t xml:space="preserve">cca </w:t>
      </w:r>
      <w:r w:rsidRPr="00FF23F7">
        <w:t>400 mil. Kč; 3,</w:t>
      </w:r>
      <w:r>
        <w:t>2</w:t>
      </w:r>
      <w:r w:rsidRPr="00FF23F7">
        <w:t> %)</w:t>
      </w:r>
      <w:r>
        <w:t xml:space="preserve"> a MO (cca 300 mil. Kč; 2,4 %)</w:t>
      </w:r>
      <w:r w:rsidRPr="00FF23F7">
        <w:t xml:space="preserve">, které financují odvětvový aplikovaný VaV. Podporu pro tzv. průřezový aplikovaný výzkum </w:t>
      </w:r>
      <w:r>
        <w:t xml:space="preserve">dále </w:t>
      </w:r>
      <w:r w:rsidRPr="00FF23F7">
        <w:t xml:space="preserve">poskytovalo MK </w:t>
      </w:r>
      <w:r>
        <w:t xml:space="preserve">(cca 310 mil. Kč; 2,5 %) </w:t>
      </w:r>
      <w:r w:rsidRPr="00FF23F7">
        <w:t>a MV</w:t>
      </w:r>
      <w:r>
        <w:t xml:space="preserve"> (cca 480 mil. Kč; 3,8 %)</w:t>
      </w:r>
      <w:r w:rsidRPr="00FF23F7">
        <w:t>.</w:t>
      </w:r>
      <w:r>
        <w:t xml:space="preserve"> </w:t>
      </w:r>
      <w:r w:rsidRPr="00FF23F7">
        <w:t xml:space="preserve">Grantová agentura Akademie věd ČR, která utlumuje svoji činnost a od roku 2009 již nefinancuje žádné nové projekty, poskytla v roce 2012 účelovou podporu ve výši </w:t>
      </w:r>
      <w:r>
        <w:t>přibližně</w:t>
      </w:r>
      <w:r w:rsidRPr="00FF23F7">
        <w:t xml:space="preserve"> 160 mil. Kč.</w:t>
      </w:r>
    </w:p>
    <w:p w:rsidR="009D46E6" w:rsidRDefault="009D46E6" w:rsidP="00546662">
      <w:r w:rsidRPr="00D46BCE">
        <w:t xml:space="preserve">Mezi hlavní příjemce podpory VaV ze státního rozpočtu v ČR patří veřejné a státní vysoké školy a veřejné výzkumné instituce. </w:t>
      </w:r>
      <w:r>
        <w:t xml:space="preserve">Vyšší podíl podpory od roku 2011 získávají veřejné a státní vysoké školy. V roce 2012 to bylo přibližně 9,5 mld. Kč, </w:t>
      </w:r>
      <w:r w:rsidRPr="00D46BCE">
        <w:t xml:space="preserve">což představuje </w:t>
      </w:r>
      <w:r>
        <w:t xml:space="preserve">více než 40 % </w:t>
      </w:r>
      <w:r w:rsidRPr="00D46BCE">
        <w:t xml:space="preserve">celkových výdajů státního rozpočtu na VaV (bez ostatní institucionální podpory). </w:t>
      </w:r>
      <w:r>
        <w:t>Výše finančních prostředků, které získaly na VaV veřejné VŠ ze státního rozpočtu, vzrostla ve srovnání s předcházejícím rokem přibližně o 300 mil. Kč.</w:t>
      </w:r>
    </w:p>
    <w:p w:rsidR="009D46E6" w:rsidRPr="00D46BCE" w:rsidRDefault="009D46E6" w:rsidP="00546662">
      <w:r w:rsidRPr="00D46BCE">
        <w:t xml:space="preserve">Nejvýznamnějším příjemcem veřejné podpory </w:t>
      </w:r>
      <w:r>
        <w:t xml:space="preserve">VaV </w:t>
      </w:r>
      <w:r w:rsidRPr="00D46BCE">
        <w:t xml:space="preserve">určené na vysokoškolský VaV je dlouhodobě Univerzita Karlova v Praze, která </w:t>
      </w:r>
      <w:r>
        <w:t xml:space="preserve">v roce 2012 </w:t>
      </w:r>
      <w:r w:rsidRPr="00D46BCE">
        <w:t>využ</w:t>
      </w:r>
      <w:r>
        <w:t>ila</w:t>
      </w:r>
      <w:r w:rsidRPr="00D46BCE">
        <w:t xml:space="preserve"> </w:t>
      </w:r>
      <w:r>
        <w:t>přibližně</w:t>
      </w:r>
      <w:r w:rsidRPr="00D46BCE">
        <w:t xml:space="preserve"> </w:t>
      </w:r>
      <w:r>
        <w:t>29</w:t>
      </w:r>
      <w:r w:rsidRPr="00D46BCE">
        <w:t> % z</w:t>
      </w:r>
      <w:r>
        <w:t> těchto prost</w:t>
      </w:r>
      <w:r w:rsidRPr="00D46BCE">
        <w:t>ředků (2,7 mld. Kč). České vysoké učení technické v Praze obdrželo v roce 2012 veřejnou podporu na VaV ve výši 1,3 mld. Kč (14 %) a Masarykova univerzita 1 mld. Kč (11 %). Do těchto tří veřejných VŠ byl</w:t>
      </w:r>
      <w:r>
        <w:t>o v roce 2012</w:t>
      </w:r>
      <w:r w:rsidRPr="00D46BCE">
        <w:t xml:space="preserve"> alokován</w:t>
      </w:r>
      <w:r>
        <w:t>o</w:t>
      </w:r>
      <w:r w:rsidRPr="00D46BCE">
        <w:t xml:space="preserve"> přibližně 53 % veškerých veřejných finančních prostředků určených na VaV ve veřejných a státních VŠ.</w:t>
      </w:r>
      <w:r>
        <w:t xml:space="preserve"> </w:t>
      </w:r>
    </w:p>
    <w:p w:rsidR="009D46E6" w:rsidRDefault="009D46E6" w:rsidP="00546662">
      <w:r w:rsidRPr="00E3749D">
        <w:t xml:space="preserve">Druhým největším příjemcem </w:t>
      </w:r>
      <w:r>
        <w:t xml:space="preserve">prostředků </w:t>
      </w:r>
      <w:r w:rsidRPr="00E3749D">
        <w:t>na VaV ze státního rozpočtu jsou veřejné výzkumné instituce (ústavy AV ČR</w:t>
      </w:r>
      <w:r>
        <w:t xml:space="preserve"> a resortní veřejné výzkumné instituce</w:t>
      </w:r>
      <w:r w:rsidRPr="00E3749D">
        <w:t>), které v roce 2012 obdržely celkem 7,</w:t>
      </w:r>
      <w:r>
        <w:t>5</w:t>
      </w:r>
      <w:r w:rsidRPr="00E3749D">
        <w:t xml:space="preserve"> mld. Kč, což představuje 3</w:t>
      </w:r>
      <w:r>
        <w:t>3</w:t>
      </w:r>
      <w:r w:rsidRPr="00E3749D">
        <w:t> % celkových výdajů státního rozpočtu na VaV. Nevýznamnější roli ve veřejných výzkumných institucích hrají ústavy AV ČR, které v</w:t>
      </w:r>
      <w:r>
        <w:t> </w:t>
      </w:r>
      <w:r w:rsidRPr="00E3749D">
        <w:t>roce</w:t>
      </w:r>
      <w:r>
        <w:t xml:space="preserve"> 2012</w:t>
      </w:r>
      <w:r w:rsidRPr="00E3749D">
        <w:t xml:space="preserve"> </w:t>
      </w:r>
      <w:r>
        <w:t>získa</w:t>
      </w:r>
      <w:r w:rsidRPr="00E3749D">
        <w:t>ly 6,6 mld. Kč. Nejv</w:t>
      </w:r>
      <w:r>
        <w:t>íce finančních prostředků z ústavů AV ČR získa</w:t>
      </w:r>
      <w:r w:rsidRPr="00E3749D">
        <w:t xml:space="preserve">l Fyzikální ústav AV ČR, v.v.i. (478 mil. Kč, tj. 7,2 % z celkové podpory poskytnuté </w:t>
      </w:r>
      <w:r>
        <w:t xml:space="preserve">ústavům </w:t>
      </w:r>
      <w:r w:rsidRPr="00E3749D">
        <w:t>AV</w:t>
      </w:r>
      <w:r>
        <w:t> </w:t>
      </w:r>
      <w:r w:rsidRPr="00E3749D">
        <w:t xml:space="preserve">ČR). </w:t>
      </w:r>
      <w:r>
        <w:t>Dalšími v</w:t>
      </w:r>
      <w:r w:rsidRPr="00E3749D">
        <w:t>ýznamnými příjemci podpory byly také Mikrobiologický ústav AV ČR, v.v.i. (271 mil. Kč; 4,1 %), Ústav molekulární genetiky AV ČR, v.v.i. (246 mil. Kč; 3,7 %), Biologické centrum AV ČR, v. v. i. (242 mil. Kč; 3,6 %), Fyziologický ústav AV ČR, v.v.i., (217 mil. Kč; 3,3 %) a Ústav organické chemie a biochemie AV ČR, v.v.i. (202 mil. Kč; 3,0 %).</w:t>
      </w:r>
    </w:p>
    <w:p w:rsidR="009D46E6" w:rsidRPr="00E3749D" w:rsidRDefault="009D46E6" w:rsidP="00546662">
      <w:r>
        <w:t xml:space="preserve">V rozdělení podle vědních oborů nejvíce finančních prostředků připadlo na </w:t>
      </w:r>
      <w:r w:rsidRPr="00735270">
        <w:t>věd</w:t>
      </w:r>
      <w:r>
        <w:t>y</w:t>
      </w:r>
      <w:r w:rsidRPr="00735270">
        <w:t xml:space="preserve"> o živé přírodě a chemick</w:t>
      </w:r>
      <w:r>
        <w:t>é vědy (2,5 mld. Kč; 37 % z celkových prostředků získaných ústavy AV ČR). Výrazně méně prostředků bylo určeno pro oblast věd o neživé přírodě (1,8 mld. Kč; 14 %).</w:t>
      </w:r>
    </w:p>
    <w:p w:rsidR="009D46E6" w:rsidRPr="000A5A97" w:rsidRDefault="009D46E6" w:rsidP="00750D9B">
      <w:pPr>
        <w:pStyle w:val="Caption"/>
      </w:pPr>
      <w:bookmarkStart w:id="89" w:name="_Toc340128715"/>
      <w:bookmarkStart w:id="90" w:name="_Toc369091998"/>
      <w:r w:rsidRPr="000A5A97">
        <w:t xml:space="preserve">Graf </w:t>
      </w:r>
      <w:fldSimple w:instr=" STYLEREF 1 \s ">
        <w:r>
          <w:rPr>
            <w:noProof/>
          </w:rPr>
          <w:t>A</w:t>
        </w:r>
      </w:fldSimple>
      <w:r w:rsidRPr="000A5A97">
        <w:t>.</w:t>
      </w:r>
      <w:fldSimple w:instr=" SEQ Graf \* ARABIC \s 1 ">
        <w:r>
          <w:rPr>
            <w:noProof/>
          </w:rPr>
          <w:t>37</w:t>
        </w:r>
      </w:fldSimple>
      <w:r w:rsidRPr="000A5A97">
        <w:t>: Výdaje státního rozpočtu ČR na VaV* podle hlavních příjemců (mld. Kč, %)</w:t>
      </w:r>
      <w:bookmarkEnd w:id="89"/>
      <w:bookmarkEnd w:id="90"/>
      <w:r w:rsidRPr="000A5A97">
        <w:t xml:space="preserve"> </w:t>
      </w:r>
    </w:p>
    <w:p w:rsidR="009D46E6" w:rsidRDefault="009D46E6" w:rsidP="00546662">
      <w:pPr>
        <w:pStyle w:val="Zdroj"/>
      </w:pPr>
    </w:p>
    <w:p w:rsidR="009D46E6" w:rsidRDefault="009D46E6" w:rsidP="00546662">
      <w:pPr>
        <w:pStyle w:val="Zdroj"/>
      </w:pPr>
      <w:r>
        <w:rPr>
          <w:noProof/>
          <w:lang w:eastAsia="cs-CZ"/>
        </w:rPr>
      </w:r>
      <w:r>
        <w:rPr>
          <w:noProof/>
          <w:lang w:eastAsia="cs-CZ"/>
        </w:rPr>
        <w:pict>
          <v:group id="Skupina 5" o:spid="_x0000_s1035" style="width:481.9pt;height:207.8pt;mso-position-horizontal-relative:char;mso-position-vertical-relative:line" coordsize="61200,26384" o:gfxdata="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">
            <v:shape id="Chart 10" o:spid="_x0000_s1036" type="#_x0000_t75" style="position:absolute;left:36454;width:24749;height:2639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">
              <v:imagedata r:id="rId97" o:title=""/>
              <o:lock v:ext="edit" aspectratio="f"/>
            </v:shape>
            <v:shape id="Chart 8" o:spid="_x0000_s1037" type="#_x0000_t75" style="position:absolute;top:182;width:37063;height:258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">
              <v:imagedata r:id="rId98" o:title=""/>
              <o:lock v:ext="edit" aspectratio="f"/>
            </v:shape>
            <w10:anchorlock/>
          </v:group>
        </w:pict>
      </w:r>
    </w:p>
    <w:p w:rsidR="009D46E6" w:rsidRPr="000A5A97" w:rsidRDefault="009D46E6" w:rsidP="00546662">
      <w:pPr>
        <w:pStyle w:val="Zdroj"/>
      </w:pPr>
      <w:r w:rsidRPr="000A5A97">
        <w:t xml:space="preserve">Poznámka: * Nezahrnuje spolufinancování projektů z EU a ostatní institucionální podporu (položky související s administrativou v oblasti VaV, jako jsou náklady systému podpory VaV na zajištění veřejných soutěží a hodnocení projektů, ocenění výsledků v oblasti VaV, náklady spojené s činností RVVI, GA ČR, TA ČR a AV ČR). (1) Zahrnuje především Fakultní nemocnice a ostatní veřejná zdravotnická zařízení; Knihovny, archívy a muzea provádějící VaV, Sdružení a neziskové organizace atd. </w:t>
      </w:r>
    </w:p>
    <w:p w:rsidR="009D46E6" w:rsidRDefault="009D46E6" w:rsidP="00546662">
      <w:pPr>
        <w:pStyle w:val="Zdroj"/>
      </w:pPr>
      <w:r w:rsidRPr="000A5A97">
        <w:t>Zdroj: Český statistický úřad 2013 podle údajů ze státního závěrečného účtu ČR (MF ČR) a IS VaVaI (RVVI)</w:t>
      </w:r>
    </w:p>
    <w:p w:rsidR="009D46E6" w:rsidRPr="00E3749D" w:rsidRDefault="009D46E6" w:rsidP="00546662">
      <w:r w:rsidRPr="00E3749D">
        <w:t>Resortní veřejné výzkumné instituce v roce 2012 obdržely 84</w:t>
      </w:r>
      <w:r>
        <w:t>0</w:t>
      </w:r>
      <w:r w:rsidRPr="00E3749D">
        <w:t xml:space="preserve"> mil. Kč, což j</w:t>
      </w:r>
      <w:r>
        <w:t xml:space="preserve">sou necelá 4 % </w:t>
      </w:r>
      <w:r w:rsidRPr="00E3749D">
        <w:t>celkových výdajů státního rozpočtu na VaV</w:t>
      </w:r>
      <w:r>
        <w:t xml:space="preserve"> (bez ostatní institucionální podpory)</w:t>
      </w:r>
      <w:r w:rsidRPr="00E3749D">
        <w:t xml:space="preserve">. </w:t>
      </w:r>
      <w:r>
        <w:t>N</w:t>
      </w:r>
      <w:r w:rsidRPr="00E3749D">
        <w:t>ejvýznamnějším z těchto ústavů je Výzkumný ústav rostlinné výroby, v.v.i., který v roce 2012 obdržel přibližně 140 mil. Kč (téměř 17 % z celkové podpory, kterou získaly resortní ústavy). Výše veřejné</w:t>
      </w:r>
      <w:r>
        <w:t xml:space="preserve"> podpory VaV</w:t>
      </w:r>
      <w:r w:rsidRPr="00E3749D">
        <w:t>, kterou získává AV ČR a zejména resortní výzkumné ústavy, se v roce 2012 oproti roku 2011</w:t>
      </w:r>
      <w:r>
        <w:t xml:space="preserve"> snížila (</w:t>
      </w:r>
      <w:r w:rsidRPr="00E3749D">
        <w:t xml:space="preserve">na rozdíl od vysokých škol, </w:t>
      </w:r>
      <w:r>
        <w:t>kde výše přidělené podpory vzrostla)</w:t>
      </w:r>
      <w:r w:rsidRPr="00E3749D">
        <w:t>. V případě resortních ústavů podpora klesla téměř o 13 %.</w:t>
      </w:r>
    </w:p>
    <w:p w:rsidR="009D46E6" w:rsidRDefault="009D46E6" w:rsidP="00546662">
      <w:r w:rsidRPr="009E3512">
        <w:t xml:space="preserve">Podniky (soukromé i veřejné) získaly v roce 2012 </w:t>
      </w:r>
      <w:r>
        <w:t>více než</w:t>
      </w:r>
      <w:r w:rsidRPr="009E3512">
        <w:t xml:space="preserve"> 4 mld. Kč, tj. 1</w:t>
      </w:r>
      <w:r>
        <w:t>8</w:t>
      </w:r>
      <w:r w:rsidRPr="009E3512">
        <w:t> % z celkových výdajů státního rozpočtu na VaV</w:t>
      </w:r>
      <w:r>
        <w:t xml:space="preserve"> (bez ostatní institucionální podpory)</w:t>
      </w:r>
      <w:r w:rsidRPr="009E3512">
        <w:t>. Největší část této podpory získaly domácí soukromé podniky (77 %), výrazně menší podíl podpory získaly soukromé podniky pod zahraniční kontrolou (17 %) a nejméně veřejné podniky (6 %).</w:t>
      </w:r>
    </w:p>
    <w:p w:rsidR="009D46E6" w:rsidRDefault="009D46E6" w:rsidP="00546662">
      <w:r w:rsidRPr="007916C1">
        <w:t>Hlavními příjemci účelové podpory VaV ze státního rozpočtu ČR jsou veřejné a státní vysoké školy. Jejich podíl na účelové podpoře se zvýšil z 25,8 % (1,8 mld. Kč) v roce 2005 na 32 % (3,7 mld. Kč) v roce 2012. Další významnou skupinou příjemců účelové podpory jsou soukromé domácí podniky, které v roce 2012 získaly 3,1 mld. Kč (26 % účelové podpory). Celkově získaly podniky (soukromé a veřejné) 4 mld. účelové podpory, což je více, než získaly vysoké školy. Veřejné výzku</w:t>
      </w:r>
      <w:r>
        <w:t>mné instituce získaly v roce 201</w:t>
      </w:r>
      <w:r w:rsidRPr="007916C1">
        <w:t>2 2,7 mld. Kč, tj. 23 % účelové podpory poskytnuté na VaV v ČR.</w:t>
      </w:r>
    </w:p>
    <w:p w:rsidR="009D46E6" w:rsidRPr="009E3512" w:rsidRDefault="009D46E6" w:rsidP="00546662">
      <w:r w:rsidRPr="009E3512">
        <w:t xml:space="preserve">Z hlediska veřejné podpory výzkumu a vývoje v podnikatelském sektoru </w:t>
      </w:r>
      <w:r>
        <w:t>se r</w:t>
      </w:r>
      <w:r w:rsidRPr="009E3512">
        <w:t>ozliš</w:t>
      </w:r>
      <w:r>
        <w:t>uje</w:t>
      </w:r>
      <w:r w:rsidRPr="009E3512">
        <w:t xml:space="preserve"> mezi přímou a nepřímou podporu. Kromě přímé podpory</w:t>
      </w:r>
      <w:r>
        <w:t xml:space="preserve"> popsané v této kapitole </w:t>
      </w:r>
      <w:r w:rsidRPr="009E3512">
        <w:t>využívají podniky od roku 2005 i nepřímou podporu prostřednictvím uplatnění odpočtu odčitatelných položek VaV od základu daně podle § 34 odst. 4 zákona č. 586/1992 Sb. o daních z</w:t>
      </w:r>
      <w:r>
        <w:t> </w:t>
      </w:r>
      <w:r w:rsidRPr="009E3512">
        <w:t>příjmů</w:t>
      </w:r>
      <w:r>
        <w:t xml:space="preserve">. Informace o nepřímé podpoře jsou uvedeny v následující </w:t>
      </w:r>
      <w:r w:rsidRPr="00203BC0">
        <w:t>kapitole</w:t>
      </w:r>
      <w:r>
        <w:t>.</w:t>
      </w:r>
    </w:p>
    <w:p w:rsidR="009D46E6" w:rsidRDefault="009D46E6" w:rsidP="00411AE0"/>
    <w:p w:rsidR="009D46E6" w:rsidRDefault="009D46E6" w:rsidP="003F50CC">
      <w:pPr>
        <w:pStyle w:val="Heading2"/>
      </w:pPr>
      <w:bookmarkStart w:id="91" w:name="_Toc369091872"/>
      <w:r>
        <w:t>Nepřímá podpora VaV ze státního rozpočtu ČR</w:t>
      </w:r>
      <w:bookmarkEnd w:id="91"/>
      <w:r>
        <w:t xml:space="preserve"> </w:t>
      </w:r>
    </w:p>
    <w:p w:rsidR="009D46E6" w:rsidRPr="004462D4" w:rsidRDefault="009D46E6" w:rsidP="00DB4980">
      <w:r w:rsidRPr="004462D4">
        <w:t xml:space="preserve">Nepřímá podpora výzkumu a vývoje se v současnosti stává ve všech vyspělých státech stále rozšířenějším nástrojem pro povzbuzení investic do VaV v soukromém podnikatelském sektoru. Mezi nejčastější podoby nepřímé podpory VaV patří různé daňové pobídky a úlevy, urychlené odpisování investic, snížení odvodů sociálního pojištění, osvobození od cel, zvýhodněné úvěry, podpora rizikového kapitálu a zvýhodněný pronájem ústřední i regionální infrastruktury. </w:t>
      </w:r>
    </w:p>
    <w:p w:rsidR="009D46E6" w:rsidRPr="004462D4" w:rsidRDefault="009D46E6" w:rsidP="00DB4980">
      <w:r w:rsidRPr="004462D4">
        <w:t>V České republice je nepřímá podpora VaV poskytována od roku 2005, a to ve formě odpočtu odčitatelných položek od základu daně z příjmů, který je upraven podle § 34 odst. 4 a 5 zákona č. 586/1992 Sb., o daních z příjmů. Podle tohoto ustanovení si mohou daňový poplatníci provádějící VaV odečíst od základu daně 100 % výdajů na VaV, které během zdaňovacího období při realizaci VaV utratili. Podmínky a postup pro uplatnění nepřímé podpory VaV jsou stanoveny podrobněji v pokynu D</w:t>
      </w:r>
      <w:r w:rsidRPr="004462D4">
        <w:noBreakHyphen/>
        <w:t>28, který vydalo Ministerstvo financí České republiky 3. 5. 2005.</w:t>
      </w:r>
    </w:p>
    <w:p w:rsidR="009D46E6" w:rsidRPr="004462D4" w:rsidRDefault="009D46E6" w:rsidP="00DB4980">
      <w:r w:rsidRPr="004462D4">
        <w:t>Údaje o nepřímé veřejné podpoře VaV vycházejí z administrativních dat poskytnutých Ministerstvem financí České republiky na základě informací jednotlivých finančních úřadů. Tato data obsahují údaje o výši odčitatelné položky na VaV, ze kterých je poté možné (po vynásobení příslušnou daňovou sazbou) získat údaje o snížení daňové povinnosti pro ekonomické subjekty (nepřímou podporu VaV).</w:t>
      </w:r>
    </w:p>
    <w:p w:rsidR="009D46E6" w:rsidRPr="004462D4" w:rsidRDefault="009D46E6" w:rsidP="00DB4980">
      <w:r w:rsidRPr="004462D4">
        <w:t>Výše sazby daně z příjmů právnických osob a součet všech odčitatelných položek jsou za jednotlivé roky uvedeny v následujícím grafu. Z tohoto grafu je patrné, že i když mezi roky 2005 až 2011 došlo k postupnému poklesu daňové sazby, odčitatelná položka na výdaje na výzkum a vývoj přesto rostla v průměru o 20 % ročně. Ze základu daně podniků bylo v roce 2011 odečteno na VaV 9,7 mld. Kč.</w:t>
      </w:r>
    </w:p>
    <w:p w:rsidR="009D46E6" w:rsidRDefault="009D46E6" w:rsidP="00750D9B">
      <w:pPr>
        <w:pStyle w:val="Caption"/>
      </w:pPr>
      <w:bookmarkStart w:id="92" w:name="_Toc369091999"/>
      <w:r w:rsidRPr="00203BC0">
        <w:t>Graf A.</w:t>
      </w:r>
      <w:fldSimple w:instr=" SEQ Graf \* ARABIC \s 1 ">
        <w:r>
          <w:rPr>
            <w:noProof/>
          </w:rPr>
          <w:t>38</w:t>
        </w:r>
      </w:fldSimple>
      <w:r w:rsidRPr="00203BC0">
        <w:t>: Odčitatelná položka na VaV a příslušná daňová sazba v České republice (mld. Kč; %)</w:t>
      </w:r>
      <w:bookmarkEnd w:id="92"/>
    </w:p>
    <w:p w:rsidR="009D46E6" w:rsidRPr="004462D4" w:rsidRDefault="009D46E6" w:rsidP="001D7F37">
      <w:pPr>
        <w:pStyle w:val="Objekt"/>
      </w:pPr>
      <w:r w:rsidRPr="001D1D98">
        <w:pict>
          <v:shape id="Graf 20" o:spid="_x0000_i1107" type="#_x0000_t75" style="width:470.4pt;height:161.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faCZ2wAAAAUBAAAPAAAAZHJzL2Rvd25y&#10;ZXYueG1sTI/BTsMwEETvSPyDtUjcqENAUQhxqqooB7iRwqG3bewmVuN1FLtt+vcsXOhlpNGsZt6W&#10;y9kN4mSmYD0peFwkIAy1XlvqFHxt6occRIhIGgdPRsHFBFhWtzclFtqf6dOcmtgJLqFQoII+xrGQ&#10;MrS9cRgWfjTE2d5PDiPbqZN6wjOXu0GmSZJJh5Z4ocfRrHvTHpqjU/Dx9r3N6+wZa5u92yFsm8tq&#10;s1bq/m5evYKIZo7/x/CLz+hQMdPOH0kHMSjgR+KfcvaSJWx3Cp7SNAdZlfKavvoB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">
            <v:imagedata r:id="rId99" o:title="" croptop="-2185f" cropbottom="-5666f" cropleft="-4698f" cropright="-4326f"/>
            <o:lock v:ext="edit" aspectratio="f"/>
          </v:shape>
        </w:pict>
      </w:r>
    </w:p>
    <w:p w:rsidR="009D46E6" w:rsidRPr="00203BC0" w:rsidRDefault="009D46E6" w:rsidP="00203BC0">
      <w:pPr>
        <w:pStyle w:val="Zdroj"/>
      </w:pPr>
      <w:r w:rsidRPr="00203BC0">
        <w:t>Zdroj: Ministerstvo financí ČR a ČSÚ</w:t>
      </w:r>
    </w:p>
    <w:p w:rsidR="009D46E6" w:rsidRDefault="009D46E6" w:rsidP="00DB4980"/>
    <w:p w:rsidR="009D46E6" w:rsidRPr="004462D4" w:rsidRDefault="009D46E6" w:rsidP="00DB4980">
      <w:r w:rsidRPr="004462D4">
        <w:t>Odčitatelnou položku na VaV uplatnilo v roce 2011 v České republice 867 podniků, které tvořily 38</w:t>
      </w:r>
      <w:r>
        <w:t xml:space="preserve"> </w:t>
      </w:r>
      <w:r w:rsidRPr="004462D4">
        <w:t>% ze všech podniků provádějících VaV. Oproti roku 2005, kdy byl institut nepřímé podpory VaV zaveden, došlo jak k relativnímu tak i k absolutnímu nárůstu počtu podniků uplatňujících tento druh snížení daňové povinnosti. Z podniků, které v roce 2011 uplatnily daňový odečet na VaV, bylo 608 soukromých domácích podniků, 253 soukromých podniků pod zahraniční kontrolou a pouhých 6 podniků bylo veřejných. Zajímavá je struktura podniků uplatňujících daňový odečet na VaV podle výše daňové úlevy. Zatímco tři čtvrtiny podniků získaly v roce 2011 nepřímou podporu svého VaV do 1 milionu korun, tak nepřímá p</w:t>
      </w:r>
      <w:r>
        <w:t>odpora VaV větší než 10 milio</w:t>
      </w:r>
      <w:r w:rsidRPr="004462D4">
        <w:t xml:space="preserve">nů korun náležela pouze 19 podnikům. </w:t>
      </w:r>
    </w:p>
    <w:p w:rsidR="009D46E6" w:rsidRDefault="009D46E6" w:rsidP="00750D9B">
      <w:pPr>
        <w:pStyle w:val="Caption"/>
      </w:pPr>
      <w:bookmarkStart w:id="93" w:name="_Toc369092000"/>
      <w:r w:rsidRPr="00203BC0">
        <w:t>Graf A.</w:t>
      </w:r>
      <w:fldSimple w:instr=" SEQ Graf \* ARABIC \s 1 ">
        <w:r>
          <w:rPr>
            <w:noProof/>
          </w:rPr>
          <w:t>39</w:t>
        </w:r>
      </w:fldSimple>
      <w:r w:rsidRPr="00203BC0">
        <w:t>: Počet podniků s uplatněnou nepřímou podporu VaV v České republice</w:t>
      </w:r>
      <w:bookmarkEnd w:id="93"/>
    </w:p>
    <w:p w:rsidR="009D46E6" w:rsidRPr="004462D4" w:rsidRDefault="009D46E6" w:rsidP="001D7F37">
      <w:pPr>
        <w:pStyle w:val="Objekt"/>
      </w:pPr>
      <w:r w:rsidRPr="001D1D98">
        <w:pict>
          <v:shape id="Graf 2" o:spid="_x0000_i1108" type="#_x0000_t75" style="width:480.6pt;height:163.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LxUdC3AAAAAUBAAAPAAAAZHJzL2Rvd25y&#10;ZXYueG1sTI/BTsMwEETvSP0Haytxo04CSiGNUxVQOSFVSfsBTrxNotrrELtt+HsMF3pZaTSjmbf5&#10;ejKaXXB0vSUB8SIChtRY1VMr4LDfPjwDc16SktoSCvhGB+tidpfLTNkrlXipfMtCCblMCui8HzLO&#10;XdOhkW5hB6TgHe1opA9ybLka5TWUG82TKEq5kT2FhU4O+NZhc6rORgAty9fNoYmr3Wn7SR+lfrdf&#10;9V6I+/m0WQHzOPn/MPziB3QoAlNtz6Qc0wLCI/7vBu8ljRNgtYDHJH0CXuT8lr74AQ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">
            <v:imagedata r:id="rId100" o:title="" croptop="-1269f" cropbottom="-4683f" cropleft="-4642f" cropright="-4774f"/>
            <o:lock v:ext="edit" aspectratio="f"/>
          </v:shape>
        </w:pict>
      </w:r>
    </w:p>
    <w:p w:rsidR="009D46E6" w:rsidRPr="00203BC0" w:rsidRDefault="009D46E6" w:rsidP="00203BC0">
      <w:pPr>
        <w:pStyle w:val="Zdroj"/>
      </w:pPr>
      <w:r w:rsidRPr="00203BC0">
        <w:t>Zdroj: Ministerstvo financí ČR a ČSÚ</w:t>
      </w:r>
    </w:p>
    <w:p w:rsidR="009D46E6" w:rsidRDefault="009D46E6" w:rsidP="00DB4980"/>
    <w:p w:rsidR="009D46E6" w:rsidRPr="004462D4" w:rsidRDefault="009D46E6" w:rsidP="00DB4980">
      <w:r w:rsidRPr="004462D4">
        <w:t xml:space="preserve">Nepřímá podpora VaV v roce 2011 dosahovala výše 1,8 mld. Kč, a na celkových výdajích spotřebovaných v tomto roce v podnikatelském sektoru tvořila 5,3 %. Pokud vyjádříme nepřímou podporu VaV jako podíl z celkových veřejných výdajů věnovaných na podporu VaV (tj. z přímé i nepřímé podpory celkem), pak vidíme, že v roce 2011 nepřímá veřejná podpora VaV činila 7,1 % z celkové veřejné podpory VaV v České republice. V porovnání s předchozími roky byla nepřímá podpora VaV v roce 2011 vyšší nejen v absolutním vyjádření, ale také svým podílem na celkových výdajích na VaV v podnikatelském sektoru i se svým podílem na celkové veřejné podpoře VaV a pokračuje tak trend nastolený v roce 2010. </w:t>
      </w:r>
    </w:p>
    <w:p w:rsidR="009D46E6" w:rsidRPr="004462D4" w:rsidRDefault="009D46E6" w:rsidP="00DB4980">
      <w:r w:rsidRPr="004462D4">
        <w:t>Největší část nepřímé podpory VaV byla ve všech sledovaných letech uplatněna soukromými podniky pod zahraniční kontrolou (zahraniční afilace). V roce 2011 činila nepřímá podpora VaV v těchto podnicích 1</w:t>
      </w:r>
      <w:r>
        <w:t> </w:t>
      </w:r>
      <w:r w:rsidRPr="004462D4">
        <w:t>300 mil.  Kč, což znamenalo 70 % celkové nepřímé podpory VaV. Téměř celá zbývající část nepřímé podpory VaV byla rozdělena soukromým domácím podnikům a veřejné podniky tak získaly pouhých 10 mil. z nepřímé topory VaV. Stejně jako mezi lety 2009 a 2010, došlo i do roku 2011 k relativnímu nárůstu nepřímé veřejné podpory VaV u zahraničních afilací na úkor soukromých domácích podniků.</w:t>
      </w:r>
    </w:p>
    <w:p w:rsidR="009D46E6" w:rsidRDefault="009D46E6" w:rsidP="00750D9B">
      <w:pPr>
        <w:pStyle w:val="Caption"/>
      </w:pPr>
      <w:bookmarkStart w:id="94" w:name="_Toc369092001"/>
      <w:r w:rsidRPr="00203BC0">
        <w:t>Graf A.</w:t>
      </w:r>
      <w:fldSimple w:instr=" SEQ Graf \* ARABIC \s 1 ">
        <w:r>
          <w:rPr>
            <w:noProof/>
          </w:rPr>
          <w:t>40</w:t>
        </w:r>
      </w:fldSimple>
      <w:r w:rsidRPr="00203BC0">
        <w:t>: Nepřímá podpora VaV v České republice (mld. Kč; %)</w:t>
      </w:r>
      <w:bookmarkEnd w:id="94"/>
    </w:p>
    <w:p w:rsidR="009D46E6" w:rsidRPr="004462D4" w:rsidRDefault="009D46E6" w:rsidP="001D7F37">
      <w:pPr>
        <w:pStyle w:val="Objekt"/>
      </w:pPr>
      <w:r w:rsidRPr="001D1D98">
        <w:pict>
          <v:shape id="_x0000_i1109" type="#_x0000_t75" style="width:471pt;height:181.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d8Ap3QAAAAUBAAAPAAAAZHJzL2Rvd25y&#10;ZXYueG1sTI/BTsMwEETvSPyDtUjcqEMLEYQ4VQuCAxUCCge4beMliRqvQ+w24e9ZuMBlpNGsZt7m&#10;89G1ak99aDwbOJ0koIhLbxuuDLy+3J5cgAoR2WLrmQx8UYB5cXiQY2b9wM+0X8dKSQmHDA3UMXaZ&#10;1qGsyWGY+I5Ysg/fO4xi+0rbHgcpd62eJkmqHTYsCzV2dF1TuV3vnIHV2fC2jA8373f8OC7Ph+ni&#10;c3v/ZMzx0bi4AhVpjH/H8IMv6FAI08bv2AbVGpBH4q9KdpkmYjcGZuksBV3k+j998Q0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">
            <v:imagedata r:id="rId101" o:title="" croptop="-1281f" cropbottom="-2639f" cropleft="-4145f" cropright="-4345f"/>
            <o:lock v:ext="edit" aspectratio="f"/>
          </v:shape>
        </w:pict>
      </w:r>
    </w:p>
    <w:p w:rsidR="009D46E6" w:rsidRPr="00203BC0" w:rsidRDefault="009D46E6" w:rsidP="00203BC0">
      <w:pPr>
        <w:pStyle w:val="Zdroj"/>
      </w:pPr>
      <w:r w:rsidRPr="00203BC0">
        <w:t>Zdroj: Ministerstvo financí ČR a ČSÚ</w:t>
      </w:r>
    </w:p>
    <w:p w:rsidR="009D46E6" w:rsidRDefault="009D46E6" w:rsidP="00DB4980"/>
    <w:p w:rsidR="009D46E6" w:rsidRPr="004462D4" w:rsidRDefault="009D46E6" w:rsidP="00DB4980">
      <w:r w:rsidRPr="004462D4">
        <w:t>Mezi roky 2005</w:t>
      </w:r>
      <w:r w:rsidRPr="004462D4">
        <w:noBreakHyphen/>
        <w:t>2011 rostla nepřímá podpora VaV v České republice průměrným reálným ročním tempem rovným 12,6 %. I přes další zachování úrovně daňové sazby na 19 %, vzrostla v posledním roce nepřímá podpora VaV v běžných cenách o 526 mil. Kč, což znamenalo 40% nominální nárůst. Ve sledovaném období byl zaznamenán meziroční pokles nepřímé podpory VaV pouze v roce 2008, a to o necelou pětinu. Toto snížení bylo způsobeno nejen poklesem daňové sazby o 3 procentní body, ale také samotným snížením odečitatelné položky na VaV ze základu daně.</w:t>
      </w:r>
    </w:p>
    <w:p w:rsidR="009D46E6" w:rsidRPr="004462D4" w:rsidRDefault="009D46E6" w:rsidP="00750D9B">
      <w:pPr>
        <w:pStyle w:val="Caption"/>
      </w:pPr>
      <w:bookmarkStart w:id="95" w:name="_Toc369092002"/>
      <w:r w:rsidRPr="00203BC0">
        <w:t>Graf A.</w:t>
      </w:r>
      <w:fldSimple w:instr=" SEQ Graf \* ARABIC \s 1 ">
        <w:r>
          <w:rPr>
            <w:noProof/>
          </w:rPr>
          <w:t>41</w:t>
        </w:r>
      </w:fldSimple>
      <w:r w:rsidRPr="00203BC0">
        <w:t>: Meziroční změna nepřímé podpora VaV v České republice, 2006</w:t>
      </w:r>
      <w:r w:rsidRPr="00203BC0">
        <w:noBreakHyphen/>
        <w:t>2011</w:t>
      </w:r>
      <w:bookmarkEnd w:id="95"/>
    </w:p>
    <w:p w:rsidR="009D46E6" w:rsidRPr="004462D4" w:rsidRDefault="009D46E6" w:rsidP="001D7F37">
      <w:pPr>
        <w:pStyle w:val="Objekt"/>
      </w:pPr>
      <w:r w:rsidRPr="004462D4">
        <w:t xml:space="preserve"> </w:t>
      </w:r>
      <w:r w:rsidRPr="001D1D98">
        <w:pict>
          <v:shape id="Graf 30" o:spid="_x0000_i1110" type="#_x0000_t75" style="width:235.2pt;height:180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DvUga3AAAAAUBAAAPAAAAZHJzL2Rvd25y&#10;ZXYueG1sTI/BTsMwEETvSP0Ha5G4UbttKBDiVAhUCaRemiLObrzEUe11FLtJ+HsMF3pZaTSjmbfF&#10;ZnKWDdiH1pOExVwAQ6q9bqmR8HHY3j4AC1GRVtYTSvjGAJtydlWoXPuR9jhUsWGphEKuJJgYu5zz&#10;UBt0Ksx9h5S8L987FZPsG657NaZyZ/lSiDV3qqW0YFSHLwbrU3V2EnbDZ7Zv7NaM7ftq8fiqq7vT&#10;WyXlzfX0/AQs4hT/w/CLn9ChTExHfyYdmJWQHol/N3nZvciAHSWs1kIALwt+SV/+AA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">
            <v:imagedata r:id="rId102" o:title="" croptop="-1310f" cropbottom="-3559f" cropleft="-278f" cropright="-2967f"/>
            <o:lock v:ext="edit" aspectratio="f"/>
          </v:shape>
        </w:pict>
      </w:r>
      <w:r w:rsidRPr="001D1D98">
        <w:pict>
          <v:shape id="Graf 31" o:spid="_x0000_i1111" type="#_x0000_t75" style="width:231pt;height:176.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md/Vz2gAAAAUBAAAPAAAAZHJzL2Rvd25y&#10;ZXYueG1sTI/BTsMwEETvSPyDtUjcqA0tAUKcCkXi1EPVlA/YxEsSYa/T2G3D32O40MtKoxnNvC3W&#10;s7PiRFMYPGu4XygQxK03A3caPvbvd88gQkQ2aD2Thm8KsC6vrwrMjT/zjk517EQq4ZCjhj7GMZcy&#10;tD05DAs/Eifv008OY5JTJ82E51TurHxQKpMOB04LPY5U9dR+1UenoT48VpvtUr3s9tm2CX5THSzX&#10;Wt/ezG+vICLN8T8Mv/gJHcrE1PgjmyCshvRI/LvJWz2pFYhGwzJTCmRZyEv68gc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">
            <v:imagedata r:id="rId103" o:title="" croptop="-1481f" cropbottom="-2211f" cropleft="-2573f" cropright="-1874f"/>
            <o:lock v:ext="edit" aspectratio="f"/>
          </v:shape>
        </w:pict>
      </w:r>
    </w:p>
    <w:p w:rsidR="009D46E6" w:rsidRPr="00203BC0" w:rsidRDefault="009D46E6" w:rsidP="00203BC0">
      <w:pPr>
        <w:pStyle w:val="Zdroj"/>
      </w:pPr>
      <w:r w:rsidRPr="00203BC0">
        <w:t>Zdroj: Ministerstvo financí ČR a ČSÚ</w:t>
      </w:r>
    </w:p>
    <w:p w:rsidR="009D46E6" w:rsidRDefault="009D46E6" w:rsidP="00DB4980"/>
    <w:p w:rsidR="009D46E6" w:rsidRPr="004462D4" w:rsidRDefault="009D46E6" w:rsidP="00DB4980">
      <w:r w:rsidRPr="004462D4">
        <w:t>Z hlediska velikosti podniků dominovaly podniky s více než 250 zaměstnanci, ve kterých bylo v roce 2011 na VaV z nepřímé podpory spotřebováno 73 %. Na podniky střední velikosti pak připadalo 19 % nepřímé podpory VaV (356 mil. Kč) a na malé podniky 7 % (135 mil. Kč).</w:t>
      </w:r>
    </w:p>
    <w:p w:rsidR="009D46E6" w:rsidRPr="004462D4" w:rsidRDefault="009D46E6" w:rsidP="00DB4980">
      <w:r w:rsidRPr="004462D4">
        <w:t>Není překvapivé, že nejvýraznější úlevu na daních z příjmu díky svým výdajům na VaV zaznamenaly ve všech letech podniky zabývající se některým odvětvím z oblasti průmyslu. V roce 2011 činila nepřímá podpora VaV v průmyslu 1 354 mil. Kč a ve službách 491 mil. Kč. Oproti roku 2007 došlo k výraznému relativnímu nárůstu nepřímé podpory VaV v oblasti služeb na úkor průmyslových odvětví.</w:t>
      </w:r>
    </w:p>
    <w:p w:rsidR="009D46E6" w:rsidRPr="004462D4" w:rsidRDefault="009D46E6" w:rsidP="00DB4980">
      <w:r w:rsidRPr="004462D4">
        <w:t>Z hlediska jednotlivých odvětví zpracovatelského průmyslu byla uplatněna největší část nepřímé podpory VaV v roce 2011 v odvětví orientovaném na automobilový průmysl (560</w:t>
      </w:r>
      <w:r>
        <w:t xml:space="preserve"> </w:t>
      </w:r>
      <w:r w:rsidRPr="004462D4">
        <w:t>mil. Kč, 42 % nepřímé podpory VaV ve zpracovatelském průmyslu). Na druhém a třetím místě se ve výši nepřímé podpory VaV v roce 2011 umístil strojírenský průmysl (241 mil. Kč) a odvětví zaměřené na výrobu lokomotiv a vozového parku (207 mil. Kč).</w:t>
      </w:r>
    </w:p>
    <w:p w:rsidR="009D46E6" w:rsidRPr="004462D4" w:rsidRDefault="009D46E6" w:rsidP="00750D9B">
      <w:pPr>
        <w:pStyle w:val="Caption"/>
      </w:pPr>
      <w:bookmarkStart w:id="96" w:name="_Toc369092003"/>
      <w:r w:rsidRPr="00203BC0">
        <w:t>Graf A.</w:t>
      </w:r>
      <w:fldSimple w:instr=" SEQ Graf \* ARABIC \s 1 ">
        <w:r>
          <w:rPr>
            <w:noProof/>
          </w:rPr>
          <w:t>42</w:t>
        </w:r>
      </w:fldSimple>
      <w:r w:rsidRPr="00203BC0">
        <w:t>: Nepřímá podpora VaV ve zpracovatelském průmyslu ČR podle odvětví (mil. Kč), 2011</w:t>
      </w:r>
      <w:bookmarkEnd w:id="96"/>
    </w:p>
    <w:p w:rsidR="009D46E6" w:rsidRPr="004462D4" w:rsidRDefault="009D46E6" w:rsidP="001D7F37">
      <w:pPr>
        <w:pStyle w:val="Objekt"/>
      </w:pPr>
      <w:r w:rsidRPr="001D1D98">
        <w:pict>
          <v:shape id="_x0000_i1112" type="#_x0000_t75" style="width:475.8pt;height:195.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Dkf+y2wAAAAUBAAAPAAAAZHJzL2Rvd25y&#10;ZXYueG1sTI/NTsMwEITvSLyDtUjcqNMgRTTEqQKIE4fSgsTVtTc/wl6H2G3Tt2fhApfVrGY18221&#10;nr0TR5ziEEjBcpGBQDLBDtQpeH97vrkDEZMmq10gVHDGCOv68qLSpQ0n2uJxlzrBIRRLraBPaSyl&#10;jKZHr+MijEjstWHyOvE6ddJO+sTh3sk8ywrp9UDc0OsRH3s0n7uDV/DgvjZ505n59aV5Mu22JSqm&#10;D6Wur+bmHkTCOf0dww8+o0PNTPtwIBuFU8CPpN/J3qpY5iD2Cm5XLGRdyf/09TcA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">
            <v:imagedata r:id="rId104" o:title="" croptop="-3367f" cropbottom="-3514f" cropleft="-1798f" cropright="-1834f"/>
            <o:lock v:ext="edit" aspectratio="f"/>
          </v:shape>
        </w:pict>
      </w:r>
    </w:p>
    <w:p w:rsidR="009D46E6" w:rsidRPr="00EA2E56" w:rsidRDefault="009D46E6" w:rsidP="00EA2E56">
      <w:pPr>
        <w:pStyle w:val="Zdroj"/>
      </w:pPr>
      <w:r w:rsidRPr="00EA2E56">
        <w:t>Zdroj: Ministerstvo financí ČR a ČSÚ</w:t>
      </w:r>
    </w:p>
    <w:p w:rsidR="009D46E6" w:rsidRDefault="009D46E6" w:rsidP="00DB4980"/>
    <w:p w:rsidR="009D46E6" w:rsidRPr="004462D4" w:rsidRDefault="009D46E6" w:rsidP="00DB4980">
      <w:r w:rsidRPr="004462D4">
        <w:t>Mezinárodní srovnání nepřímé veřejné podpory VaV není jednoduchým úkolem, neboť ne ve všech státech je v současnosti institut nepřímé veřejné podpory VaV zaveden a ne pro všechny státy existují o nepřímé podpoře VaV statistické údaje. Z existujících údajů ale vyplývá, že nepřímá podpora VaV jako podíl z HDP byla v roce 2010 nejvyšší ve Francii (0,26 % HDP), Kanadě (0,21 % HDP), Portugalsku (0,17 %) a Koreji (0,17 %). Česká republika se s podílem 0,03 % na HDP řadila ke státům s relativně nejnižší nepřímou podporou VaV. Zajímavé je i porovnání nepřímé a přímé veřejné podpory VaV v podnikatelském sektoru, ze kterého vyplývá, že nepřímá podpora VaV je vyšší než přímá podpora VaV ve státech jako Kanada, Portugalsko, Nizozemsko, Irsko, Maďarsko, Dánsko, Francie a Japonsko.</w:t>
      </w:r>
    </w:p>
    <w:p w:rsidR="009D46E6" w:rsidRPr="004462D4" w:rsidRDefault="009D46E6" w:rsidP="00750D9B">
      <w:pPr>
        <w:pStyle w:val="Caption"/>
      </w:pPr>
      <w:bookmarkStart w:id="97" w:name="_Toc369092004"/>
      <w:r w:rsidRPr="00203BC0">
        <w:t>Graf A.</w:t>
      </w:r>
      <w:fldSimple w:instr=" SEQ Graf \* ARABIC \s 1 ">
        <w:r>
          <w:rPr>
            <w:noProof/>
          </w:rPr>
          <w:t>43</w:t>
        </w:r>
      </w:fldSimple>
      <w:r w:rsidRPr="00203BC0">
        <w:t>: Nepřímá podpora VaV jako % HDP, 2010 nebo poslední dostupný rok</w:t>
      </w:r>
      <w:bookmarkEnd w:id="97"/>
    </w:p>
    <w:p w:rsidR="009D46E6" w:rsidRPr="004462D4" w:rsidRDefault="009D46E6" w:rsidP="001D7F37">
      <w:pPr>
        <w:pStyle w:val="Objekt"/>
      </w:pPr>
      <w:r w:rsidRPr="001D1D98">
        <w:pict>
          <v:shape id="Graf 226" o:spid="_x0000_i1113" type="#_x0000_t75" style="width:481.2pt;height:189.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qW9ll3QAAAAUBAAAPAAAAZHJzL2Rvd25y&#10;ZXYueG1sTI/dTsJAEEbvTXyHzZh4J1sqYindEuJPiAk3oA+wdMe20J1tdheoPr2jN3IzyeT7cuZM&#10;sRhsJ07oQ+tIwXiUgECqnGmpVvDx/nqXgQhRk9GdI1TwhQEW5fVVoXPjzrTB0zbWgiEUcq2gibHP&#10;pQxVg1aHkeuROPt03urIq6+l8frMcNvJNEmm0uqW+EKje3xqsDpsj5YpB/O8fwjfa/+2eZnQapmt&#10;JjFT6vZmWM5BRBzifxl+9VkdSnbauSOZIDoF/Ej8m5zNpuMUxE7B/eMsBVkW8tK+/AE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">
            <v:imagedata r:id="rId105" o:title="" croptop="-2903f" cropbottom="-3130f" cropleft="-1083f" cropright="-984f"/>
            <o:lock v:ext="edit" aspectratio="f"/>
          </v:shape>
        </w:pict>
      </w:r>
    </w:p>
    <w:p w:rsidR="009D46E6" w:rsidRPr="00EA2E56" w:rsidRDefault="009D46E6" w:rsidP="00EA2E56">
      <w:pPr>
        <w:pStyle w:val="Zdroj"/>
      </w:pPr>
      <w:r w:rsidRPr="00EA2E56">
        <w:t>Zdroj: OECD</w:t>
      </w:r>
    </w:p>
    <w:p w:rsidR="009D46E6" w:rsidRDefault="009D46E6" w:rsidP="005F2E99"/>
    <w:p w:rsidR="009D46E6" w:rsidRDefault="009D46E6" w:rsidP="00A1397E"/>
    <w:p w:rsidR="009D46E6" w:rsidRPr="00D82ACA" w:rsidRDefault="009D46E6" w:rsidP="00A1397E">
      <w:pPr>
        <w:sectPr w:rsidR="009D46E6" w:rsidRPr="00D82ACA" w:rsidSect="00FD3E45">
          <w:headerReference w:type="even" r:id="rId106"/>
          <w:pgSz w:w="11906" w:h="16838" w:code="9"/>
          <w:pgMar w:top="1134" w:right="1134" w:bottom="1134" w:left="1134" w:header="737" w:footer="567" w:gutter="0"/>
          <w:cols w:space="567"/>
          <w:docGrid w:linePitch="360"/>
        </w:sectPr>
      </w:pPr>
    </w:p>
    <w:p w:rsidR="009D46E6" w:rsidRDefault="009D46E6" w:rsidP="00866283">
      <w:pPr>
        <w:pStyle w:val="Heading1"/>
      </w:pPr>
      <w:bookmarkStart w:id="98" w:name="_Toc369091873"/>
      <w:bookmarkStart w:id="99" w:name="_Toc336000256"/>
      <w:r>
        <w:t>Lidské zdroje pro výzkum a vývoj</w:t>
      </w:r>
      <w:bookmarkEnd w:id="98"/>
    </w:p>
    <w:p w:rsidR="009D46E6" w:rsidRDefault="009D46E6" w:rsidP="00866283">
      <w:r>
        <w:t xml:space="preserve">Dostupnost kvalitních lidských zdrojů hraje podstatnou úlohu při zabezpečení ekonomického a technologického rozvoje. Zabezpečení adekvátní základny lidských zdrojů pro činnosti spojené s výzkumem, vývojem a inovacemi se odvíjí nejen od situace na pracovním trhu, ale závisí také na trendech ve vzdělávání, zvláště pak na vysokých školách. </w:t>
      </w:r>
    </w:p>
    <w:p w:rsidR="009D46E6" w:rsidRDefault="009D46E6" w:rsidP="00866283">
      <w:r>
        <w:t>Cílem této části analýzy, která je rozdělena do tří hlavních kapitol, je poskytnout informace o vývoji počtu a struktuře osob působících ve VaV, kvalifikovaných lidských zdrojích a studentech vysokoškolského studia v České republice a nastínit jejich specifika a hlavní trendy v mezinárodním kontextu.</w:t>
      </w:r>
    </w:p>
    <w:p w:rsidR="009D46E6" w:rsidRPr="00370C85" w:rsidRDefault="009D46E6" w:rsidP="008D7A29">
      <w:pPr>
        <w:spacing w:after="0"/>
      </w:pPr>
    </w:p>
    <w:p w:rsidR="009D46E6" w:rsidRDefault="009D46E6" w:rsidP="00866283">
      <w:r>
        <w:rPr>
          <w:noProof/>
          <w:lang w:eastAsia="cs-CZ"/>
        </w:rPr>
      </w:r>
      <w:r>
        <w:rPr>
          <w:noProof/>
          <w:lang w:eastAsia="cs-CZ"/>
        </w:rPr>
        <w:pict>
          <v:shape id="Textové pole 292" o:spid="_x0000_s1038" type="#_x0000_t202" style="width:481.9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" filled="f" strokecolor="#f60" strokeweight="2pt">
            <v:stroke opacity="52428f"/>
            <v:textbox style="mso-fit-shape-to-text:t" inset="2mm,2mm,2mm,2mm">
              <w:txbxContent>
                <w:p w:rsidR="009D46E6" w:rsidRPr="001D063F" w:rsidRDefault="009D46E6" w:rsidP="00866283">
                  <w:pPr>
                    <w:jc w:val="left"/>
                    <w:rPr>
                      <w:b/>
                    </w:rPr>
                  </w:pPr>
                  <w:r>
                    <w:rPr>
                      <w:b/>
                    </w:rPr>
                    <w:t>Hlavní trendy</w:t>
                  </w:r>
                </w:p>
                <w:p w:rsidR="009D46E6" w:rsidRDefault="009D46E6" w:rsidP="000E3106">
                  <w:pPr>
                    <w:pStyle w:val="Odrky"/>
                  </w:pPr>
                  <w:r>
                    <w:t>V roce 2012 pracovalo ve VaV v ČR 86,9 tis. ať již plně či částečně zaměstnaných osob a od roku 2001 se jejich počet zvýšil více jak 1,5krát. Po přepočtení na plný pracovní úvazek věnovaný VaV je ve výzkumu zaměstnáno 60,2 tis. osob. Více než polovina osob pracujících ve VaV je dlouhodobě zaměstnána v podnikatelském sektoru.</w:t>
                  </w:r>
                </w:p>
                <w:p w:rsidR="009D46E6" w:rsidRDefault="009D46E6" w:rsidP="000E3106">
                  <w:pPr>
                    <w:pStyle w:val="Odrky"/>
                  </w:pPr>
                  <w:r>
                    <w:t>Za nejdůležitější skupinu zaměstnanců ve VaV lze označit výzkumné pracovníky, bez kterých by nové znalosti zajisté nevznikaly. Výzkumní pracovníci mají ve VaV jednotlivých sektorů různé zastoupení. Nejméně je výzkumníků zaměstnáno mezi zaměstnanci podnikatelského VaV (48 %), ve VaV vládního sektoru jich pracuje 53 % a v případě vysokoškolského výzkumu jsou výzkumní pracovníci zcela dominantní skupinou zaměstnaných (70 %).</w:t>
                  </w:r>
                </w:p>
                <w:p w:rsidR="009D46E6" w:rsidRDefault="009D46E6" w:rsidP="000E3106">
                  <w:pPr>
                    <w:pStyle w:val="Odrky"/>
                  </w:pPr>
                  <w:r>
                    <w:t>Mezi zaměstnanci VaV je vysoké zastoupení osob s terciárním vzděláním (vysokoškolské a vyšší odborné), kdy pouze 28 % zaměstnaných ve VaV má vzdělání nižší. V největší míře jsou osoby s vysokoškolským vzděláním zastoupeny ve vysokoškolském sektoru, což je samozřejmě dáno hlavními funkcemi vysokých škol, kterými jsou vzdělávání a věda.</w:t>
                  </w:r>
                </w:p>
                <w:p w:rsidR="009D46E6" w:rsidRDefault="009D46E6" w:rsidP="000E3106">
                  <w:pPr>
                    <w:pStyle w:val="Odrky"/>
                  </w:pPr>
                  <w:r>
                    <w:t>Významná část zaměstnanců VaV se věnuje VaV v technických a přírodních vědách. V těchto dvou oblastech je zaměstnáno 77 % z nich, přičemž větší část zaujímají vědy technické. Mezi zaměstnanci podnikatelského VaV jsou pak technické vědy zcela dominantní, věnuje se jim 70 % zaměstnanců. Oproti tomu ve VaV vládního sektoru se věnuje více jak polovina zaměstnanců přírodním vědám a technickým vědám pak pouhých 8 %.</w:t>
                  </w:r>
                </w:p>
                <w:p w:rsidR="009D46E6" w:rsidRDefault="009D46E6" w:rsidP="000E3106">
                  <w:pPr>
                    <w:pStyle w:val="Odrky"/>
                  </w:pPr>
                  <w:r>
                    <w:t xml:space="preserve">Počet osob s ukončeným vysokoškolským vzděláním se v ČR rok od roku zvyšuje. V roce 2012 bylo v populaci osob starších 25 let v Česku téměř 1 milión 350 tisíc takto vzdělaných osob, což činilo 17,3 % populace tohoto věku. Na počátku sledovaného období, v roce 2000, mělo vysokoškolské vzdělání ukončeno přibližně 714 tisíc osob, které tvořily 10 % populace.  </w:t>
                  </w:r>
                </w:p>
                <w:p w:rsidR="009D46E6" w:rsidRDefault="009D46E6" w:rsidP="000E3106">
                  <w:pPr>
                    <w:pStyle w:val="Odrky"/>
                  </w:pPr>
                  <w:r>
                    <w:t xml:space="preserve">V průběhu let narůstá počet studentů vysokých škol, kdy se od roku 2001 jejich počet téměř zdvojnásobil, na bezmála 400 tisíc studentů v roce 2012. Mladí lidé se však odklánějí od studia technických oborů a ani v případě studia přírodních a lékařských věd není nárůst jejich počtu nijak významný. Velký zájem ze strany studentů je oproti tomu v posledních letech zaznamenán o studium společenských věd, obchodu a práva a humanitních věd. </w:t>
                  </w:r>
                </w:p>
              </w:txbxContent>
            </v:textbox>
            <w10:anchorlock/>
          </v:shape>
        </w:pict>
      </w:r>
    </w:p>
    <w:p w:rsidR="009D46E6" w:rsidRDefault="009D46E6" w:rsidP="008D7A29">
      <w:pPr>
        <w:spacing w:after="0"/>
      </w:pPr>
    </w:p>
    <w:p w:rsidR="009D46E6" w:rsidRDefault="009D46E6" w:rsidP="00866283">
      <w:r>
        <w:t>Kapitola B.1 Zaměstnanci ve VaV obsahuje základní informace jak o celkovém počtu zaměstnanců ve VaV a jejich struktuře podle jednotlivých dostupných charakteristik, tak také o počtu a struktuře výzkumných pracovníků a o zaměstnancích ve VaV jednotlivých sektorů působení (podnikatelském, vládním, vysokoškolském). Kromě údajů za ČR jsou zde uvedeny také základní ukazatele v mezinárodním srovnání.</w:t>
      </w:r>
    </w:p>
    <w:p w:rsidR="009D46E6" w:rsidRDefault="009D46E6" w:rsidP="00866283">
      <w:r>
        <w:t>V kapitole B.2 Mzdy specialistů v oblasti vědy a techniky jsou obsaženy informace o průměrné hrubé měsíční mzdě osob zařazených do této skupiny zaměstnaných. Jsou uvedeny nejen mzdy celkové, ale také mzdy podle pohlaví, věku a dosaženého vzdělání. To vše ve srovnání s hrubou průměrnou měsíční mzdou v ČR.</w:t>
      </w:r>
    </w:p>
    <w:p w:rsidR="009D46E6" w:rsidRDefault="009D46E6" w:rsidP="00866283">
      <w:r>
        <w:t xml:space="preserve">V kapitole B.3 Vysokoškolské vzdělávání jsou obsaženy informace o počtu a struktuře osob s ukončeným vysokoškolským vzděláním a také základní informace o studentech vysokoškolského studia, a to jak o vývoji jejich počtu, tak také o jejich rozložení mezi jednotlivé studijní programy a obory. Zvláštní důraz je zde kladen na studenty v oborech přírodních a technických věd ve všech vysokoškolských studijních programech a zvláště pak v programu doktorském. </w:t>
      </w:r>
      <w:r w:rsidRPr="00A41EF3">
        <w:t xml:space="preserve">I v této kapitole je </w:t>
      </w:r>
      <w:r>
        <w:t>ČR</w:t>
      </w:r>
      <w:r w:rsidRPr="00A41EF3">
        <w:t xml:space="preserve"> zasazena do kontextu mezinárodního srovnání.</w:t>
      </w:r>
    </w:p>
    <w:p w:rsidR="009D46E6" w:rsidRDefault="009D46E6" w:rsidP="00866283">
      <w:pPr>
        <w:pStyle w:val="Heading2"/>
      </w:pPr>
      <w:bookmarkStart w:id="100" w:name="_Toc369091874"/>
      <w:r>
        <w:t>Zaměstnanci ve výzkumu a vývoji</w:t>
      </w:r>
      <w:bookmarkEnd w:id="100"/>
    </w:p>
    <w:p w:rsidR="009D46E6" w:rsidRDefault="009D46E6" w:rsidP="00866283">
      <w:r>
        <w:t>Zdrojem dat pro kapitolu B.1 je Roční statistické šetření o výzkumu a vývoji VTR 5-01, kterým jsou získávány údaje přímo od všech subjektů provádějících VaV na území České republiky. Cílem tohoto šetření je získat podrobné údaje o lidských a finančních zdrojích určených k VaV činnostem. Šetření plně respektuje principy EU a OECD uvedené ve Frascati manuálu a v příslušném Nařízení EU a proto jsou výsledky za Českou republiku plně mezinárodně srovnatelné. Více informací o šetření VTR 5-01 naleznete v metodické příloze této analýzy nebo na odkaze http://czso.cz/csu/redakce.nsf/i/statistika_vyzkumu_a_vyvoje.</w:t>
      </w:r>
    </w:p>
    <w:p w:rsidR="009D46E6" w:rsidRDefault="009D46E6" w:rsidP="00866283">
      <w:r>
        <w:t>Počet zaměstnanců výzkumu a vývoje je zjišťován pomocí dvou základních ukazatelů, jimiž jsou počet fyzických osob (HC) a počet přepočtených osob na ekvivalent plné pracovní doby věnované výzkumným a vývojovým činnostem (FTE):</w:t>
      </w:r>
    </w:p>
    <w:p w:rsidR="009D46E6" w:rsidRDefault="009D46E6" w:rsidP="000E3106">
      <w:pPr>
        <w:pStyle w:val="Odrky"/>
      </w:pPr>
      <w:r>
        <w:t xml:space="preserve">Evidenční počet zaměstnanců VaV k 31. 12. ve fyzických osobách (Headcount   HC) vypovídá o počtu osob, plně či částečně aktivních ve výzkumných a vývojových činnostech, zaměstnaných na základě pracovního poměru ke konci příslušného roku ve sledovaných subjektech. </w:t>
      </w:r>
    </w:p>
    <w:p w:rsidR="009D46E6" w:rsidRDefault="009D46E6" w:rsidP="000E3106">
      <w:pPr>
        <w:pStyle w:val="Odrky"/>
      </w:pPr>
      <w:r>
        <w:t xml:space="preserve">Přepočtený počet zaměstnanců VaV (Full Time Equivalent   FTE) vypovídá o průměrném evidenčním počtu zaměstnanců VaV přepočteném na plný pracovní úvazek věnovaný výzkumným a vývojovým činnostem ve sledovaném roce. Jeden FTE se tak rovná jednomu roku práce zaměstnance, který se na 100 % věnuje VaV činnosti. </w:t>
      </w:r>
    </w:p>
    <w:p w:rsidR="009D46E6" w:rsidRDefault="009D46E6" w:rsidP="000E3106">
      <w:pPr>
        <w:pStyle w:val="Odrky"/>
      </w:pPr>
      <w:r>
        <w:t>Pokud není uvedeno jinak, jsou dále v této kapitole uváděny údaje o přepočteném počtu zaměstnaných ve VaV (FTE).</w:t>
      </w:r>
    </w:p>
    <w:p w:rsidR="009D46E6" w:rsidRDefault="009D46E6" w:rsidP="003C6E2E">
      <w:pPr>
        <w:pStyle w:val="Heading3"/>
      </w:pPr>
      <w:bookmarkStart w:id="101" w:name="_Toc369091875"/>
      <w:r>
        <w:t>Celkový počet zaměstnanců ve výzkumu a vývoji</w:t>
      </w:r>
      <w:bookmarkEnd w:id="101"/>
    </w:p>
    <w:p w:rsidR="009D46E6" w:rsidRDefault="009D46E6" w:rsidP="00866283">
      <w:r>
        <w:t xml:space="preserve">V České republice pracovalo ke konci roku 2012 ve výzkumu a vývoji 86,9 tisíc ať již plně či částečně zaměstnaných osob (HC). Od roku 2001, kdy bylo ve VaV zaměstnáno bezmála 52 tisíc fyzických osob (HC), se jejich počet zvýšil více jak 1,6krát. Plynulý nárůst zaznamenával v průběhu sledovaných let i poměrový ukazatel, kdy v roce 2001 připadlo na 1 000 zaměstnaných osob v Česku 11 zaměstnanců VaV ve fyzických osobách a v roce 2012 to bylo již 17,8 zaměstnance. </w:t>
      </w:r>
    </w:p>
    <w:p w:rsidR="009D46E6" w:rsidRDefault="009D46E6" w:rsidP="00866283">
      <w:r>
        <w:t>Především ve vysokoškolském, a částečně i ve vládním sektoru, má velké množství osob pracujících ve VaV, zvláště výzkumných pracovníků, pracovní úvazek zároveň ve více subjektech. Proto ukazatel HC nevypovídá o skutečném počtu osob pracujících ve VaV ČR a uváděný počet zaměstnanců VaV (HC) je tak nadhodnocený. Při přepočtu na plnou pracovní dobu věnovanou výzkumným a vývojovým činnostem (FTE) dosahuje počet zaměstnanců ve VaV v tomto roce 60,2 tisíc osob.</w:t>
      </w:r>
    </w:p>
    <w:p w:rsidR="009D46E6" w:rsidRDefault="009D46E6" w:rsidP="00866283">
      <w:r>
        <w:t>Jednu třetinu zaměstnanců VaV tvoří dlouhodobě ženy, a to jak v případě počtu fyzických osob, tak také v případě přepočtených osob na plný pracovní úvazek.</w:t>
      </w:r>
    </w:p>
    <w:p w:rsidR="009D46E6" w:rsidRPr="00BD5EC7" w:rsidRDefault="009D46E6" w:rsidP="00750D9B">
      <w:pPr>
        <w:pStyle w:val="Caption"/>
      </w:pPr>
      <w:bookmarkStart w:id="102" w:name="_Toc369092005"/>
      <w:r>
        <w:t xml:space="preserve">Graf </w:t>
      </w:r>
      <w:fldSimple w:instr=" STYLEREF 1 \s ">
        <w:r>
          <w:rPr>
            <w:noProof/>
          </w:rPr>
          <w:t>B</w:t>
        </w:r>
      </w:fldSimple>
      <w:r>
        <w:t>.</w:t>
      </w:r>
      <w:fldSimple w:instr=" SEQ Graf \* ARABIC \s 1 ">
        <w:r>
          <w:rPr>
            <w:noProof/>
          </w:rPr>
          <w:t>1</w:t>
        </w:r>
      </w:fldSimple>
      <w:r w:rsidRPr="00BD5EC7">
        <w:t xml:space="preserve">: </w:t>
      </w:r>
      <w:r w:rsidRPr="00CB1783">
        <w:t>Zaměstnanci ve výzkumu a vývoji</w:t>
      </w:r>
      <w:bookmarkEnd w:id="102"/>
    </w:p>
    <w:p w:rsidR="009D46E6" w:rsidRPr="00F52038" w:rsidRDefault="009D46E6" w:rsidP="00866283">
      <w:r w:rsidRPr="001D1D98">
        <w:rPr>
          <w:noProof/>
          <w:lang w:eastAsia="cs-CZ"/>
        </w:rPr>
        <w:pict>
          <v:shape id="_x0000_i1115" type="#_x0000_t75" style="width:480.6pt;height:178.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G8mqJ3AAAAAUBAAAPAAAAZHJzL2Rvd25y&#10;ZXYueG1sTI9BS8NAEIXvgv9hGcGbnbTStI3ZFKnYo2Cr0OM2Oyah2dmQ3bTpv3f0opeBx3u8902+&#10;Hl2rztSHxrOG6SQBRVx623Cl4WP/+rAEFaJha1rPpOFKAdbF7U1uMusv/E7nXayUlHDIjIY6xi5D&#10;DGVNzoSJ74jF+/K9M1FkX6HtzUXKXYuzJEnRmYZloTYdbWoqT7vBadgfhu2mPC3ekgZX1+Unbl8O&#10;c6f1/d34/AQq0hj/wvCDL+hQCNPRD2yDajXII/H3irdKpzNQRw2P80UKWOT4n774Bg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">
            <v:imagedata r:id="rId107" o:title="" croptop="-3859f" cropbottom="-6276f" cropleft="-1585f" cropright="-1828f"/>
            <o:lock v:ext="edit" aspectratio="f"/>
          </v:shape>
        </w:pict>
      </w:r>
    </w:p>
    <w:p w:rsidR="009D46E6" w:rsidRPr="00BD5EC7" w:rsidRDefault="009D46E6" w:rsidP="00866283">
      <w:pPr>
        <w:pStyle w:val="Zdroj"/>
      </w:pPr>
      <w:r w:rsidRPr="00BD5EC7">
        <w:t xml:space="preserve">Zdroj: </w:t>
      </w:r>
      <w:r w:rsidRPr="00A41EF3">
        <w:t>Český statistický úřad 2013, Roční statistické šetření výzkumu a vývoje VTR 5-01</w:t>
      </w:r>
    </w:p>
    <w:p w:rsidR="009D46E6" w:rsidRDefault="009D46E6" w:rsidP="00866283"/>
    <w:p w:rsidR="009D46E6" w:rsidRDefault="009D46E6" w:rsidP="00866283">
      <w:r>
        <w:t xml:space="preserve">Nejvíce zaměstnanců výzkumu a vývoje pracovalo v roce 2012, stejně jako v předchozích letech, v podnikatelském sektoru, konkrétně se jednalo o 32,2 tisíc přepočtených osob (FTE) a na všech zaměstnancích VaV se podílely 54 %. Do vysokoškolského výzkumu a vývoje bylo ve stejném roce zapojeno více než 16 tisíc (27 % zaměstnanců VaV) a do vládního pak 11 tisíc přepočtených osob (19 % zaměstnanců VaV). Oproti roku 2005 se zvýšil počet osob zaměstnaných ve výzkumu a vývoji podnikatelského sektoru z 22 tisíc na již zmiňovaných 32 tisíc přepočtených osob a i ve vysokoškolském sektoru došlo během tohoto krátkého období k nezanedbatelnému nárůstu, kdy v roce 2005 pracovalo ve vysokoškolském VaV necelých 11 tisíc přepočtených osob. V případě sektoru vládního lze hovořit spíše o stagnaci. </w:t>
      </w:r>
    </w:p>
    <w:p w:rsidR="009D46E6" w:rsidRDefault="009D46E6" w:rsidP="00866283">
      <w:r>
        <w:t>Mezi zaměstnanci výzkumu a vývoje převažují, zcela podle očekávání, výzkumní pracovníci. V roce 2012 se jednalo o více než 33 tisíc přepočtených osob a mezi všemi pracovníky VaV tvořili v průměru více jak polovinu (55 %). Druhou nejpočetnější skupinou zaměstnanců VaV jsou techničtí pracovníci (18 tisíc, 31 % zaměstnanců VaV) a zbylých cca 8,5 tisíc zaměstnanců VaV se řadí mezi ostatní pracovníky.</w:t>
      </w:r>
    </w:p>
    <w:p w:rsidR="009D46E6" w:rsidRDefault="009D46E6" w:rsidP="00866283">
      <w:r>
        <w:t>Od roku 2005 dochází k mírnému posunu ve vzdělanostní struktuře zaměstnanců ve VaV, kdy roste podíl zaměstnanců ve VaV s ukončeným terciárním vzděláním (vyšší odborné, bakalářské, magisterské, doktorské). Zatímco v roce 2005 mělo ukončené terciární vzdělání 67 % zaměstnanců ve VaV, do roku 2012 vzrostl tento podíl na 72 %. Více než 14 tisíc zaměstnanců ve VaV mělo v roce 2012 vzdělání v doktorském studijním programu.</w:t>
      </w:r>
    </w:p>
    <w:p w:rsidR="009D46E6" w:rsidRDefault="009D46E6" w:rsidP="00750D9B">
      <w:pPr>
        <w:pStyle w:val="Caption"/>
      </w:pPr>
      <w:bookmarkStart w:id="103" w:name="_Toc369092006"/>
      <w:r>
        <w:t xml:space="preserve">Graf </w:t>
      </w:r>
      <w:fldSimple w:instr=" STYLEREF 1 \s ">
        <w:r>
          <w:rPr>
            <w:noProof/>
          </w:rPr>
          <w:t>B</w:t>
        </w:r>
      </w:fldSimple>
      <w:r>
        <w:t>.</w:t>
      </w:r>
      <w:fldSimple w:instr=" SEQ Graf \* ARABIC \s 1 ">
        <w:r>
          <w:rPr>
            <w:noProof/>
          </w:rPr>
          <w:t>2</w:t>
        </w:r>
      </w:fldSimple>
      <w:r w:rsidRPr="00BD5EC7">
        <w:t xml:space="preserve">: </w:t>
      </w:r>
      <w:r w:rsidRPr="00364253">
        <w:t>Struktura zaměstnanců ve výzkumu a vývoji (FTE)</w:t>
      </w:r>
      <w:bookmarkEnd w:id="103"/>
    </w:p>
    <w:p w:rsidR="009D46E6" w:rsidRPr="00A41EF3" w:rsidRDefault="009D46E6" w:rsidP="001D7F37">
      <w:pPr>
        <w:pStyle w:val="Objekt"/>
      </w:pPr>
      <w:r w:rsidRPr="00A41EF3">
        <w:t>podle sektoru</w:t>
      </w:r>
      <w:r w:rsidRPr="00A41EF3">
        <w:tab/>
      </w:r>
      <w:r w:rsidRPr="00A41EF3">
        <w:tab/>
      </w:r>
      <w:r>
        <w:tab/>
      </w:r>
      <w:r>
        <w:tab/>
      </w:r>
      <w:r>
        <w:tab/>
      </w:r>
      <w:r>
        <w:tab/>
      </w:r>
      <w:r>
        <w:tab/>
      </w:r>
      <w:r w:rsidRPr="00A41EF3">
        <w:t>podle druhu zaměstnání</w:t>
      </w:r>
      <w:r w:rsidRPr="00A41EF3">
        <w:tab/>
      </w:r>
      <w:r w:rsidRPr="00A41EF3">
        <w:tab/>
      </w:r>
      <w:r w:rsidRPr="00A41EF3">
        <w:tab/>
      </w:r>
      <w:r>
        <w:t xml:space="preserve">  </w:t>
      </w:r>
      <w:r w:rsidRPr="00A41EF3">
        <w:t>podle vzdělání</w:t>
      </w:r>
    </w:p>
    <w:p w:rsidR="009D46E6" w:rsidRPr="003B2EE9" w:rsidRDefault="009D46E6" w:rsidP="001D7F37">
      <w:pPr>
        <w:pStyle w:val="Objekt"/>
      </w:pPr>
      <w:r w:rsidRPr="001D1D98">
        <w:pict>
          <v:shape id="_x0000_i1116" type="#_x0000_t75" style="width:150.6pt;height:123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hf5kT3QAAAAUBAAAPAAAAZHJzL2Rvd25y&#10;ZXYueG1sTI9RS8MwFIXfhf2HcAe+uXS1yKhNxzbsg4Kgm+w5S65NsbkpSbbV/fpFX/TlwuEczvlu&#10;tRxtz07oQ+dIwHyWAUNSTnfUCvjYNXcLYCFK0rJ3hAK+McCyntxUstTuTO942saWpRIKpRRgYhxK&#10;zoMyaGWYuQEpeZ/OWxmT9C3XXp5Tue15nmUP3MqO0oKRA24Mqq/t0Qp43TXP/LJXmxejwltTPK33&#10;Hkchbqfj6hFYxDH+heEHP6FDnZgO7kg6sF5AeiT+3uTdZ/Mc2EFAXhQL4HXF/9PXVw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">
            <v:imagedata r:id="rId108" o:title="" croptop="-8260f" cropbottom="-4497f" cropleft="-6901f" cropright="-2458f"/>
            <o:lock v:ext="edit" aspectratio="f"/>
          </v:shape>
        </w:pict>
      </w:r>
      <w:r w:rsidRPr="001D1D98">
        <w:pict>
          <v:shape id="Graf 3" o:spid="_x0000_i1117" type="#_x0000_t75" style="width:148.8pt;height:124.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">
            <v:imagedata r:id="rId109" o:title="" croptop="-7168f" cropbottom="-6513f" cropleft="-8656f" cropright="-2576f"/>
            <o:lock v:ext="edit" aspectratio="f"/>
          </v:shape>
        </w:pict>
      </w:r>
      <w:r w:rsidRPr="001D1D98">
        <w:pict>
          <v:shape id="_x0000_i1118" type="#_x0000_t75" style="width:170.4pt;height:127.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QCy43AAAAAUBAAAPAAAAZHJzL2Rvd25y&#10;ZXYueG1sTI9BS8NAEIXvgv9hGcGb3Rij2JhNEdGLeGhrKfQ2zY5JbHY2ZLdN/PeOXvTyYHjDe98r&#10;FpPr1ImG0Ho2cD1LQBFX3rZcG9i8v1zdgwoR2WLnmQx8UYBFeX5WYG79yCs6rWOtJIRDjgaaGPtc&#10;61A15DDMfE8s3ocfHEY5h1rbAUcJd51Ok+ROO2xZGhrs6amh6rA+OgO0GzbPb3aXHvBzueU5LsdX&#10;PRpzeTE9PoCKNMW/Z/jBF3QohWnvj2yD6gzIkPir4t1kiczYG0hvswx0Wej/9OU3AA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">
            <v:imagedata r:id="rId110" o:title="" croptop="-7938f" cropbottom="-7239f" cropleft="-7895f" cropright="-2313f"/>
            <o:lock v:ext="edit" aspectratio="f"/>
          </v:shape>
        </w:pict>
      </w:r>
    </w:p>
    <w:p w:rsidR="009D46E6" w:rsidRPr="00BD5EC7" w:rsidRDefault="009D46E6" w:rsidP="00866283">
      <w:pPr>
        <w:pStyle w:val="Zdroj"/>
      </w:pPr>
      <w:r w:rsidRPr="00BD5EC7">
        <w:t xml:space="preserve">Zdroj: </w:t>
      </w:r>
      <w:r w:rsidRPr="00A41EF3">
        <w:t>Český statistický úřad 2013, Roční statistické šetření výzkumu a vývoje VTR 5-01</w:t>
      </w:r>
    </w:p>
    <w:p w:rsidR="009D46E6" w:rsidRDefault="009D46E6" w:rsidP="00397DAB">
      <w:pPr>
        <w:pStyle w:val="Heading4"/>
      </w:pPr>
      <w:r>
        <w:t>Výzkumní pracovníci</w:t>
      </w:r>
    </w:p>
    <w:p w:rsidR="009D46E6" w:rsidRDefault="009D46E6" w:rsidP="00866283">
      <w:r>
        <w:t>Jak již bylo zmíněno výše, tvoří výzkumní pracovníci podstatnou část zaměstnanců VaV, konkrétně na všech zaměstnancích VaV zaujímají 55 % (FTE). V roce 2012 bylo v České republice 47 tisíc výzkumných pracovníků ve fyzických osobách (HC) a po přepočtení na plnou pracovní dobu se jednalo o 33 tisíc výzkumníků (FTE). Až do roku 2008 počet výzkumníků plynule narůstal, mezi lety 2008 a 2009 však jejich počet poklesl. Na tomto poklesu počtu výzkumníků má podstatný vliv vládní sektor, konkrétně ústavy Akademie věd ČR, kde došlo z metodologických důvodů k přeřazení některých výzkumníků mezi technické pracovníky. Mezi lety 2009 a 2010 již opět zaznamenáváme mírný nárůst počtu výzkumníků a od roku 2010 již jejich počet opět narůstá výrazněji.</w:t>
      </w:r>
    </w:p>
    <w:p w:rsidR="009D46E6" w:rsidRDefault="009D46E6" w:rsidP="00750D9B">
      <w:pPr>
        <w:pStyle w:val="Caption"/>
      </w:pPr>
      <w:bookmarkStart w:id="104" w:name="_Toc369092007"/>
      <w:r>
        <w:t xml:space="preserve">Graf </w:t>
      </w:r>
      <w:fldSimple w:instr=" STYLEREF 1 \s ">
        <w:r>
          <w:rPr>
            <w:noProof/>
          </w:rPr>
          <w:t>B</w:t>
        </w:r>
      </w:fldSimple>
      <w:r>
        <w:t>.</w:t>
      </w:r>
      <w:fldSimple w:instr=" SEQ Graf \* ARABIC \s 1 ">
        <w:r>
          <w:rPr>
            <w:noProof/>
          </w:rPr>
          <w:t>3</w:t>
        </w:r>
      </w:fldSimple>
      <w:r w:rsidRPr="00BD5EC7">
        <w:t xml:space="preserve">: </w:t>
      </w:r>
      <w:r w:rsidRPr="00364253">
        <w:t>Výzkumní pracovníci</w:t>
      </w:r>
      <w:bookmarkEnd w:id="104"/>
    </w:p>
    <w:p w:rsidR="009D46E6" w:rsidRDefault="009D46E6" w:rsidP="001D7F37">
      <w:pPr>
        <w:pStyle w:val="Objekt"/>
      </w:pPr>
      <w:r w:rsidRPr="001D1D98">
        <w:pict>
          <v:shape id="_x0000_i1119" type="#_x0000_t75" style="width:470.4pt;height:16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QKTah3QAAAAUBAAAPAAAAZHJzL2Rvd25y&#10;ZXYueG1sTI9RS8NAEITfBf/DsYJv9tJaS425FBUEoSBt7Q+45tbkaG4v5K7XmF/v6kt9GVhmmfmm&#10;WA2uFQn7YD0pmE4yEEiVN5ZqBfvPt7sliBA1Gd16QgXfGGBVXl8VOjf+TFtMu1gLDqGQawVNjF0u&#10;ZagadDpMfIfE3pfvnY589rU0vT5zuGvlLMsW0mlL3NDoDl8brI67k1Mwpo+H/ZimG7t5P25f1utk&#10;x6VU6vZmeH4CEXGIl2f4xWd0KJnp4E9kgmgV8JD4p+w9zjOecVBwP1vMQZaF/E9f/g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">
            <v:imagedata r:id="rId111" o:title="" croptop="-4850f" cropbottom="-4735f" cropleft="-963f" cropright="-1071f"/>
            <o:lock v:ext="edit" aspectratio="f"/>
          </v:shape>
        </w:pict>
      </w:r>
    </w:p>
    <w:p w:rsidR="009D46E6" w:rsidRPr="00BD5EC7" w:rsidRDefault="009D46E6" w:rsidP="00866283">
      <w:pPr>
        <w:pStyle w:val="Zdroj"/>
      </w:pPr>
      <w:r w:rsidRPr="00BD5EC7">
        <w:t xml:space="preserve">Zdroj: </w:t>
      </w:r>
      <w:r w:rsidRPr="00A41EF3">
        <w:t>Český statistický úřad 2013, Roční statistické šetření výzkumu a vývoje VTR 5-01</w:t>
      </w:r>
    </w:p>
    <w:p w:rsidR="009D46E6" w:rsidRPr="00364253" w:rsidRDefault="009D46E6" w:rsidP="00866283"/>
    <w:p w:rsidR="009D46E6" w:rsidRDefault="009D46E6" w:rsidP="00866283">
      <w:r>
        <w:t>Rozložení výzkumných pracovníků mezi jednotlivé sektory je velmi odlišné podle toho, jaká měrná jednotka je použita. V případě počtu fyzických osob (HC) bylo v roce 2012 nejvíce výzkumníků ve vysokoškolském sektoru, jednalo se o téměř 21 tisíc osob (44 %), v podnikatelském sektoru pracovalo ve stejném roce jako výzkumný pracovník cca 18 tisíc osob (39 %) a ve vládním téměř 8 tisíc (17 %). Naopak největší část výzkumných pracovníků vyjádřených ve FTE (počet přepočtený na plný pracovní úvazek) pracovala v roce 2012 v podnikatelském sektoru (cca 15 tisíc osob; 47 %). Výzkumní pracovníci vysokoškolského sektoru zaujímali na jejich celkovém počtu 35 % (11,5 tisíc) a výzkumníci sektoru vládního 18 % (6 tisíc). Z uvedeného srovnání vyplývá, že ve vysokoškolském sektoru pracují výzkumníci častěji na částečné úvazky.</w:t>
      </w:r>
    </w:p>
    <w:p w:rsidR="009D46E6" w:rsidRDefault="009D46E6" w:rsidP="00866283">
      <w:r>
        <w:t>Významná část výzkumných pracovníků se věnuje VaV v technických a přírodních vědách. V těchto dvou oblastech je zaměstnáno 75 % z nich, přičemž větší část zaujímají vědy technické. Lékařské vědy zaujímají na celkovém počtu výzkumníků 7 %, ve vědách sociálních i humanitních pracuje shodných 7 % všech výzkumných pracovníků. V zemědělských vědách jsou dále zaměstnána pouhá 4 % ze všech výzkumníků.</w:t>
      </w:r>
    </w:p>
    <w:p w:rsidR="009D46E6" w:rsidRDefault="009D46E6" w:rsidP="00866283">
      <w:r>
        <w:t>Výzkumní pracovníci dosahují vyššího vzdělání než jiní pracovníci VaV. Téměř 90 % výzkumníků v Česku mělo v roce 2012 některý ze stupňů terciárního vzdělání. V případě všech zaměstnanců VaV byl podíl takto vzdělaných osob 72 %.</w:t>
      </w:r>
    </w:p>
    <w:p w:rsidR="009D46E6" w:rsidRDefault="009D46E6" w:rsidP="00866283">
      <w:r>
        <w:t>Za rok 2011 jdou k dispozici také informace o věku výzkumných pracovníků. Téměř třetina jich je ve věku 25 34 let, 26 % ve věku 35-44 let a dále se s přibývajícím věkem jejich zastoupení zmenšuje. Zcela odlišná je naopak věková struktura výzkumníků v jednotlivých sektorech. Respektive významný rozdíl je mezi celým sektorem veřejným a sektorem podnikatelským, kdy lze podnikatelský sektor označit za výrazně mladší. Data za výzkumné pracovníky v třídění podle věku jsou k dispozici v tabulkové příloze.</w:t>
      </w:r>
    </w:p>
    <w:p w:rsidR="009D46E6" w:rsidRDefault="009D46E6" w:rsidP="00750D9B">
      <w:pPr>
        <w:pStyle w:val="Caption"/>
      </w:pPr>
      <w:bookmarkStart w:id="105" w:name="_Toc369092008"/>
      <w:r>
        <w:t xml:space="preserve">Graf </w:t>
      </w:r>
      <w:fldSimple w:instr=" STYLEREF 1 \s ">
        <w:r>
          <w:rPr>
            <w:noProof/>
          </w:rPr>
          <w:t>B</w:t>
        </w:r>
      </w:fldSimple>
      <w:r>
        <w:t>.</w:t>
      </w:r>
      <w:fldSimple w:instr=" SEQ Graf \* ARABIC \s 1 ">
        <w:r>
          <w:rPr>
            <w:noProof/>
          </w:rPr>
          <w:t>4</w:t>
        </w:r>
      </w:fldSimple>
      <w:r w:rsidRPr="00BD5EC7">
        <w:t xml:space="preserve">: </w:t>
      </w:r>
      <w:r w:rsidRPr="00364253">
        <w:t>Struktura výzkumných pracovníků</w:t>
      </w:r>
      <w:bookmarkEnd w:id="105"/>
    </w:p>
    <w:p w:rsidR="009D46E6" w:rsidRPr="00EF1A5C" w:rsidRDefault="009D46E6" w:rsidP="001D7F37">
      <w:pPr>
        <w:pStyle w:val="Objekt"/>
      </w:pPr>
      <w:r w:rsidRPr="00EC78F0">
        <w:t>podle sektoru (2012)</w:t>
      </w:r>
      <w:r w:rsidRPr="00EC78F0">
        <w:tab/>
      </w:r>
      <w:r w:rsidRPr="00EC78F0">
        <w:tab/>
      </w:r>
      <w:r>
        <w:tab/>
      </w:r>
      <w:r>
        <w:tab/>
      </w:r>
      <w:r>
        <w:tab/>
      </w:r>
      <w:r w:rsidRPr="00EC78F0">
        <w:t>podle vědních oblastí (FTE)</w:t>
      </w:r>
      <w:r w:rsidRPr="003B2EE9">
        <w:rPr>
          <w:color w:val="FF0000"/>
        </w:rPr>
        <w:tab/>
      </w:r>
      <w:r>
        <w:tab/>
      </w:r>
      <w:r>
        <w:tab/>
      </w:r>
      <w:r w:rsidRPr="00EF1A5C">
        <w:t>podle vzdělání (FTE)</w:t>
      </w:r>
    </w:p>
    <w:p w:rsidR="009D46E6" w:rsidRPr="00213034" w:rsidRDefault="009D46E6" w:rsidP="001D7F37">
      <w:pPr>
        <w:pStyle w:val="Objekt"/>
      </w:pPr>
      <w:r w:rsidRPr="001D1D98">
        <w:pict>
          <v:shape id="Graf 5" o:spid="_x0000_i1120" type="#_x0000_t75" style="width:151.8pt;height:124.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PjBuT3gAAAAUBAAAPAAAAZHJzL2Rvd25y&#10;ZXYueG1sTI9RS8NAEITfhf6HYwu+iL00LTXEXEopFkSh2OoP2ObWJPRuL81d2/jvPX3Rl4Vhhplv&#10;i+VgjbhQ71vHCqaTBARx5XTLtYKP9819BsIHZI3GMSn4Ig/LcnRTYK7dlXd02YdaxBL2OSpoQuhy&#10;KX3VkEU/cR1x9D5dbzFE2ddS93iN5dbINEkW0mLLcaHBjtYNVcf92SrwHT68vUzvsnTLx9en+mR2&#10;q+eNUrfjYfUIItAQ/sLwgx/RoYxMB3dm7YVREB8Jvzd6s2S2AHFQkM6zOciykP/py28A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">
            <v:imagedata r:id="rId112" o:title="" croptop="-12155f" cropbottom="-4895f" cropleft="-7345f" cropright="-1799f"/>
            <o:lock v:ext="edit" aspectratio="f"/>
          </v:shape>
        </w:pict>
      </w:r>
      <w:r w:rsidRPr="001D1D98">
        <w:pict>
          <v:shape id="Graf 6" o:spid="_x0000_i1121" type="#_x0000_t75" style="width:154.8pt;height:121.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eSxOg3QAAAAUBAAAPAAAAZHJzL2Rvd25y&#10;ZXYueG1sTI9PS8NAEMXvgt9hGcGL2E0TaSRmUyTSiwfB/jl422bHJDQ7G7KbNP32jl7sZeDxHu/9&#10;Jl/PthMTDr51pGC5iEAgVc60VCvY7zaPzyB80GR05wgVXNDDuri9yXVm3Jk+cdqGWnAJ+UwraELo&#10;Myl91aDVfuF6JPa+3WB1YDnU0gz6zOW2k3EUraTVLfFCo3ssG6xO29EqKN/TWdo0ib7e8LDa4/Rx&#10;eihHpe7v5tcXEAHn8B+GX3xGh4KZjm4k40WngB8Jf5e9ZJnEII4K4qc0Blnk8pq++AE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">
            <v:imagedata r:id="rId113" o:title="" croptop="-3584f" cropbottom="-8102f" cropleft="-5108f" cropright="-5132f"/>
            <o:lock v:ext="edit" aspectratio="f"/>
          </v:shape>
        </w:pict>
      </w:r>
      <w:r w:rsidRPr="001D1D98">
        <w:pict>
          <v:shape id="_x0000_i1122" type="#_x0000_t75" style="width:166.2pt;height:123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sOt153QAAAAUBAAAPAAAAZHJzL2Rvd25y&#10;ZXYueG1sTI/BTsMwEETvSP0Haytxow4JSmiIU7VIHDj0QEHl6sZLYhGv09htw9+zcIHLSqMZzbyt&#10;VpPrxRnHYD0puF0kIJAabyy1Ct5en27uQYSoyejeEyr4wgCrenZV6dL4C73geRdbwSUUSq2gi3Eo&#10;pQxNh06HhR+Q2Pvwo9OR5dhKM+oLl7tepkmSS6ct8UKnB3zssPncnZyCY7bPNut8S0nRpMXzu93u&#10;bVwqdT2f1g8gIk7xLww/+IwONTMd/IlMEL0CfiT+XvaybJmDOChI74oUZF3J//T1Nw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">
            <v:imagedata r:id="rId114" o:title="" croptop="-3159f" cropbottom="-5156f" cropleft="-7026f" cropright="-2660f"/>
            <o:lock v:ext="edit" aspectratio="f"/>
          </v:shape>
        </w:pict>
      </w:r>
    </w:p>
    <w:p w:rsidR="009D46E6" w:rsidRPr="00BD5EC7" w:rsidRDefault="009D46E6" w:rsidP="00866283">
      <w:pPr>
        <w:pStyle w:val="Zdroj"/>
      </w:pPr>
      <w:r w:rsidRPr="00BD5EC7">
        <w:t xml:space="preserve">Zdroj: </w:t>
      </w:r>
      <w:r w:rsidRPr="00A41EF3">
        <w:t>Český statistický úřad 2013, Roční statistické šetření výzkumu a vývoje VTR 5-01</w:t>
      </w:r>
    </w:p>
    <w:p w:rsidR="009D46E6" w:rsidRPr="00EE155B" w:rsidRDefault="009D46E6" w:rsidP="0042790F">
      <w:pPr>
        <w:pStyle w:val="Heading4"/>
      </w:pPr>
      <w:r w:rsidRPr="00EE155B">
        <w:t>Mezinárodní srovnání</w:t>
      </w:r>
    </w:p>
    <w:p w:rsidR="009D46E6" w:rsidRDefault="009D46E6" w:rsidP="00866283">
      <w:r>
        <w:t>V roce 2011 se Česká republika nacházela s jedenácti přepočtenými osobami zaměstnanými ve VaV (FTE) připadajícími na 1 000 zaměstnaných osob nepatrně pod evropským průměrem, který byl v tomto roce 11,2 zaměstnanců. Podobné zastoupení jako v České republice mají na zaměstnané populaci zaměstnanci VaV také v Portugalsku či Spojeném království. Nejvyšších hodnot dosahovalo Finsko, kde tento ukazatel přesahoval hranici 21 zaměstnanců ve VaV na 1 000 zaměstnaných celkem a v Dánsku se k této hranici významně přibližoval. Naopak nejmenší zastoupení mezi zaměstnanými mají pracovníci VaV v  Číně (3,8) a v Rumunsku (3,3). Pro představu v jakých absolutních hodnotách se počty zaměstnanců VaV pohybují, uveďme, že v Číně bylo v roce 2011 zaměstnáno ve VaV 2,9 miliónu osob a v EU28, která je populačně téměř třikrát menší, zaměstnával výzkum a vývoj 2,6 miliónu osob.</w:t>
      </w:r>
    </w:p>
    <w:p w:rsidR="009D46E6" w:rsidRDefault="009D46E6" w:rsidP="00750D9B">
      <w:pPr>
        <w:pStyle w:val="Caption"/>
      </w:pPr>
      <w:bookmarkStart w:id="106" w:name="_Toc369092009"/>
      <w:r>
        <w:t xml:space="preserve">Graf </w:t>
      </w:r>
      <w:fldSimple w:instr=" STYLEREF 1 \s ">
        <w:r>
          <w:rPr>
            <w:noProof/>
          </w:rPr>
          <w:t>B</w:t>
        </w:r>
      </w:fldSimple>
      <w:r>
        <w:t>.</w:t>
      </w:r>
      <w:fldSimple w:instr=" SEQ Graf \* ARABIC \s 1 ">
        <w:r>
          <w:rPr>
            <w:noProof/>
          </w:rPr>
          <w:t>5</w:t>
        </w:r>
      </w:fldSimple>
      <w:r w:rsidRPr="00BD5EC7">
        <w:t xml:space="preserve">: </w:t>
      </w:r>
      <w:r w:rsidRPr="00364253">
        <w:t>Zaměstnanci ve výzkumu vývoji (FTE), 2011 (na 1 000 zaměstnaných osob)</w:t>
      </w:r>
      <w:bookmarkEnd w:id="106"/>
    </w:p>
    <w:p w:rsidR="009D46E6" w:rsidRPr="00A07511" w:rsidRDefault="009D46E6" w:rsidP="001D7F37">
      <w:pPr>
        <w:pStyle w:val="Objekt"/>
      </w:pPr>
      <w:r w:rsidRPr="001D1D98">
        <w:pict>
          <v:shape id="_x0000_i1123" type="#_x0000_t75" style="width:480pt;height:192.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yq2nu2wAAAAUBAAAPAAAAZHJzL2Rvd25y&#10;ZXYueG1sTI/BTsMwEETvSPyDtUjcqENQSwlxKkBw6AWphQ9w422cEq9D7MTh71m4wGWk0axm3pab&#10;2XViwiG0nhRcLzIQSLU3LTUK3t9ertYgQtRkdOcJFXxhgE11flbqwvhEO5z2sRFcQqHQCmyMfSFl&#10;qC06HRa+R+Ls6AenI9uhkWbQictdJ/MsW0mnW+IFq3t8slh/7EenIN9+vjan4/I5f7QnN6Uh3Y7b&#10;pNTlxfxwDyLiHP+O4Qef0aFipoMfyQTRKeBH4q9ydrfK2B4U3KyXOciqlP/pq28A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">
            <v:imagedata r:id="rId115" o:title="" croptop="-2420f" cropbottom="-1661f" cropleft="-879f" cropright="-1083f"/>
            <o:lock v:ext="edit" aspectratio="f"/>
          </v:shape>
        </w:pict>
      </w:r>
    </w:p>
    <w:p w:rsidR="009D46E6" w:rsidRDefault="009D46E6" w:rsidP="00866283">
      <w:pPr>
        <w:pStyle w:val="Zdroj"/>
      </w:pPr>
      <w:r>
        <w:t>Pozn.: * data za rok 2010</w:t>
      </w:r>
    </w:p>
    <w:p w:rsidR="009D46E6" w:rsidRPr="00BD5EC7" w:rsidRDefault="009D46E6" w:rsidP="00866283">
      <w:pPr>
        <w:pStyle w:val="Zdroj"/>
      </w:pPr>
      <w:r>
        <w:t>Zdroj: OECD MSTI 2013/1, Eurostat 2013</w:t>
      </w:r>
    </w:p>
    <w:p w:rsidR="009D46E6" w:rsidRDefault="009D46E6" w:rsidP="00866283"/>
    <w:p w:rsidR="009D46E6" w:rsidRDefault="009D46E6" w:rsidP="00866283">
      <w:r>
        <w:t>I v počtu výzkumných pracovníků se Česká republika nacházela pod evropským průměrem. V Česku připadalo v roce 2011 na 1 000 zaměstnaných osob 6 výzkumných pracovníků v přepočtených osobách (FTE) a v průměru EU28 se jednalo o 7 výzkumníků na 1 000 zaměstnaných osob. Více než 10 výzkumných pracovníků na 1 000 zaměstnaných se vyskytuje v Japonsku, Švédsku, Koreji, Dánsku a ve Finsku.</w:t>
      </w:r>
    </w:p>
    <w:p w:rsidR="009D46E6" w:rsidRDefault="009D46E6" w:rsidP="00866283">
      <w:r>
        <w:t>K nejvýznamnějšímu nárůstu počtu zaměstnanců VaV došlo mezi sledovanými státy v případě Číny, Portugalska a Koreji. V rámci celé EU28 se počet zaměstnanců VaV ve sledovaném období meziročně zvyšoval v průměru o 2,4 %. Nárůst pouze minimální vykazovalo například Polsko a v případě Lotyšska, Japonska, Litvy, Rumunska a Ruska se počet zaměstnanců VaV dokonce v průměru meziročně snižoval.</w:t>
      </w:r>
    </w:p>
    <w:p w:rsidR="009D46E6" w:rsidRDefault="009D46E6" w:rsidP="00750D9B">
      <w:pPr>
        <w:pStyle w:val="Caption"/>
      </w:pPr>
      <w:bookmarkStart w:id="107" w:name="_Toc369092010"/>
      <w:r>
        <w:t xml:space="preserve">Graf </w:t>
      </w:r>
      <w:fldSimple w:instr=" STYLEREF 1 \s ">
        <w:r>
          <w:rPr>
            <w:noProof/>
          </w:rPr>
          <w:t>B</w:t>
        </w:r>
      </w:fldSimple>
      <w:r>
        <w:t>.</w:t>
      </w:r>
      <w:fldSimple w:instr=" SEQ Graf \* ARABIC \s 1 ">
        <w:r>
          <w:rPr>
            <w:noProof/>
          </w:rPr>
          <w:t>6</w:t>
        </w:r>
      </w:fldSimple>
      <w:r w:rsidRPr="00BD5EC7">
        <w:t xml:space="preserve">: </w:t>
      </w:r>
      <w:r w:rsidRPr="00364253">
        <w:t>Průměrný meziroční nárůst počtu zaměstnanců ve VaV (FTE), 2000</w:t>
      </w:r>
      <w:r>
        <w:t>-</w:t>
      </w:r>
      <w:r w:rsidRPr="00364253">
        <w:t>2011 (%)</w:t>
      </w:r>
      <w:bookmarkEnd w:id="107"/>
    </w:p>
    <w:p w:rsidR="009D46E6" w:rsidRPr="00DE6D78" w:rsidRDefault="009D46E6" w:rsidP="001D7F37">
      <w:pPr>
        <w:pStyle w:val="Objekt"/>
      </w:pPr>
      <w:r w:rsidRPr="001D1D98">
        <w:pict>
          <v:shape id="Chart 9" o:spid="_x0000_i1124" type="#_x0000_t75" style="width:470.4pt;height:191.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lcl863QAAAAUBAAAPAAAAZHJzL2Rvd25y&#10;ZXYueG1sTI9BS8NAEIXvgv9hGcGLtBtTCGnMpqgg0ouSVhRvm+yYBLOzMbtp47936kUvDx5veO+b&#10;fDPbXhxw9J0jBdfLCARS7UxHjYKX/cMiBeGDJqN7R6jgGz1sivOzXGfGHanEwy40gkvIZ1pBG8KQ&#10;SenrFq32SzcgcfbhRqsD27GRZtRHLre9jKMokVZ3xAutHvC+xfpzN1kFsVy9Pz/uX7fbsry6m9+m&#10;pHqSX0pdXsy3NyACzuHvGE74jA4FM1VuIuNFr4AfCb/K2TqJ2FYKVmmcgixy+Z+++AE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">
            <v:imagedata r:id="rId116" o:title="" croptop="-9272f" cropbottom="-651f" cropleft="-941f" cropright="-941f"/>
            <o:lock v:ext="edit" aspectratio="f"/>
          </v:shape>
        </w:pict>
      </w:r>
    </w:p>
    <w:p w:rsidR="009D46E6" w:rsidRPr="00364253" w:rsidRDefault="009D46E6" w:rsidP="00866283">
      <w:pPr>
        <w:pStyle w:val="Zdroj"/>
      </w:pPr>
      <w:r w:rsidRPr="00364253">
        <w:t>Pozn.: Průměrný meziroční nárůst počtu zaměstnanců je za Českou republiku vypočten z počtu zaměstnanců ve fyzických osobách (HC), neboť v roce 2005 došlo v Česku ke změně metodiky výpočtu FTE a z tohoto důvodu by byl průměrný meziroční nárůst počtu zaměstnanců vyjádřený z FTE významně nadhodnocen.</w:t>
      </w:r>
    </w:p>
    <w:p w:rsidR="009D46E6" w:rsidRPr="00364253" w:rsidRDefault="009D46E6" w:rsidP="00866283">
      <w:pPr>
        <w:pStyle w:val="Zdroj"/>
      </w:pPr>
      <w:r w:rsidRPr="00364253">
        <w:t>*Francie, Nizozemsko 2000 - 2010; Švédsko 2001 - 2011</w:t>
      </w:r>
    </w:p>
    <w:p w:rsidR="009D46E6" w:rsidRDefault="009D46E6" w:rsidP="00866283">
      <w:pPr>
        <w:pStyle w:val="Zdroj"/>
      </w:pPr>
      <w:r w:rsidRPr="00364253">
        <w:t>Zdroj: OECD MSTI 2013/1, Eurostat 2013</w:t>
      </w:r>
    </w:p>
    <w:p w:rsidR="009D46E6" w:rsidRDefault="009D46E6" w:rsidP="00866283"/>
    <w:p w:rsidR="009D46E6" w:rsidRDefault="009D46E6" w:rsidP="00866283">
      <w:r w:rsidRPr="00364253">
        <w:t>Ve veřejném sektoru pracují více jak dvě třetiny zaměstnaných ve VaV v Litvě, na Slovensku, Bulharsku, Polsku, Lotyšsku, Rumunsku Portugalsku a v Chorvatsku, přičemž v Bulharsku je 55 % z nich zaměstnáno v sektoru vládním. Česká republika patří společně s Itálií, Maďarskem a Ruskem mezi státy, kde je poměr zaměstnaných ve veřejném i soukromém VaV téměř vyrovnán. Stejně je tomu i v průměru celé EU28. Naopak v Rakousku, Švédsku, Japonsku, Číně a Koreji je zcela dominantní podnikatelský sektor, ve kterém pracuje okolo 70 % všech zaměstnanců VaV.</w:t>
      </w:r>
    </w:p>
    <w:p w:rsidR="009D46E6" w:rsidRDefault="009D46E6" w:rsidP="00750D9B">
      <w:pPr>
        <w:pStyle w:val="Caption"/>
      </w:pPr>
      <w:bookmarkStart w:id="108" w:name="_Toc369092011"/>
      <w:r>
        <w:t xml:space="preserve">Graf </w:t>
      </w:r>
      <w:fldSimple w:instr=" STYLEREF 1 \s ">
        <w:r>
          <w:rPr>
            <w:noProof/>
          </w:rPr>
          <w:t>B</w:t>
        </w:r>
      </w:fldSimple>
      <w:r>
        <w:t>.</w:t>
      </w:r>
      <w:fldSimple w:instr=" SEQ Graf \* ARABIC \s 1 ">
        <w:r>
          <w:rPr>
            <w:noProof/>
          </w:rPr>
          <w:t>7</w:t>
        </w:r>
      </w:fldSimple>
      <w:r w:rsidRPr="00BD5EC7">
        <w:t xml:space="preserve">: </w:t>
      </w:r>
      <w:r w:rsidRPr="00B8232A">
        <w:t>Zaměstnanci ve výzkumu a vývoji podle sektorů působení, 2011</w:t>
      </w:r>
      <w:bookmarkEnd w:id="108"/>
    </w:p>
    <w:p w:rsidR="009D46E6" w:rsidRDefault="009D46E6" w:rsidP="001D7F37">
      <w:pPr>
        <w:pStyle w:val="Objekt"/>
      </w:pPr>
      <w:r w:rsidRPr="001D1D98">
        <w:pict>
          <v:shape id="Chart 13" o:spid="_x0000_i1125" type="#_x0000_t75" style="width:481.2pt;height:194.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Dd5as2gAAAAUBAAAPAAAAZHJzL2Rvd25y&#10;ZXYueG1sTI/BTsMwEETvSPyDtUjcqNMCVRLiVFUrbr1QEGfXXhLTeB3ZbmP4egwXellpNKOZt80q&#10;2YGd0QfjSMB8VgBDUk4b6gS8vT7flcBClKTl4AgFfGGAVXt91chau4le8LyPHcslFGopoI9xrDkP&#10;qkcrw8yNSNn7cN7KmKXvuPZyyuV24IuiWHIrDeWFXo646VEd9ycrIFWV+X5890FNymw+cburYtoJ&#10;cXuT1k/AIqb4H4Zf/IwObWY6uBPpwAYB+ZH4d7NXLRcPwA4C7suyBN42/JK+/QE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">
            <v:imagedata r:id="rId117" o:title="" croptop="-4156f" cropbottom="-3366f" cropleft="-463f" cropright="-435f"/>
            <o:lock v:ext="edit" aspectratio="f"/>
          </v:shape>
        </w:pict>
      </w:r>
    </w:p>
    <w:p w:rsidR="009D46E6" w:rsidRDefault="009D46E6" w:rsidP="00866283">
      <w:pPr>
        <w:pStyle w:val="Zdroj"/>
      </w:pPr>
      <w:r>
        <w:t>Pozn.: * data za rok 2010</w:t>
      </w:r>
    </w:p>
    <w:p w:rsidR="009D46E6" w:rsidRPr="00BD5EC7" w:rsidRDefault="009D46E6" w:rsidP="00866283">
      <w:pPr>
        <w:pStyle w:val="Zdroj"/>
      </w:pPr>
      <w:r>
        <w:t>Zdroj: OECD MSTI 2013/1, Eurostat 2013</w:t>
      </w:r>
    </w:p>
    <w:p w:rsidR="009D46E6" w:rsidRDefault="009D46E6" w:rsidP="003C6E2E">
      <w:pPr>
        <w:pStyle w:val="Heading3"/>
      </w:pPr>
      <w:bookmarkStart w:id="109" w:name="_Toc369091876"/>
      <w:r>
        <w:t>Zaměstnaní ve VaV vládního sektoru</w:t>
      </w:r>
      <w:bookmarkEnd w:id="109"/>
    </w:p>
    <w:p w:rsidR="009D46E6" w:rsidRDefault="009D46E6" w:rsidP="00866283">
      <w:r>
        <w:t>Mezi lety 2001–2005 se počet osob pracujících ve výzkumu a vývoji vládního sektou pohyboval okolo 13,5 tisíc fyzických osob (HC), od roku 2005 pak byl zaznamenán mírný nárůst počtu, který se zastavil v roce 2008 na hodnotě 15,1 tisíc osob pracujících ve vládním VaV a od tohoto roku již zaznamenáváme pokles a v současné době stagnaci. V posledním sledovaném roce, v roce 2012, pracovalo ve vládním VaV 14,5 tisíc fyzických osob. V rámci VaV celého veřejného sektoru (vládní a vysokoškolský sektor) dochází během sledovaného období k plynulému poklesu podílu zaměstnanců VaV vládního sektoru. V roce 2001 zaujímali zaměstnanci vládního sektoru 44 % a v roce 2012 již pouhých 33 % všech zaměstnanců veřejného VaV. Pokud přepočteme fyzické osoby zaměstnané ve vládním VaV na plný pracovní úvazek, klesne počet zaměstnaných na 11 tisíc (FTE). Zcela jiný je vývoj počtu zaměstnanců VaV v dalším z veřejných sektorů – v sektoru vysokoškolském, ve kterém docházelo k plynulému nárůstu zaměstnanců jak v absolutních, tak i relativních číslech. Více o zaměstnaných ve vysokoškolském VaV v kapitole B.1.3.</w:t>
      </w:r>
    </w:p>
    <w:p w:rsidR="009D46E6" w:rsidRDefault="009D46E6" w:rsidP="00750D9B">
      <w:pPr>
        <w:pStyle w:val="Caption"/>
      </w:pPr>
      <w:bookmarkStart w:id="110" w:name="_Toc369092012"/>
      <w:r>
        <w:t xml:space="preserve">Graf </w:t>
      </w:r>
      <w:fldSimple w:instr=" STYLEREF 1 \s ">
        <w:r>
          <w:rPr>
            <w:noProof/>
          </w:rPr>
          <w:t>B</w:t>
        </w:r>
      </w:fldSimple>
      <w:r>
        <w:t>.</w:t>
      </w:r>
      <w:fldSimple w:instr=" SEQ Graf \* ARABIC \s 1 ">
        <w:r>
          <w:rPr>
            <w:noProof/>
          </w:rPr>
          <w:t>8</w:t>
        </w:r>
      </w:fldSimple>
      <w:r w:rsidRPr="00BD5EC7">
        <w:t xml:space="preserve">: </w:t>
      </w:r>
      <w:r w:rsidRPr="00B8232A">
        <w:t>Zaměstnaní ve výzkumu a vývoji vládního sektoru</w:t>
      </w:r>
      <w:bookmarkEnd w:id="110"/>
    </w:p>
    <w:p w:rsidR="009D46E6" w:rsidRPr="00EA0274" w:rsidRDefault="009D46E6" w:rsidP="001D7F37">
      <w:pPr>
        <w:pStyle w:val="Objekt"/>
      </w:pPr>
      <w:r w:rsidRPr="001D1D98">
        <w:pict>
          <v:shape id="Graf 308" o:spid="_x0000_i1126" type="#_x0000_t75" style="width:307.8pt;height:159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o2IGI3AAAAAUBAAAPAAAAZHJzL2Rvd25y&#10;ZXYueG1sTI9BS8NAEIXvQv/DMgUvYncbQ7AxmyKCosdWQb1Ns9MkNDsbsps0/ntXL3oZeLzHe98U&#10;29l2YqLBt441rFcKBHHlTMu1hrfXx+tbED4gG+wck4Yv8rAtFxcF5sadeUfTPtQilrDPUUMTQp9L&#10;6auGLPqV64mjd3SDxRDlUEsz4DmW204mSmXSYstxocGeHhqqTvvRakiV9D0+qY/358+XedpcpZvd&#10;mGp9uZzv70AEmsNfGH7wIzqUkengRjZedBriI+H3Ri9L1hmIg4abJFUgy0L+py+/AQ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">
            <v:imagedata r:id="rId118" o:title="" croptop="-1500f" cropbottom="-5551f" cropleft="-1908f" cropright="-1059f"/>
            <o:lock v:ext="edit" aspectratio="f"/>
          </v:shape>
        </w:pict>
      </w:r>
      <w:r w:rsidRPr="001D1D98">
        <w:pict>
          <v:shape id="Graf 309" o:spid="_x0000_i1127" type="#_x0000_t75" style="width:157.8pt;height:135.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">
            <v:imagedata r:id="rId119" o:title="" croptop="-3964f" cropbottom="-5285f" cropleft="-9061f" cropright="-3748f"/>
            <o:lock v:ext="edit" aspectratio="f"/>
          </v:shape>
        </w:pict>
      </w:r>
    </w:p>
    <w:p w:rsidR="009D46E6" w:rsidRDefault="009D46E6" w:rsidP="00866283">
      <w:pPr>
        <w:pStyle w:val="Zdroj"/>
      </w:pPr>
      <w:r>
        <w:t xml:space="preserve">Zdroj: </w:t>
      </w:r>
      <w:r w:rsidRPr="00B8232A">
        <w:t>Český statistický úřad 2013, Roční statistické šetření výzkumu a vývoje VTR 5-01</w:t>
      </w:r>
    </w:p>
    <w:p w:rsidR="009D46E6" w:rsidRDefault="009D46E6" w:rsidP="00866283"/>
    <w:p w:rsidR="009D46E6" w:rsidRDefault="009D46E6" w:rsidP="00866283">
      <w:r>
        <w:t>Jak již bylo zmíněno, mezi zaměstnanci VaV převažují výzkumní pracovníci a vládní sektor není výjimkou. V roce 2012 zde bylo zaměstnáno 6 tisíc výzkumných pracovníků, jako technický pracovník zde bylo zaměstnáno více jak 2,7 tisíce přepočtených osob a do kategorie ostatní spadalo cca 2,5 tisíce zaměstnanců vládního VaV.</w:t>
      </w:r>
    </w:p>
    <w:p w:rsidR="009D46E6" w:rsidRDefault="009D46E6" w:rsidP="00866283">
      <w:r>
        <w:t>V průběhu celého sledovaného období byla více než polovina zaměstnanců vládního VaV zaměstnána v ústavech zřizovaných Akademií věd ČR, v roce 2012 se jednalo již dokonce o dvě třetiny, konkrétně 7,6 tisíc přepočtených osob. V rezortních výzkumných pracovištích pracovalo v tomto roce 2,5 tisíc přepočtených osob a 1,2 tisíc jich pracovalo v ostatních pracovištích vládního sektoru.</w:t>
      </w:r>
    </w:p>
    <w:p w:rsidR="009D46E6" w:rsidRDefault="009D46E6" w:rsidP="00750D9B">
      <w:pPr>
        <w:pStyle w:val="Caption"/>
      </w:pPr>
      <w:bookmarkStart w:id="111" w:name="_Toc369092013"/>
      <w:r>
        <w:t xml:space="preserve">Graf </w:t>
      </w:r>
      <w:fldSimple w:instr=" STYLEREF 1 \s ">
        <w:r>
          <w:rPr>
            <w:noProof/>
          </w:rPr>
          <w:t>B</w:t>
        </w:r>
      </w:fldSimple>
      <w:r>
        <w:t>.</w:t>
      </w:r>
      <w:fldSimple w:instr=" SEQ Graf \* ARABIC \s 1 ">
        <w:r>
          <w:rPr>
            <w:noProof/>
          </w:rPr>
          <w:t>9</w:t>
        </w:r>
      </w:fldSimple>
      <w:r w:rsidRPr="00BD5EC7">
        <w:t xml:space="preserve">: </w:t>
      </w:r>
      <w:r w:rsidRPr="00B8232A">
        <w:t>Struktura zaměstnaných ve VaV vládního sektoru (FTE)</w:t>
      </w:r>
      <w:r>
        <w:t>, 2012</w:t>
      </w:r>
      <w:bookmarkEnd w:id="111"/>
    </w:p>
    <w:p w:rsidR="009D46E6" w:rsidRPr="00895815" w:rsidRDefault="009D46E6" w:rsidP="001D7F37">
      <w:pPr>
        <w:pStyle w:val="Objekt"/>
      </w:pPr>
      <w:r>
        <w:t xml:space="preserve">podle druhu zaměstnání </w:t>
      </w:r>
      <w:r>
        <w:tab/>
      </w:r>
      <w:r>
        <w:tab/>
        <w:t xml:space="preserve">      </w:t>
      </w:r>
      <w:r w:rsidRPr="00895815">
        <w:t xml:space="preserve"> podle vzdělání</w:t>
      </w:r>
      <w:r w:rsidRPr="00895815">
        <w:tab/>
      </w:r>
      <w:r w:rsidRPr="00895815">
        <w:tab/>
        <w:t xml:space="preserve">  </w:t>
      </w:r>
      <w:r>
        <w:t xml:space="preserve">                          podle vědních oblastí</w:t>
      </w:r>
    </w:p>
    <w:p w:rsidR="009D46E6" w:rsidRPr="00540B0B" w:rsidRDefault="009D46E6" w:rsidP="001D7F37">
      <w:pPr>
        <w:pStyle w:val="Objekt"/>
      </w:pPr>
      <w:r w:rsidRPr="001D1D98">
        <w:pict>
          <v:shape id="Graf 310" o:spid="_x0000_i1128" type="#_x0000_t75" style="width:143.4pt;height:111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6WSyE2gAAAAUBAAAPAAAAZHJzL2Rvd25y&#10;ZXYueG1sTI9PT8MwDMXvSHyHyEjcWEIPZSpNJ0SFEBf+bEhcvca0FY1TNdnW8ekxXMbFetaznn+v&#10;XM1+UHuaYh/YwvXCgCJuguu5tfC+ebhagooJ2eEQmCwcKcKqOj8rsXDhwG+0X6dWSQjHAi10KY2F&#10;1rHpyGNchJFYvM8weUyyTq12Ex4k3A86MybXHnuWDx2OdN9R87XeeQvkn3J6fTYfx/rRTJvvm9q9&#10;YG3t5cV8dwsq0ZxOx/CLL+hQCdM27NhFNViQIulvipctc6mxFZGJ0FWp/9NXPwA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">
            <v:imagedata r:id="rId120" o:title="" croptop="-5273f" cropbottom="-2523f" cropleft="-8725f" cropright="-4679f"/>
            <o:lock v:ext="edit" aspectratio="f"/>
          </v:shape>
        </w:pict>
      </w:r>
      <w:r w:rsidRPr="001D1D98">
        <w:pict>
          <v:shape id="_x0000_i1129" type="#_x0000_t75" style="width:167.4pt;height:117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vgB453AAAAAUBAAAPAAAAZHJzL2Rvd25y&#10;ZXYueG1sTI+9TsNAEIR7JN7htEh05IwdfmJ8jhBSCiiQ4qSh29gb+4Rvz/JdHPP2LDTQjLSa1cw3&#10;xXp2vZpoDNazgdtFAoq49o3l1sB+t7l5BBUicoO9ZzLwRQHW5eVFgXnjz7ylqYqtkhAOORroYhxy&#10;rUPdkcOw8AOxeEc/Ooxyjq1uRjxLuOt1miT32qFlaehwoJeO6s/q5AzM6Yet3ObO7uL0Tm7av60e&#10;XtGY66v5+QlUpDn+PcMPvqBDKUwHf+ImqN6ADIm/Kl6WLWXGwUCaLRPQZaH/05ffAA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">
            <v:imagedata r:id="rId121" o:title="" croptop="-9929f" cropbottom="-5275f" cropleft="-8306f" cropright="-2253f"/>
            <o:lock v:ext="edit" aspectratio="f"/>
          </v:shape>
        </w:pict>
      </w:r>
      <w:r w:rsidRPr="001D1D98">
        <w:pict>
          <v:shape id="_x0000_i1130" type="#_x0000_t75" style="width:159.6pt;height:118.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hLq463QAAAAUBAAAPAAAAZHJzL2Rvd25y&#10;ZXYueG1sTI/BasMwEETvhfyD2EJvjVyFJsG1HIKhPbQQSFJ6Vqyt5UZaGUtO3L+vkkt6WRhmmHlb&#10;rEZn2Qn70HqS8DTNgCHVXrfUSPjcvz4ugYWoSCvrCSX8YoBVObkrVK79mbZ42sWGpRIKuZJgYuxy&#10;zkNt0Kkw9R1S8r5971RMsm+47tU5lTvLRZbNuVMtpQWjOqwM1sfd4CT8VHvz8bVZbqOt349i4Ye3&#10;qtlI+XA/rl+ARRzjLQwX/IQOZWI6+IF0YFZCeiReb/Jm4lkAO0gQs8UceFnw//TlHw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">
            <v:imagedata r:id="rId122" o:title="" croptop="-4531f" cropbottom="-4782f" cropleft="-6710f" cropright="-3611f"/>
            <o:lock v:ext="edit" aspectratio="f"/>
          </v:shape>
        </w:pict>
      </w:r>
    </w:p>
    <w:p w:rsidR="009D46E6" w:rsidRDefault="009D46E6" w:rsidP="00866283">
      <w:pPr>
        <w:pStyle w:val="Zdroj"/>
      </w:pPr>
      <w:r>
        <w:t xml:space="preserve">Zdroj: </w:t>
      </w:r>
      <w:r w:rsidRPr="00B8232A">
        <w:t>Český statistický úřad 2013, Roční statistické šetření výzkumu a vývoje VTR 5-01</w:t>
      </w:r>
    </w:p>
    <w:p w:rsidR="009D46E6" w:rsidRDefault="009D46E6" w:rsidP="00866283"/>
    <w:p w:rsidR="009D46E6" w:rsidRDefault="009D46E6" w:rsidP="00866283">
      <w:r>
        <w:t>Nejvíce zaměstnanců VaV se ve vládním sektoru věnuje přírodním vědám, v roce 2012 bylo v těchto vědních oblastech zaměstnáno 60 % z nich, konkrétně se jednalo o více než 6,7 tisíc přepočtených osob. Vědám technickým se ve stejném roce věnovalo 8 % zaměstnanců vládního VaV a vědám humanitním 14 %. Vědám lékařským, zemědělským a sociálním se ve vládním sektoru věnovalo dohromady cca 2,1 tisíc osob. Předchozí řádky se týkají vládního sektoru jako celku, pokud se však zaměříme podrobněji na jednotlivé druhy pracovišť, zjistíme, že se co do vědních oblastí velmi liší. V ústavech Akademie věd ČR dominovaly podle počtu zaměstnaných osob přírodní vědy, kde pracovalo 5,6 tisíc osob zaměstnaných ve VaV AV ČR. V technických vědách zde bylo zaměstnáno cca 600 a ve vědách humanitních necelých 900 zaměstnanců. Zastoupeny nejsou ve VaV ústavů AV ČR zemědělské vědy, které mají naopak hojné zastoupení v případě resortních výzkumných pracovišť, ve kterých provádělo VaV v této vědní oblasti téměř 700 zaměstnanců VaV. V resortním VaV jsou silně zastoupeny i vědy přírodní s 850 zaměstnanci VaV a vědy sociální (360). Ve VaV resortních pracovišť pak nejsou, oproti ústavům AV ČR, zastoupeny humanitní vědy.</w:t>
      </w:r>
    </w:p>
    <w:p w:rsidR="009D46E6" w:rsidRDefault="009D46E6" w:rsidP="00866283">
      <w:r>
        <w:t>Ve VaV vládního sektoru převažují osoby, které mají vystudovaný některý ze stupňů terciárního vzdělání, takových osob zde v roce 2012 bylo 8 tisíc. Doktorské vzdělání pak mělo 3,7 tisíc a vzdělání vyšší odborné či vysokoškolské cca 4,3 tisíc zaměstnanců VaV tohoto sektoru.</w:t>
      </w:r>
    </w:p>
    <w:p w:rsidR="009D46E6" w:rsidRDefault="009D46E6" w:rsidP="00397DAB">
      <w:pPr>
        <w:pStyle w:val="Heading4"/>
      </w:pPr>
      <w:r>
        <w:t>Mezinárodní srovnání</w:t>
      </w:r>
    </w:p>
    <w:p w:rsidR="009D46E6" w:rsidRDefault="009D46E6" w:rsidP="00866283">
      <w:r>
        <w:t>Mezi sledovanými státy tvořily v roce 2011 zaměstnanci VaV vládního sektoru nejvyšší podíl na všech zaměstnancích ve VaV v Bulharsku, kde bylo jejich zastoupení vyšší než 50 %. Vysoké hodnoty dosahovalo i Rusko, Rumunsko a Chorvatsko, ale zde již nebyl podíl tak významný, pohyboval se nad hranicí 30 %. Obecně však lze konstatovat, že v postkomunistických státech je stále vysoké zastoupení zaměstnaných ve VaV vládního sektoru na celkovém počtu zaměstnaných ve VaV. V průměru Evropské unie je mezi zaměstnanci VaV 14 % těch, kteří pracují ve vládním sektoru. Velmi malé zastoupení vládního sektoru na zaměstnaných ve VaV zaznamenáváme u Rakouska (5 %), Švédska (4 %) a Dánska (3 %).</w:t>
      </w:r>
    </w:p>
    <w:p w:rsidR="009D46E6" w:rsidRDefault="009D46E6" w:rsidP="00750D9B">
      <w:pPr>
        <w:pStyle w:val="Caption"/>
      </w:pPr>
      <w:bookmarkStart w:id="112" w:name="_Toc369092014"/>
      <w:r>
        <w:t xml:space="preserve">Graf </w:t>
      </w:r>
      <w:fldSimple w:instr=" STYLEREF 1 \s ">
        <w:r>
          <w:rPr>
            <w:noProof/>
          </w:rPr>
          <w:t>B</w:t>
        </w:r>
      </w:fldSimple>
      <w:r>
        <w:t>.</w:t>
      </w:r>
      <w:fldSimple w:instr=" SEQ Graf \* ARABIC \s 1 ">
        <w:r>
          <w:rPr>
            <w:noProof/>
          </w:rPr>
          <w:t>10</w:t>
        </w:r>
      </w:fldSimple>
      <w:r w:rsidRPr="00BD5EC7">
        <w:t xml:space="preserve">: </w:t>
      </w:r>
      <w:r w:rsidRPr="00B8232A">
        <w:t>Zaměstnaní ve VaV vládního sektoru (FTE), 2011</w:t>
      </w:r>
      <w:bookmarkEnd w:id="112"/>
    </w:p>
    <w:p w:rsidR="009D46E6" w:rsidRPr="00116E7F" w:rsidRDefault="009D46E6" w:rsidP="001D7F37">
      <w:pPr>
        <w:pStyle w:val="Objekt"/>
      </w:pPr>
      <w:r w:rsidRPr="001D1D98">
        <w:pict>
          <v:shape id="Chart 15" o:spid="_x0000_i1131" type="#_x0000_t75" style="width:480.6pt;height:186.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">
            <v:imagedata r:id="rId123" o:title="" croptop="-2479f" cropbottom="-1073f" cropleft="-1293f" cropright="-1470f"/>
            <o:lock v:ext="edit" aspectratio="f"/>
          </v:shape>
        </w:pict>
      </w:r>
    </w:p>
    <w:p w:rsidR="009D46E6" w:rsidRDefault="009D46E6" w:rsidP="00866283">
      <w:pPr>
        <w:pStyle w:val="Zdroj"/>
      </w:pPr>
      <w:r>
        <w:t>Pozn.: * data za rok 2010</w:t>
      </w:r>
    </w:p>
    <w:p w:rsidR="009D46E6" w:rsidRPr="00BD5EC7" w:rsidRDefault="009D46E6" w:rsidP="00866283">
      <w:pPr>
        <w:pStyle w:val="Zdroj"/>
      </w:pPr>
      <w:r>
        <w:t>Zdroj: OECD MSTI 2013/1, Eurostat 2013</w:t>
      </w:r>
    </w:p>
    <w:p w:rsidR="009D46E6" w:rsidRDefault="009D46E6" w:rsidP="00866283">
      <w:r w:rsidRPr="00B8232A">
        <w:t>Mezi lety 2000 a 2011 byl u sledovaných zemí zaznamenán nejvyšší průměrný meziroční nárůst počtu zaměstnaných ve VaV vládního sektoru v Koreji a ve Španělsku. V Česku rostl během sledovaného období počet zaměstnanců VaV ve vládním sektoru meziročně v průměru o 0,3 %, tzn. nepatrně pomaleji než v rámci celé EU28, kde dosahoval tento ukazatel hodnoty 0,9 %. Velká část evropských zemí zaznamenávala naopak pokles. Nejrychleji během sledovaného období klesal počet zaměstnanců VaV vládního sektoru v Dánsku, meziročně v průměru o 11,5 %.</w:t>
      </w:r>
    </w:p>
    <w:p w:rsidR="009D46E6" w:rsidRDefault="009D46E6" w:rsidP="0042790F">
      <w:pPr>
        <w:pStyle w:val="Caption"/>
        <w:tabs>
          <w:tab w:val="clear" w:pos="1276"/>
        </w:tabs>
        <w:ind w:left="1134" w:hanging="1134"/>
      </w:pPr>
      <w:bookmarkStart w:id="113" w:name="_Toc369092015"/>
      <w:r>
        <w:t xml:space="preserve">Graf </w:t>
      </w:r>
      <w:fldSimple w:instr=" STYLEREF 1 \s ">
        <w:r>
          <w:rPr>
            <w:noProof/>
          </w:rPr>
          <w:t>B</w:t>
        </w:r>
      </w:fldSimple>
      <w:r>
        <w:t>.</w:t>
      </w:r>
      <w:fldSimple w:instr=" SEQ Graf \* ARABIC \s 1 ">
        <w:r>
          <w:rPr>
            <w:noProof/>
          </w:rPr>
          <w:t>11</w:t>
        </w:r>
      </w:fldSimple>
      <w:r w:rsidRPr="00BD5EC7">
        <w:t xml:space="preserve">: </w:t>
      </w:r>
      <w:r w:rsidRPr="00B8232A">
        <w:t>Průměrný meziroční nárůst počtu zaměstnaných ve VaV vládního sektoru (FTE), 2000</w:t>
      </w:r>
      <w:r>
        <w:t>-</w:t>
      </w:r>
      <w:r w:rsidRPr="00B8232A">
        <w:t>2011 (%)</w:t>
      </w:r>
      <w:bookmarkEnd w:id="113"/>
    </w:p>
    <w:p w:rsidR="009D46E6" w:rsidRPr="001E237E" w:rsidRDefault="009D46E6" w:rsidP="001D7F37">
      <w:pPr>
        <w:pStyle w:val="Objekt"/>
      </w:pPr>
      <w:r w:rsidRPr="001D1D98">
        <w:pict>
          <v:shape id="Chart 18" o:spid="_x0000_i1132" type="#_x0000_t75" style="width:470.4pt;height:177.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2doVN3AAAAAUBAAAPAAAAZHJzL2Rvd25y&#10;ZXYueG1sTI/BasMwEETvhf6D2EBvjZw4mMS1HEKhlJxKk0DoTbY2tqm0MpbiuH/fbS/tZWGYZeZN&#10;sZ2cFSMOofOkYDFPQCDV3nTUKDgdXx7XIELUZLT1hAq+MMC2vL8rdG78jd5xPMRGcAiFXCtoY+xz&#10;KUPdotNh7nsk9i5+cDqyHBppBn3jcGflMkky6XRH3NDqHp9brD8PV8e9+4+3dLd6PW+qtT3tL/5c&#10;j8dUqYfZtHsCEXGKf8/wg8/oUDJT5a9kgrAKeEj8vextsoRlpSDNliuQZSH/05ffAA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">
            <v:imagedata r:id="rId124" o:title="" croptop="-3117f" cropbottom="-765f" cropleft="-1646f" cropright="-1510f"/>
            <o:lock v:ext="edit" aspectratio="f"/>
          </v:shape>
        </w:pict>
      </w:r>
    </w:p>
    <w:p w:rsidR="009D46E6" w:rsidRPr="00B8232A" w:rsidRDefault="009D46E6" w:rsidP="00866283">
      <w:pPr>
        <w:pStyle w:val="Zdroj"/>
      </w:pPr>
      <w:r w:rsidRPr="00B8232A">
        <w:t>Pozn.: Průměrný meziroční nárůst počtu zaměstnanců je za Českou republiku vypočten z počtu zaměstnanců ve fyzických osobách (HC), neboť v roce 2005 došlo v Česku ke změně metodiky výpočtu FTE a z tohoto důvodu by byl průměrný meziroční nárůst počtu zaměstnanců vyjádřený z FTE významně nadhodnocen.</w:t>
      </w:r>
    </w:p>
    <w:p w:rsidR="009D46E6" w:rsidRPr="00B8232A" w:rsidRDefault="009D46E6" w:rsidP="00866283">
      <w:pPr>
        <w:pStyle w:val="Zdroj"/>
      </w:pPr>
      <w:r w:rsidRPr="00B8232A">
        <w:t>*Francie, Nizozemsko 2000 - 2010; Švédsko 2001 - 2011</w:t>
      </w:r>
    </w:p>
    <w:p w:rsidR="009D46E6" w:rsidRDefault="009D46E6" w:rsidP="00866283">
      <w:pPr>
        <w:pStyle w:val="Zdroj"/>
      </w:pPr>
      <w:r w:rsidRPr="00B8232A">
        <w:t>Zdroj: OECD MSTI 2013/1, Eurostat 2013</w:t>
      </w:r>
    </w:p>
    <w:p w:rsidR="009D46E6" w:rsidRDefault="009D46E6" w:rsidP="003C6E2E">
      <w:pPr>
        <w:pStyle w:val="Heading3"/>
      </w:pPr>
      <w:bookmarkStart w:id="114" w:name="_Toc369091877"/>
      <w:r>
        <w:t>Zaměstnaní ve VaV vysokoškolského sektoru</w:t>
      </w:r>
      <w:bookmarkEnd w:id="114"/>
    </w:p>
    <w:p w:rsidR="009D46E6" w:rsidRDefault="009D46E6" w:rsidP="00866283">
      <w:r>
        <w:t>V roce 2012 pracovalo ve vysokoškolském VaV téměř 30 tisíc fyzických osob (HC) a od roku 2001 došlo k významnému nárůstu počtu fyzických osob zaměstnaných ve vysokoškolském VaV o více jak 10 tisíc osob. Po přepočtení vysokoškolských zaměstnanců VaV na plný pracovní úvazek se jejich počet zmenší téměř na polovinu. Zaměstnanci ve VaV ve vysokoškolském sektoru se tak výzkumné a vývojové činnosti věnují v průměru 50 % svého pracovního úvazku. V porovnání s ostatními sektory provádění VaV je vysokoškolský sektor specifický vysokým počtem osob zaměstnaných na dohodu o provedení práce či pracovní činnosti. Jedná se ve velké míře o pracovníky, kteří se kromě výzkumu věnují také pedagogické činnosti. V roce 2012 bylo ve vysokoškolském výzkumu zaměstnáno 16 tisíc přepočtených osob (FTE). A na všech zaměstnancích tohoto sektoru tak zaměstnaní ve VaV tvořili podíl 47 %.</w:t>
      </w:r>
    </w:p>
    <w:p w:rsidR="009D46E6" w:rsidRDefault="009D46E6" w:rsidP="00750D9B">
      <w:pPr>
        <w:pStyle w:val="Caption"/>
      </w:pPr>
      <w:bookmarkStart w:id="115" w:name="_Toc369092016"/>
      <w:r>
        <w:t xml:space="preserve">Graf </w:t>
      </w:r>
      <w:fldSimple w:instr=" STYLEREF 1 \s ">
        <w:r>
          <w:rPr>
            <w:noProof/>
          </w:rPr>
          <w:t>B</w:t>
        </w:r>
      </w:fldSimple>
      <w:r>
        <w:t>.</w:t>
      </w:r>
      <w:fldSimple w:instr=" SEQ Graf \* ARABIC \s 1 ">
        <w:r>
          <w:rPr>
            <w:noProof/>
          </w:rPr>
          <w:t>12</w:t>
        </w:r>
      </w:fldSimple>
      <w:r w:rsidRPr="00BD5EC7">
        <w:t xml:space="preserve">: </w:t>
      </w:r>
      <w:r w:rsidRPr="003549E4">
        <w:t>Zaměstnaní ve VaV vysokoškolského sektoru</w:t>
      </w:r>
      <w:bookmarkEnd w:id="115"/>
    </w:p>
    <w:p w:rsidR="009D46E6" w:rsidRPr="009C0C04" w:rsidRDefault="009D46E6" w:rsidP="001D7F37">
      <w:pPr>
        <w:pStyle w:val="Objekt"/>
      </w:pPr>
      <w:r w:rsidRPr="001D1D98">
        <w:pict>
          <v:shape id="_x0000_i1133" type="#_x0000_t75" style="width:303.6pt;height:191.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">
            <v:imagedata r:id="rId125" o:title="" croptop="-3470f" cropbottom="-4767f" cropleft="-1161f" cropright="-1227f"/>
            <o:lock v:ext="edit" aspectratio="f"/>
          </v:shape>
        </w:pict>
      </w:r>
      <w:r w:rsidRPr="001D1D98">
        <w:pict>
          <v:shape id="_x0000_i1134" type="#_x0000_t75" style="width:154.2pt;height:159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yTrjT2wAAAAUBAAAPAAAAZHJzL2Rvd25y&#10;ZXYueG1sTI/NTsMwEITvSLyDtUjcqF1AEEKcCiGKekOEv+s2XpKo9jrYbht4egwXuKxmNauZb6vF&#10;5KzYUYiDZw3zmQJB3HozcKfh+Wl5UoCICdmg9UwaPinCoj48qLA0fs+PtGtSJ3IIxxI19CmNpZSx&#10;7clhnPmROHvvPjhMeQ2dNAH3OdxZearUhXQ4cG7ocaTbntpNs3Ua/Opr9fpyefewsVfd8v7DNeEN&#10;B62Pj6abaxCJpvR3DD/4GR3qzLT2WzZRWA35kfQ7s3eminMQ6yzmhQJZV/I/ff0N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">
            <v:imagedata r:id="rId126" o:title="" croptop="-6678f" cropbottom="-44510f" cropleft="-18883f" cropright="-10302f"/>
            <o:lock v:ext="edit" aspectratio="f"/>
          </v:shape>
        </w:pict>
      </w:r>
    </w:p>
    <w:p w:rsidR="009D46E6" w:rsidRDefault="009D46E6" w:rsidP="00866283">
      <w:pPr>
        <w:pStyle w:val="Zdroj"/>
      </w:pPr>
      <w:r>
        <w:t xml:space="preserve">Zdroj: </w:t>
      </w:r>
      <w:r w:rsidRPr="00B8232A">
        <w:t>Český statistický úřad 2013, Roční statistické šetření výzkumu a vývoje VTR 5-01</w:t>
      </w:r>
    </w:p>
    <w:p w:rsidR="009D46E6" w:rsidRDefault="009D46E6" w:rsidP="001178D9">
      <w:r>
        <w:t>Jak bylo zmíněno výše, je podíl mužů a žen mezi zaměstnanci vládního VaV téměř vyrovnán, ani ve vysokoškolském VaV není zastoupení žen výrazně nižší, v roce 2012 zaujímaly ženy mezi zaměstnanci vysokoškolského výzkumu 39 %.</w:t>
      </w:r>
    </w:p>
    <w:p w:rsidR="009D46E6" w:rsidRDefault="009D46E6" w:rsidP="00866283">
      <w:r>
        <w:t>Vysokoškolský sektor je sektorem, ve kterém mezi zaměstnanci VaV zaujímají výzkumní pracovníci nejvyšší podíl, v roce 2012 se jednalo o 70 %, tzn. více jak 11 tisíc přepočetných osob. Jako technický pracovník bylo klasifikováno cca 3,9 tisíc zaměstnanců VaV a do kategorie ostatní spadalo v tomto roce bezmála 1 000 přepočtených osob. V průběhu let se rozložení zaměstnanců VaV do jednotlivých kategorií zaměstnání ve vysokoškolském sektoru nijak výrazně nemění.</w:t>
      </w:r>
    </w:p>
    <w:p w:rsidR="009D46E6" w:rsidRDefault="009D46E6" w:rsidP="00866283">
      <w:r>
        <w:t>Zatímco ve vládním sektoru se více než polovina zaměstnanců VaV věnuje výzkumu v oblasti přírodních věd, ve vysokoškolském VaV jsou zaměstnanci více rovnoměrně rozmístěni mezi všechny obory. Přírodní vědy zde dokonce, právě oproti vládnímu sektoru, nedominují. Ve vysokoškolském výzkumu je nejvíce osob zaměstnáno v technických vědách, a to 5,6 tisíc přepočtených osob, v přírodních vědách pracovalo cca 4 tisíce osob a ve vědách lékařských pak 2 tisíce zaměstnanců vysokoškolského VaV. Ve vysokoškolském sektoru však dochází ke změně struktury zaměstnanců ve VaV podle vědních oblastí, kdy výrazně roste podíl zaměstnanců ve VaV v přírodních vědách na úkor ostatních vědních oblastí. Významným trendem je i oslabování technických věd ve veřejném výzkumu, kdy dochází k relativnímu a v posledních letech i absolutnímu poklesu zaměstnanců ve VaV v technických vědách ve veřejném sektoru.</w:t>
      </w:r>
    </w:p>
    <w:p w:rsidR="009D46E6" w:rsidRDefault="009D46E6" w:rsidP="00866283">
      <w:r>
        <w:t>Zaměstnanci vysokoškolského VaV dosahují, v porovnání s ostatními sektory, v průměru vyššího stupně vzdělání. V roce 2012 mělo 85 % zaměstnanců VaV ve vysokoškolském sektoru některou z forem terciárního vzdělání, přičemž doktorským vzděláním disponovala více jak polovina (51 %) zaměstnaných ve VaV a vzdělání vysokoškolské (bakalářské či magisterské) či vyšší odborné mělo 34 % těchto zaměstnanců.</w:t>
      </w:r>
    </w:p>
    <w:p w:rsidR="009D46E6" w:rsidRDefault="009D46E6" w:rsidP="00866283"/>
    <w:p w:rsidR="009D46E6" w:rsidRDefault="009D46E6" w:rsidP="00750D9B">
      <w:pPr>
        <w:pStyle w:val="Caption"/>
      </w:pPr>
      <w:bookmarkStart w:id="116" w:name="_Toc369092017"/>
      <w:r>
        <w:t xml:space="preserve">Graf </w:t>
      </w:r>
      <w:fldSimple w:instr=" STYLEREF 1 \s ">
        <w:r>
          <w:rPr>
            <w:noProof/>
          </w:rPr>
          <w:t>B</w:t>
        </w:r>
      </w:fldSimple>
      <w:r>
        <w:t>.</w:t>
      </w:r>
      <w:fldSimple w:instr=" SEQ Graf \* ARABIC \s 1 ">
        <w:r>
          <w:rPr>
            <w:noProof/>
          </w:rPr>
          <w:t>13</w:t>
        </w:r>
      </w:fldSimple>
      <w:r w:rsidRPr="00BD5EC7">
        <w:t xml:space="preserve">: </w:t>
      </w:r>
      <w:r w:rsidRPr="003549E4">
        <w:t>Struktura zaměstnaných ve VaV vysokoškolského sektoru (FTE)</w:t>
      </w:r>
      <w:bookmarkEnd w:id="116"/>
    </w:p>
    <w:p w:rsidR="009D46E6" w:rsidRPr="007652C2" w:rsidRDefault="009D46E6" w:rsidP="001D7F37">
      <w:pPr>
        <w:pStyle w:val="Objekt"/>
      </w:pPr>
      <w:r w:rsidRPr="007652C2">
        <w:t>podle druhu zaměstnání</w:t>
      </w:r>
      <w:r>
        <w:tab/>
      </w:r>
      <w:r>
        <w:tab/>
        <w:t xml:space="preserve">     </w:t>
      </w:r>
      <w:r w:rsidRPr="007652C2">
        <w:t xml:space="preserve">     podle vzdělání</w:t>
      </w:r>
      <w:r w:rsidRPr="007652C2">
        <w:tab/>
      </w:r>
      <w:r w:rsidRPr="007652C2">
        <w:tab/>
      </w:r>
      <w:r w:rsidRPr="007652C2">
        <w:tab/>
      </w:r>
      <w:r>
        <w:tab/>
      </w:r>
      <w:r>
        <w:tab/>
      </w:r>
      <w:r>
        <w:tab/>
      </w:r>
      <w:r>
        <w:tab/>
        <w:t xml:space="preserve">  </w:t>
      </w:r>
      <w:r w:rsidRPr="007652C2">
        <w:t>podle vědních oblastí</w:t>
      </w:r>
      <w:r w:rsidRPr="007652C2">
        <w:tab/>
      </w:r>
    </w:p>
    <w:p w:rsidR="009D46E6" w:rsidRPr="007652C2" w:rsidRDefault="009D46E6" w:rsidP="001D7F37">
      <w:pPr>
        <w:pStyle w:val="Objekt"/>
      </w:pPr>
      <w:r w:rsidRPr="001D1D98">
        <w:pict>
          <v:shape id="_x0000_i1135" type="#_x0000_t75" style="width:154.2pt;height:120.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is2gy2wAAAAUBAAAPAAAAZHJzL2Rvd25y&#10;ZXYueG1sTI/BTsMwEETvlfoP1iJxa21KgCjEqVokDr0gURDiuI2XJKq9jmKnDX+P4UIvK41mNPO2&#10;XE/OihMNofOs4WapQBDX3nTcaHh/e17kIEJENmg9k4ZvCrCu5rMSC+PP/EqnfWxEKuFQoIY2xr6Q&#10;MtQtOQxL3xMn78sPDmOSQyPNgOdU7qxcKXUvHXacFlrs6aml+rgfnYbs4ajuLH3utu7DGaLd2E+b&#10;F62vr6bNI4hIU/wPwy9+QocqMR38yCYIqyE9Ev9u8m5VnoE4aFhlWQ6yKuUlffUD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">
            <v:imagedata r:id="rId127" o:title="" croptop="-1972f" cropbottom="-4326f" cropleft="-8959f" cropright="-7652f"/>
            <o:lock v:ext="edit" aspectratio="f"/>
          </v:shape>
        </w:pict>
      </w:r>
      <w:r w:rsidRPr="001D1D98">
        <w:pict>
          <v:shape id="_x0000_i1136" type="#_x0000_t75" style="width:162pt;height:117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iG2fU2wAAAAUBAAAPAAAAZHJzL2Rvd25y&#10;ZXYueG1sTI/BSsNAEIbvQt9hmYIXsZumoUjMppRKLxURqxdvm+yYhGZnw+6mjW/v6MVeBn7+4Ztv&#10;is1ke3FGHzpHCpaLBARS7UxHjYKP9/39A4gQNRndO0IF3xhgU85uCp0bd6E3PB9jIxhCIdcK2hiH&#10;XMpQt2h1WLgBibsv562OHH0jjdcXhttepkmyllZ3xBdaPeCuxfp0HK2CdPlEry/P9Dnaanfnu/3B&#10;JNlBqdv5tH0EEXGK/8vwq8/qULJT5UYyQfQK+JH4N7lbpRnHisGrdQayLOS1ffkD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">
            <v:imagedata r:id="rId128" o:title="" croptop="-4890f" cropbottom="-4731f" cropleft="-7881f" cropright="-2674f"/>
            <o:lock v:ext="edit" aspectratio="f"/>
          </v:shape>
        </w:pict>
      </w:r>
      <w:r w:rsidRPr="001D1D98">
        <w:pict>
          <v:shape id="_x0000_i1137" type="#_x0000_t75" style="width:162pt;height:124.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vstQx3gAAAAUBAAAPAAAAZHJzL2Rvd25y&#10;ZXYueG1sTI9BS8NAEIXvgv9hGcGb3TQpJcZsSmkRkYJi6qW3aXaahGZnY3bbxn/v1oteBh7v8d43&#10;+WI0nTjT4FrLCqaTCARxZXXLtYLP7fNDCsJ5ZI2dZVLwTQ4Wxe1Njpm2F/6gc+lrEUrYZaig8b7P&#10;pHRVQwbdxPbEwTvYwaAPcqilHvASyk0n4yiaS4Mth4UGe1o1VB3Lk1GQbl9d+bLGZP34vuuT42b+&#10;dth9KXV/Ny6fQHga/V8YrvgBHYrAtLcn1k50CsIj/vcGL0mmMYi9gniWzkAWufxPX/wA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">
            <v:imagedata r:id="rId129" o:title="" croptop="-2825f" cropbottom="-4591f" cropleft="-8511f" cropright="-1161f"/>
            <o:lock v:ext="edit" aspectratio="f"/>
          </v:shape>
        </w:pict>
      </w:r>
    </w:p>
    <w:p w:rsidR="009D46E6" w:rsidRDefault="009D46E6" w:rsidP="00866283">
      <w:pPr>
        <w:pStyle w:val="Zdroj"/>
      </w:pPr>
      <w:r>
        <w:t xml:space="preserve">Zdroj: </w:t>
      </w:r>
      <w:r w:rsidRPr="00B8232A">
        <w:t>Český statistický úřad 2013, Roční statistické šetření výzkumu a vývoje VTR 5-01</w:t>
      </w:r>
    </w:p>
    <w:p w:rsidR="009D46E6" w:rsidRDefault="009D46E6" w:rsidP="00397DAB">
      <w:pPr>
        <w:pStyle w:val="Heading4"/>
      </w:pPr>
      <w:r>
        <w:t>Mezinárodní srovnání</w:t>
      </w:r>
    </w:p>
    <w:p w:rsidR="009D46E6" w:rsidRDefault="009D46E6" w:rsidP="00866283">
      <w:r>
        <w:t>Zaměstnanci ve vysokoškolském VaV zaujímali mezi všemi zaměstnanci VaV nejvyšší podíly v Litvě, Lotyšsku, Portugalsku a na Slovensku, kde se tento podíl pohyboval okolo 60 %. V průměru celé EU28 pracovalo ve vysokoškolském sektoru 33 % zaměstnanců VaV a nejmenší zastoupení měli zaměstnanci VaV vysokoškolského sektoru ve Slovinsku (20 %), Rusku (14 %) a Číně (10 %).</w:t>
      </w:r>
    </w:p>
    <w:p w:rsidR="009D46E6" w:rsidRDefault="009D46E6" w:rsidP="00866283">
      <w:r>
        <w:t>Mezi výzkumníky je vyšší zastoupení pracovníků z vysokoškolského sektoru než mezi zaměstnanci VaV. V průměru EU28 pracovalo mezi výzkumnými pracovníky 42 % výzkumníků z vysokoškolského sektoru, v České republice činil tento podíl 34 %.</w:t>
      </w:r>
    </w:p>
    <w:p w:rsidR="009D46E6" w:rsidRDefault="009D46E6" w:rsidP="00750D9B">
      <w:pPr>
        <w:pStyle w:val="Caption"/>
      </w:pPr>
      <w:bookmarkStart w:id="117" w:name="_Toc369092018"/>
      <w:r>
        <w:t xml:space="preserve">Graf </w:t>
      </w:r>
      <w:fldSimple w:instr=" STYLEREF 1 \s ">
        <w:r>
          <w:rPr>
            <w:noProof/>
          </w:rPr>
          <w:t>B</w:t>
        </w:r>
      </w:fldSimple>
      <w:r>
        <w:t>.</w:t>
      </w:r>
      <w:fldSimple w:instr=" SEQ Graf \* ARABIC \s 1 ">
        <w:r>
          <w:rPr>
            <w:noProof/>
          </w:rPr>
          <w:t>14</w:t>
        </w:r>
      </w:fldSimple>
      <w:r w:rsidRPr="00BD5EC7">
        <w:t xml:space="preserve">: </w:t>
      </w:r>
      <w:r w:rsidRPr="003549E4">
        <w:t>Zaměstnaní ve VaV vysokoškolského sektoru (FTE), 2011</w:t>
      </w:r>
      <w:bookmarkEnd w:id="117"/>
    </w:p>
    <w:p w:rsidR="009D46E6" w:rsidRPr="003D273A" w:rsidRDefault="009D46E6" w:rsidP="001D7F37">
      <w:pPr>
        <w:pStyle w:val="Objekt"/>
      </w:pPr>
      <w:r w:rsidRPr="001D1D98">
        <w:pict>
          <v:shape id="Chart 19" o:spid="_x0000_i1138" type="#_x0000_t75" style="width:481.8pt;height:189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">
            <v:imagedata r:id="rId130" o:title="" croptop="-3166f" cropbottom="-1848f" cropleft="-1290f" cropright="-1439f"/>
            <o:lock v:ext="edit" aspectratio="f"/>
          </v:shape>
        </w:pict>
      </w:r>
    </w:p>
    <w:p w:rsidR="009D46E6" w:rsidRDefault="009D46E6" w:rsidP="00866283">
      <w:pPr>
        <w:pStyle w:val="Zdroj"/>
      </w:pPr>
      <w:r>
        <w:t>Pozn.: * data za rok 2010</w:t>
      </w:r>
    </w:p>
    <w:p w:rsidR="009D46E6" w:rsidRPr="00BD5EC7" w:rsidRDefault="009D46E6" w:rsidP="00866283">
      <w:pPr>
        <w:pStyle w:val="Zdroj"/>
      </w:pPr>
      <w:r>
        <w:t>Zdroj: OECD MSTI 2013/1, Eurostat 2013</w:t>
      </w:r>
    </w:p>
    <w:p w:rsidR="009D46E6" w:rsidRDefault="009D46E6" w:rsidP="00866283"/>
    <w:p w:rsidR="009D46E6" w:rsidRDefault="009D46E6" w:rsidP="00866283">
      <w:r w:rsidRPr="003549E4">
        <w:t>S výjimkou Japonska a Maďarska pčet zaměstnanců VaV vysokoškolského sektoru ve všech sledovaných zemích mezi lety 2000 a 2011 meziročně narůstal. V průběhu sledovaných let byl zaznamenán nejvýraznější průměrný meziroční nárůst počtu zaměstnanců VaV tohoto sektoru v Portugalsku, Irsku a v Rumunsku. V celé Evropské unii narůstal ve vysokoškolském sektoru počet zaměstnanců VaV v průměru o 3,2 % ročně.</w:t>
      </w:r>
    </w:p>
    <w:p w:rsidR="009D46E6" w:rsidRDefault="009D46E6" w:rsidP="00750D9B">
      <w:pPr>
        <w:pStyle w:val="Caption"/>
      </w:pPr>
      <w:bookmarkStart w:id="118" w:name="_Toc369092019"/>
      <w:r>
        <w:t xml:space="preserve">Graf </w:t>
      </w:r>
      <w:fldSimple w:instr=" STYLEREF 1 \s ">
        <w:r>
          <w:rPr>
            <w:noProof/>
          </w:rPr>
          <w:t>B</w:t>
        </w:r>
      </w:fldSimple>
      <w:r>
        <w:t>.</w:t>
      </w:r>
      <w:fldSimple w:instr=" SEQ Graf \* ARABIC \s 1 ">
        <w:r>
          <w:rPr>
            <w:noProof/>
          </w:rPr>
          <w:t>15</w:t>
        </w:r>
      </w:fldSimple>
      <w:r w:rsidRPr="00BD5EC7">
        <w:t xml:space="preserve">: </w:t>
      </w:r>
      <w:r w:rsidRPr="003549E4">
        <w:t>Průměrný meziroční nárůst zaměstnaných ve VaV vysokoškolského sektoru (FTE), 2000</w:t>
      </w:r>
      <w:r>
        <w:t>-</w:t>
      </w:r>
      <w:r w:rsidRPr="003549E4">
        <w:t>2011 (%)</w:t>
      </w:r>
      <w:bookmarkEnd w:id="118"/>
    </w:p>
    <w:p w:rsidR="009D46E6" w:rsidRPr="003D273A" w:rsidRDefault="009D46E6" w:rsidP="001D7F37">
      <w:pPr>
        <w:pStyle w:val="Objekt"/>
      </w:pPr>
      <w:r w:rsidRPr="001D1D98">
        <w:pict>
          <v:shape id="Graf 7" o:spid="_x0000_i1139" type="#_x0000_t75" style="width:472.2pt;height:189.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vCwkj3AAAAAUBAAAPAAAAZHJzL2Rvd25y&#10;ZXYueG1sTI9BS8NAEIXvgv9hGcGb3VglxphNqUKRnKS19DzJTrOh2dmQ3bTx37t60cvA4z3e+6ZY&#10;zbYXZxp951jB/SIBQdw43XGrYP+5uctA+ICssXdMCr7Iw6q8viow1+7CWzrvQitiCfscFZgQhlxK&#10;3xiy6BduII7e0Y0WQ5RjK/WIl1hue7lMklRa7DguGBzozVBz2k1WQfXOm+5177PDtqrMocaP9Wk6&#10;KnV7M69fQASaw18YfvAjOpSRqXYTay96BfGR8Huj95wuH0HUCh6ypxRkWcj/9OU3AA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">
            <v:imagedata r:id="rId131" o:title="" croptop="-10832f" cropbottom="-1570f" cropleft="-1224f" cropright="-1365f"/>
            <o:lock v:ext="edit" aspectratio="f"/>
          </v:shape>
        </w:pict>
      </w:r>
    </w:p>
    <w:p w:rsidR="009D46E6" w:rsidRPr="003549E4" w:rsidRDefault="009D46E6" w:rsidP="00866283">
      <w:pPr>
        <w:pStyle w:val="Zdroj"/>
      </w:pPr>
      <w:r w:rsidRPr="003549E4">
        <w:t>Pozn.: Průměrný meziroční nárůst počtu zaměstnanců je za Českou republiku vypočten z počtu zaměstnanců ve fyzických osobách (HC), neboť v roce 2005 došlo v Česku ke změně metodiky výpočtu FTE a z tohoto důvodu by byl průměrný meziroční nárůst počtu zaměstnanců vyjádřený z FTE významně nadhodnocen.</w:t>
      </w:r>
    </w:p>
    <w:p w:rsidR="009D46E6" w:rsidRPr="003549E4" w:rsidRDefault="009D46E6" w:rsidP="00866283">
      <w:pPr>
        <w:pStyle w:val="Zdroj"/>
      </w:pPr>
      <w:r w:rsidRPr="003549E4">
        <w:t>*Francie, Nizozemsko 2000 - 2010; Švédsko 2001 - 2011</w:t>
      </w:r>
    </w:p>
    <w:p w:rsidR="009D46E6" w:rsidRDefault="009D46E6" w:rsidP="00866283">
      <w:pPr>
        <w:pStyle w:val="Zdroj"/>
      </w:pPr>
      <w:r w:rsidRPr="003549E4">
        <w:t>Zdroj: OECD MSTI 2013/1, Eurostat 2013</w:t>
      </w:r>
    </w:p>
    <w:p w:rsidR="009D46E6" w:rsidRDefault="009D46E6" w:rsidP="003C6E2E">
      <w:pPr>
        <w:pStyle w:val="Heading3"/>
      </w:pPr>
      <w:bookmarkStart w:id="119" w:name="_Toc369091878"/>
      <w:r>
        <w:t>Zaměstnaní ve VaV podnikatelského sektoru</w:t>
      </w:r>
      <w:bookmarkEnd w:id="119"/>
    </w:p>
    <w:p w:rsidR="009D46E6" w:rsidRDefault="009D46E6" w:rsidP="00866283">
      <w:r>
        <w:t>V podnikatelském sektoru pracovalo ve VaV v roce 2012 více než 42 tisíc fyzických osob (HC) a od roku 2001 se jejich počet zvýšil o cca 22 tisíc osob. Po přepočtení na plný pracovní úvazek se jednalo o 32 tisíc osob (FTE). Ve fyzických osobách (HC) připadalo v roce 2012 na 1 000 zaměstnaných osob podnikatelského sektoru 10,2 zaměstnanců VaV. Ke zvýšení počtu zaměstnanců VaV tohoto sektoru došlo nejen v případě absolutních čísel, ale také v číslech relativních. V roce 2001 bylo mezi 1 000 zaměstnanými podnikatelského sektoru 5,3 osob zaměstnaných ve VaV.</w:t>
      </w:r>
    </w:p>
    <w:p w:rsidR="009D46E6" w:rsidRDefault="009D46E6" w:rsidP="00866283">
      <w:r>
        <w:t>Oproti vládnímu a vysokoškolskému sektoru, je zastoupení žen mezi zaměstnanci podnikatelského VaV velmi malé. V roce 2012 bylo mezi zaměstnanci VaV v podnikatelském sektoru pouhých 19 % žen a takovýto trend byl zaznamenáván i v minulosti.</w:t>
      </w:r>
    </w:p>
    <w:p w:rsidR="009D46E6" w:rsidRDefault="009D46E6" w:rsidP="00750D9B">
      <w:pPr>
        <w:pStyle w:val="Caption"/>
      </w:pPr>
      <w:bookmarkStart w:id="120" w:name="_Toc369092020"/>
      <w:r>
        <w:t xml:space="preserve">Graf </w:t>
      </w:r>
      <w:fldSimple w:instr=" STYLEREF 1 \s ">
        <w:r>
          <w:rPr>
            <w:noProof/>
          </w:rPr>
          <w:t>B</w:t>
        </w:r>
      </w:fldSimple>
      <w:r>
        <w:t>.</w:t>
      </w:r>
      <w:fldSimple w:instr=" SEQ Graf \* ARABIC \s 1 ">
        <w:r>
          <w:rPr>
            <w:noProof/>
          </w:rPr>
          <w:t>16</w:t>
        </w:r>
      </w:fldSimple>
      <w:r w:rsidRPr="00BD5EC7">
        <w:t xml:space="preserve">: </w:t>
      </w:r>
      <w:r w:rsidRPr="003549E4">
        <w:t>Zaměstnaní ve VaV podnikatelského sektoru</w:t>
      </w:r>
      <w:bookmarkEnd w:id="120"/>
    </w:p>
    <w:p w:rsidR="009D46E6" w:rsidRPr="00617327" w:rsidRDefault="009D46E6" w:rsidP="001D7F37">
      <w:pPr>
        <w:pStyle w:val="Objekt"/>
      </w:pPr>
      <w:r w:rsidRPr="001D1D98">
        <w:pict>
          <v:shape id="_x0000_i1140" type="#_x0000_t75" style="width:333pt;height:193.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qD8ZI2gAAAAUBAAAPAAAAZHJzL2Rvd25y&#10;ZXYueG1sTI9LT8MwEITvSPwHaytxo04BWVWIU/EQEldKJcTNjbd52esodtqUX8/CBS4jjWY1822x&#10;mb0TRxxjG0jDapmBQKqCbanWsHt/uV6DiMmQNS4QajhjhE15eVGY3IYTveFxm2rBJRRzo6FJacil&#10;jFWD3sRlGJA4O4TRm8R2rKUdzYnLvZM3WaakNy3xQmMGfGqw6reT1xDr6eBePx/dV+j6Dyf77tzJ&#10;Z62vFvPDPYiEc/o7hh98RoeSmfZhIhuF08CPpF/lTCnFdq/hdq3uQJaF/E9ffgM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">
            <v:imagedata r:id="rId132" o:title="" croptop="-2738f" cropbottom="-5304f" cropleft="-1480f" cropright="-1470f"/>
            <o:lock v:ext="edit" aspectratio="f"/>
          </v:shape>
        </w:pict>
      </w:r>
      <w:r w:rsidRPr="001D1D98">
        <w:pict>
          <v:shape id="_x0000_i1141" type="#_x0000_t75" style="width:144.6pt;height:153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avU133gAAAAUBAAAPAAAAZHJzL2Rvd25y&#10;ZXYueG1sTI9PS8NAEMXvQr/DMoI3u2kK/RMzKaEgehCktYLHbXZMotnZsLttUz99Vy/1MvB4j/d+&#10;k68G04kjOd9aRpiMExDEldUt1wi7t8f7BQgfFGvVWSaEM3lYFaObXGXannhDx22oRSxhnymEJoQ+&#10;k9JXDRnlx7Ynjt6ndUaFKF0ttVOnWG46mSbJTBrVclxoVE/rhqrv7cEgVD+7FzM8lcHVX+/z54/J&#10;azk9S8S726F8ABFoCNcw/OJHdCgi094eWHvRIcRHwt+NXrpYpiD2CNNkOQNZ5PI/fXEB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">
            <v:imagedata r:id="rId133" o:title="" croptop="-12689f" cropbottom="-6909f" cropleft="-12363f" cropright="-2853f"/>
            <o:lock v:ext="edit" aspectratio="f"/>
          </v:shape>
        </w:pict>
      </w:r>
    </w:p>
    <w:p w:rsidR="009D46E6" w:rsidRDefault="009D46E6" w:rsidP="00866283">
      <w:pPr>
        <w:pStyle w:val="Zdroj"/>
      </w:pPr>
      <w:r>
        <w:t xml:space="preserve">Zdroj: </w:t>
      </w:r>
      <w:r w:rsidRPr="00B8232A">
        <w:t>Český statistický úřad 2013, Roční statistické šetření výzkumu a vývoje VTR 5-01</w:t>
      </w:r>
    </w:p>
    <w:p w:rsidR="009D46E6" w:rsidRDefault="009D46E6" w:rsidP="00866283"/>
    <w:p w:rsidR="009D46E6" w:rsidRDefault="009D46E6" w:rsidP="00866283">
      <w:r>
        <w:t>Z celkového přepočteného počtu zaměstnanců VaV v podnikatelském sektoru v roce 2012 bylo 48 % výzkumných, 36 % technických a 16 % ostatních pracovníků. Ve srovnání s vládním a vysokoškolským sektorem je v sektoru podnikatelském zcela odlišná struktura zaměstnanců, kdy je zde oproti dvěma zmiňovaným veřejným sektorům menší zastoupení výzkumných a naopak větší technických pracovníků.</w:t>
      </w:r>
    </w:p>
    <w:p w:rsidR="009D46E6" w:rsidRDefault="009D46E6" w:rsidP="00866283">
      <w:r>
        <w:t>Zatímco ve vládním sektoru mělo některý ze stupňů terciárního vzdělání 70 % a ve vysokoškolském sektoru dokonce 84 % zaměstnanců VaV, v sektoru podnikatelském tohoto stupně vzdělání dosahuje 65 % zaměstnanců VaV. Velmi nízké, oproti zmiňovaným sektorům, je zde zastoupení osob s doktorským vzděláním, a to pouhých 7 %.</w:t>
      </w:r>
    </w:p>
    <w:p w:rsidR="009D46E6" w:rsidRDefault="009D46E6" w:rsidP="00866283">
      <w:r>
        <w:t>Dominantní podíl zaměstnanců ve VaV pracuje ve velkých a středních podnicích. Polovina zaměstnanců VaV podnikatelského sektoru pracovala v roce 2012 v podnicích s více jak 250 zaměstnanci. V podnicích s 50 až 249 zaměstnanci bylo zaměstnáno necelých 11 tisíc a v podnicích s méně než 49 zaměstnanci 5 tisíc zaměstnanců podnikatelského VaV.</w:t>
      </w:r>
    </w:p>
    <w:p w:rsidR="009D46E6" w:rsidRDefault="009D46E6" w:rsidP="001178D9">
      <w:r>
        <w:t>V roce 2012 pracovalo cca 15 tisíc zaměstnanců VaV podnikatelského sektoru v domácích soukromých podnicích a téměř shodný počet jich byl zaměstnán v zahraničních afilacích. Veřejné podniky pak ve VaV zaměstnávaly 1,6 tisíc osob. Od roku 2005 došlo k výraznému absolutnímu nárůstu počtu zaměstnanců ve VaV v podnicích pod zahraniční kontrolou, což se odrazilo ve změně struktury zaměstnanců ve VaV dle vlastnictví podniků, ve kterých jsou zaměstnáni.</w:t>
      </w:r>
    </w:p>
    <w:p w:rsidR="009D46E6" w:rsidRDefault="009D46E6" w:rsidP="00750D9B">
      <w:pPr>
        <w:pStyle w:val="Caption"/>
      </w:pPr>
      <w:bookmarkStart w:id="121" w:name="_Toc369092021"/>
      <w:r>
        <w:t xml:space="preserve">Graf </w:t>
      </w:r>
      <w:fldSimple w:instr=" STYLEREF 1 \s ">
        <w:r>
          <w:rPr>
            <w:noProof/>
          </w:rPr>
          <w:t>B</w:t>
        </w:r>
      </w:fldSimple>
      <w:r>
        <w:t>.</w:t>
      </w:r>
      <w:fldSimple w:instr=" SEQ Graf \* ARABIC \s 1 ">
        <w:r>
          <w:rPr>
            <w:noProof/>
          </w:rPr>
          <w:t>17</w:t>
        </w:r>
      </w:fldSimple>
      <w:r w:rsidRPr="00BD5EC7">
        <w:t xml:space="preserve">: </w:t>
      </w:r>
      <w:r w:rsidRPr="003549E4">
        <w:t>Struktura zaměstnaných ve VaV podnikatelského sektoru (FTE)</w:t>
      </w:r>
      <w:bookmarkEnd w:id="121"/>
    </w:p>
    <w:p w:rsidR="009D46E6" w:rsidRPr="00D666D0" w:rsidRDefault="009D46E6" w:rsidP="001D7F37">
      <w:pPr>
        <w:pStyle w:val="Objekt"/>
      </w:pPr>
      <w:r w:rsidRPr="00D666D0">
        <w:t xml:space="preserve">podle druhu zaměstnání podle </w:t>
      </w:r>
      <w:r w:rsidRPr="00D666D0">
        <w:tab/>
      </w:r>
      <w:r w:rsidRPr="00D666D0">
        <w:tab/>
      </w:r>
      <w:r>
        <w:t xml:space="preserve">  </w:t>
      </w:r>
      <w:r w:rsidRPr="00D666D0">
        <w:t>podle vzdělání</w:t>
      </w:r>
      <w:r w:rsidRPr="00D666D0">
        <w:tab/>
      </w:r>
      <w:r w:rsidRPr="00D666D0">
        <w:tab/>
      </w:r>
      <w:r w:rsidRPr="00D666D0">
        <w:tab/>
      </w:r>
      <w:r>
        <w:tab/>
      </w:r>
      <w:r>
        <w:tab/>
      </w:r>
      <w:r>
        <w:tab/>
      </w:r>
      <w:r>
        <w:tab/>
      </w:r>
      <w:r>
        <w:tab/>
        <w:t xml:space="preserve">   </w:t>
      </w:r>
      <w:r w:rsidRPr="00D666D0">
        <w:t>podle počtu zaměstnanců</w:t>
      </w:r>
    </w:p>
    <w:p w:rsidR="009D46E6" w:rsidRPr="003B2EE9" w:rsidRDefault="009D46E6" w:rsidP="001D7F37">
      <w:pPr>
        <w:pStyle w:val="Objekt"/>
      </w:pPr>
      <w:r w:rsidRPr="001D1D98">
        <w:pict>
          <v:shape id="_x0000_i1142" type="#_x0000_t75" style="width:154.8pt;height:117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vG/uS3gAAAAUBAAAPAAAAZHJzL2Rvd25y&#10;ZXYueG1sTI9BS8NAEIXvgv9hmYI3u2kiEmImpS2Kh4JgW+x1m50modnZmN200V/v2oteBh7v8d43&#10;+Xw0rThT7xrLCLNpBIK4tLrhCmG3fblPQTivWKvWMiF8kYN5cXuTq0zbC7/TeeMrEUrYZQqh9r7L&#10;pHRlTUa5qe2Ig3e0vVE+yL6SuleXUG5aGUfRozSq4bBQq45WNZWnzWAQlsfPE38sq9V6u989D2/r&#10;14dv2iPeTcbFEwhPo/8Lwy9+QIciMB3swNqJFiE84q83eMksiUEcEOIkTUEWufxPX/wA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">
            <v:imagedata r:id="rId134" o:title="" croptop="-4138f" cropbottom="-4200f" cropleft="-9042f" cropright="-5145f"/>
            <o:lock v:ext="edit" aspectratio="f"/>
          </v:shape>
        </w:pict>
      </w:r>
      <w:r w:rsidRPr="001D1D98">
        <w:pict>
          <v:shape id="_x0000_i1143" type="#_x0000_t75" style="width:174.6pt;height:119.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NBNDo2wAAAAUBAAAPAAAAZHJzL2Rvd25y&#10;ZXYueG1sTI9PS8QwEMXvgt8hjODNTf9RtDZdVkUQL66r3tNmbMI2k9Kk2/rtjV70MvB4j/d+U29X&#10;O7ATTt44EpBuEmBInVOGegHvb49X18B8kKTk4AgFfKGHbXN+VstKuYVe8XQIPYsl5CspQIcwVpz7&#10;TqOVfuNGpOh9usnKEOXUczXJJZbbgWdJUnIrDcUFLUe819gdD7MVUBZ3L+ncmjR/OI56/7Tbfzyb&#10;RYjLi3V3CyzgGv7C8IMf0aGJTK2bSXk2CIiPhN8bvby4yYC1ArIiL4E3Nf9P33wD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">
            <v:imagedata r:id="rId135" o:title="" croptop="-11999f" cropbottom="-4968f" cropleft="-7596f" cropright="-1626f"/>
            <o:lock v:ext="edit" aspectratio="f"/>
          </v:shape>
        </w:pict>
      </w:r>
      <w:r w:rsidRPr="001D1D98">
        <w:pict>
          <v:shape id="_x0000_i1144" type="#_x0000_t75" style="width:139.2pt;height:120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">
            <v:imagedata r:id="rId136" o:title="" croptop="-15006f" cropbottom="-4943f" cropleft="-10515f" cropright="-5099f"/>
            <o:lock v:ext="edit" aspectratio="f"/>
          </v:shape>
        </w:pict>
      </w:r>
    </w:p>
    <w:p w:rsidR="009D46E6" w:rsidRDefault="009D46E6" w:rsidP="00866283">
      <w:pPr>
        <w:pStyle w:val="Zdroj"/>
      </w:pPr>
      <w:r>
        <w:t xml:space="preserve">Zdroj: </w:t>
      </w:r>
      <w:r w:rsidRPr="00B8232A">
        <w:t>Český statistický úřad 2013, Roční statistické šetření výzkumu a vývoje VTR 5-01</w:t>
      </w:r>
    </w:p>
    <w:p w:rsidR="009D46E6" w:rsidRPr="00F90590" w:rsidRDefault="009D46E6" w:rsidP="00866283"/>
    <w:p w:rsidR="009D46E6" w:rsidRDefault="009D46E6" w:rsidP="00866283">
      <w:r>
        <w:t>Z hlediska ekonomických činností byla největší část zaměstnanců VaV v roce 2012 zaměstnána ve zpracovatelském průmyslu (17 tisíc, tj. 53 %), a to především v automobilovém (3,7 tisíc, 11,5 % zaměstnanců VaV v podnikatelském sektoru) a ve strojírenském průmyslu (3,4 tisíc, 10,5 % zaměstnanců VaV v podnikatelském sektoru). Ve službách bylo ve výzkumu a vývoji zaměstnáno 14 tisíc osob, z nichž 4,8 tisíc pracovalo přímo v odvětví výzkum a vývoj.</w:t>
      </w:r>
    </w:p>
    <w:p w:rsidR="009D46E6" w:rsidRDefault="009D46E6" w:rsidP="00397DAB">
      <w:pPr>
        <w:pStyle w:val="Heading4"/>
      </w:pPr>
      <w:r>
        <w:t>Mezinárodní srovnání</w:t>
      </w:r>
    </w:p>
    <w:p w:rsidR="009D46E6" w:rsidRDefault="009D46E6" w:rsidP="00866283">
      <w:r>
        <w:t>Zaměstnaní ve výzkumu a vývoji podnikatelského sektoru se v roce 2011 na všech zaměstnancích VaV podíleli největší měrou ve Švédsku, Číně, Koreji a Japonsku, kde se jejich podíl pohyboval okolo 70 %. V České republice bylo zastoupení podnikatelského sektoru na všech zaměstnancích VaV téměř shodné, jako tomu bylo v Belgii, Rusku či průměru EU28, ze všech zaměstnanců VaV pracovalo v tomto sektoru cca 52 % osob. Velmi malý podíl má podnikatelský sektor na zaměstnaných ve VaV na Slovensku, v Lotyšsku a Bulharsku, kde jeho zastoupení nedosahuje ani 20 %.</w:t>
      </w:r>
    </w:p>
    <w:p w:rsidR="009D46E6" w:rsidRDefault="009D46E6" w:rsidP="00750D9B">
      <w:pPr>
        <w:pStyle w:val="Caption"/>
      </w:pPr>
      <w:bookmarkStart w:id="122" w:name="_Toc369092022"/>
      <w:r>
        <w:t xml:space="preserve">Graf </w:t>
      </w:r>
      <w:fldSimple w:instr=" STYLEREF 1 \s ">
        <w:r>
          <w:rPr>
            <w:noProof/>
          </w:rPr>
          <w:t>B</w:t>
        </w:r>
      </w:fldSimple>
      <w:r>
        <w:t>.</w:t>
      </w:r>
      <w:fldSimple w:instr=" SEQ Graf \* ARABIC \s 1 ">
        <w:r>
          <w:rPr>
            <w:noProof/>
          </w:rPr>
          <w:t>18</w:t>
        </w:r>
      </w:fldSimple>
      <w:r w:rsidRPr="00BD5EC7">
        <w:t xml:space="preserve">: </w:t>
      </w:r>
      <w:r w:rsidRPr="00F90590">
        <w:t>Zaměstnaní ve VaV podnikatelského sektoru (FTE), 2011</w:t>
      </w:r>
      <w:bookmarkEnd w:id="122"/>
    </w:p>
    <w:p w:rsidR="009D46E6" w:rsidRPr="00632BFD" w:rsidRDefault="009D46E6" w:rsidP="001D7F37">
      <w:pPr>
        <w:pStyle w:val="Objekt"/>
      </w:pPr>
      <w:r w:rsidRPr="001D1D98">
        <w:pict>
          <v:shape id="Chart 21" o:spid="_x0000_i1145" type="#_x0000_t75" style="width:471.6pt;height:198.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rnZqn2wAAAAUBAAAPAAAAZHJzL2Rvd25y&#10;ZXYueG1sTI/BTsMwEETvSPyDtUjcqEOL0ibEqVAlLlxQW7hv7SUJjdeR7TaBr8dwKZeVRjOaeVut&#10;J9uLM/nQOVZwP8tAEGtnOm4UvO2f71YgQkQ22DsmBV8UYF1fX1VYGjfyls672IhUwqFEBW2MQyll&#10;0C1ZDDM3ECfvw3mLMUnfSONxTOW2l/Msy6XFjtNCiwNtWtLH3ckqGPzyYeRPX7zqzfvxhXGvV9tv&#10;pW5vpqdHEJGmeAnDL35ChzoxHdyJTRC9gvRI/LvJK/JFDuKgYFEs5yDrSv6nr38A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">
            <v:imagedata r:id="rId137" o:title="" croptop="-2540f" cropbottom="-2046f" cropleft="-873f" cropright="-880f"/>
            <o:lock v:ext="edit" aspectratio="f"/>
          </v:shape>
        </w:pict>
      </w:r>
    </w:p>
    <w:p w:rsidR="009D46E6" w:rsidRPr="00F90590" w:rsidRDefault="009D46E6" w:rsidP="00866283">
      <w:pPr>
        <w:pStyle w:val="Zdroj"/>
      </w:pPr>
      <w:r w:rsidRPr="00F90590">
        <w:t>* data za rok 2010</w:t>
      </w:r>
    </w:p>
    <w:p w:rsidR="009D46E6" w:rsidRDefault="009D46E6" w:rsidP="00866283">
      <w:pPr>
        <w:pStyle w:val="Zdroj"/>
      </w:pPr>
      <w:r w:rsidRPr="00F90590">
        <w:t>Zdroj: OECD MSTI 2013/1, Eurostat 2013</w:t>
      </w:r>
    </w:p>
    <w:p w:rsidR="009D46E6" w:rsidRDefault="009D46E6" w:rsidP="00866283"/>
    <w:p w:rsidR="009D46E6" w:rsidRDefault="009D46E6" w:rsidP="00866283">
      <w:r w:rsidRPr="00F90590">
        <w:t>Počet zaměstnaných ve VaV podnikatelského sektoru narůstal nejstrměji v Estonsku, kde se průměrný meziroční nárůst jejich počtu mezi lety 2000 a 2011 pohyboval u hranice 16 %. Za výrazný lze také označit tento nárůst v případě Číny, Portugalska, Litvy a Koreji. V rámci celé EU28 se počet zaměstnaných ve VaV podnikatelského sektoru ve stejném období meziročně zvyšoval v průměru o 2,3 %. Naopak pokles počtu zaměstnanců podnikatelského VaV zaznamenalo Lotyšsko, Rusko, Slovensko a Rumunsko.</w:t>
      </w:r>
    </w:p>
    <w:p w:rsidR="009D46E6" w:rsidRDefault="009D46E6" w:rsidP="0042790F">
      <w:pPr>
        <w:pStyle w:val="Caption"/>
        <w:tabs>
          <w:tab w:val="clear" w:pos="1276"/>
        </w:tabs>
        <w:ind w:left="1134" w:hanging="1134"/>
      </w:pPr>
      <w:bookmarkStart w:id="123" w:name="_Toc369092023"/>
      <w:r>
        <w:t xml:space="preserve">Graf </w:t>
      </w:r>
      <w:fldSimple w:instr=" STYLEREF 1 \s ">
        <w:r>
          <w:rPr>
            <w:noProof/>
          </w:rPr>
          <w:t>B</w:t>
        </w:r>
      </w:fldSimple>
      <w:r>
        <w:t>.</w:t>
      </w:r>
      <w:fldSimple w:instr=" SEQ Graf \* ARABIC \s 1 ">
        <w:r>
          <w:rPr>
            <w:noProof/>
          </w:rPr>
          <w:t>19</w:t>
        </w:r>
      </w:fldSimple>
      <w:r w:rsidRPr="00BD5EC7">
        <w:t xml:space="preserve">: </w:t>
      </w:r>
      <w:r w:rsidRPr="00F90590">
        <w:t>Průměrný meziroční nárůst zaměstnaných ve VaV podnikatelského sektoru (FTE), 2000–2011 (%)</w:t>
      </w:r>
      <w:bookmarkEnd w:id="123"/>
    </w:p>
    <w:p w:rsidR="009D46E6" w:rsidRPr="00632BFD" w:rsidRDefault="009D46E6" w:rsidP="00866283">
      <w:r w:rsidRPr="001D1D98">
        <w:rPr>
          <w:noProof/>
          <w:lang w:eastAsia="cs-CZ"/>
        </w:rPr>
        <w:pict>
          <v:shape id="Chart 23" o:spid="_x0000_i1146" type="#_x0000_t75" style="width:471.6pt;height:192.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52hOH3AAAAAUBAAAPAAAAZHJzL2Rvd25y&#10;ZXYueG1sTI9BS8NAEIXvgv9hGcGb3bTFEGMmRVpU8KKtHjxOs2OSmp0N2W0T/72rF70MPN7jvW+K&#10;1WQ7deLBt04Q5rMEFEvlTCs1wtvr/VUGygcSQ50TRvhiD6vy/Kyg3LhRtnzahVrFEvE5ITQh9LnW&#10;vmrYkp+5niV6H26wFKIcam0GGmO57fQiSVJtqZW40FDP64arz93RIhzm28fnIGuXtg/vTxvKxgNv&#10;XhAvL6a7W1CBp/AXhh/8iA5lZNq7oxivOoT4SPi90btJlymoPcIyu16ALgv9n778Bg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">
            <v:imagedata r:id="rId138" o:title="" croptop="-15216f" cropbottom="-719f" cropleft="-1637f" cropright="-1374f"/>
            <o:lock v:ext="edit" aspectratio="f"/>
          </v:shape>
        </w:pict>
      </w:r>
    </w:p>
    <w:p w:rsidR="009D46E6" w:rsidRPr="00F90590" w:rsidRDefault="009D46E6" w:rsidP="00866283">
      <w:pPr>
        <w:pStyle w:val="Zdroj"/>
      </w:pPr>
      <w:r w:rsidRPr="00F90590">
        <w:t>Pozn.: Průměrný meziroční nárůst počtu zaměstnanců je za Českou republiku vypočten z počtu zaměstnanců ve fyzických osobách (HC), neboť v roce 2005 došlo v Česku ke změně metodiky výpočtu FTE a z tohoto důvodu by byl průměrný meziroční nárůst počtu zaměstnanců vyjádřený z FTE významně nadhodnocen.</w:t>
      </w:r>
    </w:p>
    <w:p w:rsidR="009D46E6" w:rsidRPr="00F90590" w:rsidRDefault="009D46E6" w:rsidP="00866283">
      <w:pPr>
        <w:pStyle w:val="Zdroj"/>
      </w:pPr>
      <w:r w:rsidRPr="00F90590">
        <w:t>*Francie, Nizozemsko 2000 - 2010; Švédsko 2001 - 2011</w:t>
      </w:r>
    </w:p>
    <w:p w:rsidR="009D46E6" w:rsidRDefault="009D46E6" w:rsidP="00866283">
      <w:pPr>
        <w:pStyle w:val="Zdroj"/>
      </w:pPr>
      <w:r w:rsidRPr="00F90590">
        <w:t>Zdroj: OECD MSTI 2013/1, Eurostat 2013</w:t>
      </w:r>
    </w:p>
    <w:p w:rsidR="009D46E6" w:rsidRDefault="009D46E6" w:rsidP="00866283"/>
    <w:p w:rsidR="009D46E6" w:rsidRDefault="009D46E6" w:rsidP="00866283">
      <w:pPr>
        <w:pStyle w:val="Heading2"/>
      </w:pPr>
      <w:bookmarkStart w:id="124" w:name="_Toc369091879"/>
      <w:r>
        <w:t>Mzdy specialistů v oblasti vědy a techniky</w:t>
      </w:r>
      <w:bookmarkEnd w:id="124"/>
    </w:p>
    <w:p w:rsidR="009D46E6" w:rsidRDefault="009D46E6" w:rsidP="00866283">
      <w:r>
        <w:t>Data pro tuto kapitolu pocházejí z výsledků strukturální statistiky mezd zaměstnanců, kterou Český statistický úřad publikuje ve spolupráci s Ministerstvem práce a sociálních věcí. Více informací naleznete na odkaze: http://www.czso.cz/csu/redakce.nsf/i/lidske_zdroje_ve_vede_a_technologiich.</w:t>
      </w:r>
    </w:p>
    <w:p w:rsidR="009D46E6" w:rsidRDefault="009D46E6" w:rsidP="00866283">
      <w:r>
        <w:t>V případě zaměstnanců VaV lze, už jen vzhledem k jejich celkově vyšší kvalifikaci, předpokládat nadprůměrné mzdy. Informace o mzdách zaměstnanců výzkumu a vývoje nejsou z žádných statistik k dispozici, známe ale rozložení mezd podle jednotlivých skupin zaměstnání (CZ-ISCO). Nejblíže k definici Vědce jsou zaměstnaní jako Specialisté v oblasti vědy a techniky (CZ-ISCO 21). Osoby zařazené do této skupiny zaměstnanců pobíraly v roce 2012 průměrnou hrubou měsíční mzdu 39 308 Kč, což v porovnání s průměrnou hrubou měsíční mzdou v České republice v tomto roce přesahující mírně 26 tisíc Kč*, představuje 150 % mzdy průměrného českého zaměstnance.</w:t>
      </w:r>
    </w:p>
    <w:p w:rsidR="009D46E6" w:rsidRDefault="009D46E6" w:rsidP="00866283">
      <w:r>
        <w:t>Mezi specialisty z oblasti Vědy a techniky nacházíme rozličné profese s různou úrovní mezd. Na jedné straně jsou Specialisté v oblasti elektrotechniky, elektroniky a elektronických komunikací s průměrnou hrubou měsíční mzdou 45 tisíc korun a na straně druhé pak Specialisté v biologických a příbuzných oborech, kteří v průměru pobírají necelých 34 tisíc korun.</w:t>
      </w:r>
    </w:p>
    <w:p w:rsidR="009D46E6" w:rsidRDefault="009D46E6" w:rsidP="00750D9B">
      <w:pPr>
        <w:pStyle w:val="Caption"/>
      </w:pPr>
      <w:bookmarkStart w:id="125" w:name="_Toc369092024"/>
      <w:r>
        <w:t xml:space="preserve">Graf </w:t>
      </w:r>
      <w:fldSimple w:instr=" STYLEREF 1 \s ">
        <w:r>
          <w:rPr>
            <w:noProof/>
          </w:rPr>
          <w:t>B</w:t>
        </w:r>
      </w:fldSimple>
      <w:r>
        <w:t>.</w:t>
      </w:r>
      <w:fldSimple w:instr=" SEQ Graf \* ARABIC \s 1 ">
        <w:r>
          <w:rPr>
            <w:noProof/>
          </w:rPr>
          <w:t>20</w:t>
        </w:r>
      </w:fldSimple>
      <w:r w:rsidRPr="00BD5EC7">
        <w:t xml:space="preserve">: </w:t>
      </w:r>
      <w:r w:rsidRPr="00F90590">
        <w:t>Průměrná hrubá měsíční mzda v ČR* (v Kč), 2012</w:t>
      </w:r>
      <w:bookmarkEnd w:id="125"/>
    </w:p>
    <w:p w:rsidR="009D46E6" w:rsidRPr="00767697" w:rsidRDefault="009D46E6" w:rsidP="00750D9B">
      <w:pPr>
        <w:pStyle w:val="Caption"/>
        <w:rPr>
          <w:rStyle w:val="ObjektChar"/>
        </w:rPr>
      </w:pPr>
      <w:r w:rsidRPr="00DB1559">
        <w:rPr>
          <w:rStyle w:val="ObjektChar"/>
        </w:rPr>
        <w:pict>
          <v:shape id="_x0000_i1147" type="#_x0000_t75" style="width:481.2pt;height:159.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">
            <v:imagedata r:id="rId139" o:title="" croptop="-11871f" cropbottom="-2349f" cropleft="-2497f" cropright="-1465f"/>
            <o:lock v:ext="edit" aspectratio="f"/>
          </v:shape>
        </w:pict>
      </w:r>
    </w:p>
    <w:p w:rsidR="009D46E6" w:rsidRDefault="009D46E6" w:rsidP="00866283">
      <w:pPr>
        <w:pStyle w:val="Zdroj"/>
      </w:pPr>
      <w:r>
        <w:t>CZ-ISCO 21 - Specialisté v oblasti vědy a techniky; CZ-ISCO 211 - Specialisté v oblasti fyziky, chemie a v příbuzných oborech; CZ-ISCO 212 - Specialisté v oblasti matematiky, statistiky a pojistné matematiky; CZ-ISCO 213 - Specialisté v biologických a příbuzných oborech; CZ-ISCO 214 - Specialisté ve výrobě, stavebnictví a příbuzných oborech; CZ-ISCO 215 - Specialisté v oblasti elektrotechniky, elektroniky a elektronických komunikací; CZ-ISCO 216 - Architekti, specialisté v oblasti územního plánování, návrháři a příbuzní pracovníci.</w:t>
      </w:r>
    </w:p>
    <w:p w:rsidR="009D46E6" w:rsidRDefault="009D46E6" w:rsidP="00866283">
      <w:pPr>
        <w:pStyle w:val="Zdroj"/>
      </w:pPr>
      <w:r>
        <w:t>* Výše průměrné hrubé měsíční mzdy v ČR uváděná v této analýze se mírně liší od průměrné hrubé měsíční mzdy v ČR publikované v jiných materiálech a to z důvodu použití analytických (nedopočtených) dat, která se týkají vzorku šetření (cca 1,7 mil zam. osob).</w:t>
      </w:r>
    </w:p>
    <w:p w:rsidR="009D46E6" w:rsidRDefault="009D46E6" w:rsidP="00866283">
      <w:pPr>
        <w:pStyle w:val="Zdroj"/>
      </w:pPr>
      <w:r>
        <w:t>Zdroj: Strukturální mzdová statistika 2012</w:t>
      </w:r>
    </w:p>
    <w:p w:rsidR="009D46E6" w:rsidRPr="00F90590" w:rsidRDefault="009D46E6" w:rsidP="00866283"/>
    <w:p w:rsidR="009D46E6" w:rsidRDefault="009D46E6" w:rsidP="00866283">
      <w:r>
        <w:t>Rozložení mezd specialistů v oblasti vědy a techniky do jednotlivých věkových skupin kopíruje rozložení celkových mezd v Česku. To znamená, že mzdy nerostou úměrně s věkem, ale svého maxima dosáhnou u osob z věkové skupiny 35–39 let a u vyšších věkových skupin již dochází k poklesu. Obecně platí, že nejnižší mzdy mají zaměstnanci v nejnižších věkových skupinách, tedy na počátku své kariéry a následně dochází k prudkému nárůstu mezd s již zmíněným vrcholem ve věku 35–39 let. V této věkové skupině dosahuje průměrná hrubá měsíční mzda specialistů ve vědě a technice téměř 45 tisíc korun. Od šedesátého roku života pak průměrná hrubá měsíční mzda těchto specialistů opět narůstá až na více než 43 tisíc korun u osob starších 65 let. Tento jev je pravděpodobně způsoben faktem, že zaměstnanci na vyšších, lépe ohodnocených, pozicích zůstávají v zaměstnání déle (odchod do důchodu odkládají).</w:t>
      </w:r>
    </w:p>
    <w:p w:rsidR="009D46E6" w:rsidRDefault="009D46E6" w:rsidP="00866283">
      <w:r>
        <w:t>Se vzrůstajícím stupněm dosaženého vzdělání vědců a inženýrů narůstá i výše jejich mzdy. Toto pravidlo ostatně platí u všech zaměstnání, a tak ani specialisté v oblasti vědy a techniky nejsou výjimkou. Mezi mzdami těchto specialistů se vzděláním středním s maturitou a vyšším odborným a bakalářským vzděláním je rozdíl pouze pár set korun (36,4  tisíc korun střední s maturitou; 37,7 tisíc korun vyšší odborné). K významnému nárůstu mezd však dochází v případě specialistů ve VaT s vysokoškolským stupněm vzdělání, takto vzdělaní specialisté pobírají v průměru téměř 41 tisíc korun.</w:t>
      </w:r>
    </w:p>
    <w:p w:rsidR="009D46E6" w:rsidRDefault="009D46E6" w:rsidP="0042790F">
      <w:pPr>
        <w:pStyle w:val="Caption"/>
        <w:tabs>
          <w:tab w:val="clear" w:pos="1276"/>
        </w:tabs>
        <w:ind w:left="1134" w:hanging="1134"/>
      </w:pPr>
      <w:bookmarkStart w:id="126" w:name="_Toc369092025"/>
      <w:r>
        <w:t xml:space="preserve">Graf </w:t>
      </w:r>
      <w:fldSimple w:instr=" STYLEREF 1 \s ">
        <w:r>
          <w:rPr>
            <w:noProof/>
          </w:rPr>
          <w:t>B</w:t>
        </w:r>
      </w:fldSimple>
      <w:r>
        <w:t>.</w:t>
      </w:r>
      <w:fldSimple w:instr=" SEQ Graf \* ARABIC \s 1 ">
        <w:r>
          <w:rPr>
            <w:noProof/>
          </w:rPr>
          <w:t>21</w:t>
        </w:r>
      </w:fldSimple>
      <w:r w:rsidRPr="00BD5EC7">
        <w:t xml:space="preserve">: </w:t>
      </w:r>
      <w:r w:rsidRPr="00F90590">
        <w:t>Průměrná hrubá měsíční mzda specialistů v oblasti vědy a techniky podle vzdělání a věku (v Kč), 2012</w:t>
      </w:r>
      <w:bookmarkEnd w:id="126"/>
    </w:p>
    <w:p w:rsidR="009D46E6" w:rsidRDefault="009D46E6" w:rsidP="001D7F37">
      <w:pPr>
        <w:pStyle w:val="Objekt"/>
      </w:pPr>
      <w:r w:rsidRPr="001D1D98">
        <w:pict>
          <v:shape id="_x0000_i1148" type="#_x0000_t75" style="width:481.2pt;height:187.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gFZwj3gAAAAUBAAAPAAAAZHJzL2Rvd25y&#10;ZXYueG1sTI9BS8NAEIXvgv9hGcGLtBtjTWvMplihYG/atOJxmx2TYHY2ZLdp/Pcdvehl4PEe732T&#10;LUfbigF73zhScDuNQCCVzjRUKdgV68kChA+ajG4doYJv9LDMLy8ynRp3ojcctqESXEI+1QrqELpU&#10;Sl/WaLWfug6JvU/XWx1Y9pU0vT5xuW1lHEWJtLohXqh1h881ll/bo1WwWpX73fvrfL1oPmY3RTxs&#10;QvGyUer6anx6BBFwDH9h+MFndMiZ6eCOZLxoFfAj4fey95DEMxAHBXfz+wRknsn/9PkZ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">
            <v:imagedata r:id="rId140" o:title="" croptop="-11299f" cropbottom="-9800f" cropleft="-2760f" cropright="-2671f"/>
            <o:lock v:ext="edit" aspectratio="f"/>
          </v:shape>
        </w:pict>
      </w:r>
    </w:p>
    <w:p w:rsidR="009D46E6" w:rsidRDefault="009D46E6" w:rsidP="00866283">
      <w:pPr>
        <w:pStyle w:val="Zdroj"/>
      </w:pPr>
      <w:r w:rsidRPr="00F90590">
        <w:t>Zdroj: Strukturální mzdová statistika 2012</w:t>
      </w:r>
    </w:p>
    <w:p w:rsidR="009D46E6" w:rsidRDefault="009D46E6" w:rsidP="00866283"/>
    <w:p w:rsidR="009D46E6" w:rsidRDefault="009D46E6" w:rsidP="00866283">
      <w:r>
        <w:t xml:space="preserve">Ve výši průměrné hrubé měsíční mzdy specialistů v oblasti vědy a techniky existují mezi muži a ženami rozdíly, stejně jako je tomu i v případě celkových mezd v ČR. V roce 2012 přesahovala průměrná mzda mužů na těchto pracovních pozicích hranici 41 tisíc korun a v případě žen činil necelých 34 tisíc. Průměrná mzda žen zaměstnaných jako specialisté v oblasti vědy a techniky se tak pohybuje na 82 % mzdy mužů. V případě celkové hrubé měsíční mzdy v Česku je rozdíl mezi ženami a muži mírně vyšší, v tomto případě činila průměrná mzda žen 78 % průměrné mzdy mužů. </w:t>
      </w:r>
    </w:p>
    <w:p w:rsidR="009D46E6" w:rsidRDefault="009D46E6" w:rsidP="00866283">
      <w:r>
        <w:t xml:space="preserve">Významné rozdíly ve výši mezd mezi specialisty ve vědě a technice jsou samozřejmě také podle toho, zda je daný odborník zaměstnán v podnikatelské či nepodnikatelské sféře. Ve sféře podnikatelské jsou mzdy těchto specialistů výrazně vyšší než v nepodnikatelské. Rozdíl průměrné mzdy zaměstnaných jako specialista ve VaT v těchto dvou rozdílných sférách činil v roce 2012 více jak 11 000 korun, což by se dalo popsat také tak, že specialista ve VaT zaměstnaný v nepodnikatelské sféře pobíral pouhých 73 % mzdy Specialisty ve VaT zaměstnaného v podnikatelské sféře. </w:t>
      </w:r>
    </w:p>
    <w:p w:rsidR="009D46E6" w:rsidRDefault="009D46E6" w:rsidP="00866283">
      <w:r>
        <w:t>V případě dvou výše zmíněných sfér stojí za zmínku také rozdíly mezi průměrnými mzdami žen a mužů. V nepodnikatelské sféře pobírají ženy specialistky v oblasti VaT 94 % mzdy mužů specialistů ve VaT, v podnikatelské sféře 84 %. Tyto rozdíly ve výši mezd žen a mužů mezi zmiňovanými sférami jsou způsobeny tabulkovými mzdami v nepodnikatelské sféře, které neumožňují činit mezi muži a ženami výraznější rozdíly.</w:t>
      </w:r>
    </w:p>
    <w:p w:rsidR="009D46E6" w:rsidRDefault="009D46E6" w:rsidP="00866283"/>
    <w:p w:rsidR="009D46E6" w:rsidRDefault="009D46E6" w:rsidP="00866283">
      <w:pPr>
        <w:pStyle w:val="Heading2"/>
      </w:pPr>
      <w:bookmarkStart w:id="127" w:name="_Toc369091880"/>
      <w:r>
        <w:t>Vysokoškolské vzdělání</w:t>
      </w:r>
      <w:bookmarkEnd w:id="127"/>
    </w:p>
    <w:p w:rsidR="009D46E6" w:rsidRDefault="009D46E6" w:rsidP="00866283">
      <w:r>
        <w:t xml:space="preserve">Zdrojem dat týkajících se osob s ukončeným vysokoškolským vzděláním je Výběrové šetření pracovních sil, kde základní šetřenou jednotkou jsou jednotlivci a domácnosti. Data jsou uváděna jako roční průměry a pokud je jejich hodnota menší než 3 000 osob, jsou považovány za údaje s nízkou spolehlivostí. </w:t>
      </w:r>
    </w:p>
    <w:p w:rsidR="009D46E6" w:rsidRDefault="009D46E6" w:rsidP="00866283">
      <w:r>
        <w:t xml:space="preserve">Data za studenty a absolventy vysokoškolského studia byla přebrána z datových zdrojů Ministerstva školství, mládeže a tělovýchovy (MŠMT). Konkrétně data pocházejí z databáze SIMS – Sdružené Informace Matrik Studentů. Zařazení do studijního oboru vychází z kódu studijního programu, což v některých případech neodráží příslušnost jednotlivých studijních oborů k hlavním skupinám oborů. Z důvodů problematického zařazení jednotlivých studentů do příslušných skupin oborů jsou v případě členění podle oborů uváděny kvalifikované odhady (MŠMT). </w:t>
      </w:r>
    </w:p>
    <w:p w:rsidR="009D46E6" w:rsidRDefault="009D46E6" w:rsidP="00866283">
      <w:r>
        <w:t>Podrobné informace (data, definice, metodologii) o těchto dvou statistikách naleznete na http://www.czso.cz/csu/redakce.nsf/i/lidske_zdroje_pro_vedu_a_technologie .</w:t>
      </w:r>
    </w:p>
    <w:p w:rsidR="009D46E6" w:rsidRDefault="009D46E6" w:rsidP="00866283">
      <w:r>
        <w:t xml:space="preserve">Jak bylo uvedeno v předchozích kapitolách, mezi zaměstnanci výzkumu a vývoje pracuje 72 % osob s vysokoškolským vzděláním a mezi výzkumnými pracovníky nalézáme takto vzdělaných osob dokonce 89 %. Nelze samozřejmě předpokládat, že všechny osoby mající vysokoškolské vzdělání ve výzkumu a vývoji pracují nebo někdy pracovat budou, ale představují pro tuto oblast potenciální zdroje a zásadně se podílejí na tvorbě nových znalostí a technologií. Tato kapitola se bude věnovat jak již stávajícímu počtu osob s ukončeným vysokoškolským vzděláním, tak také studentům a absolventům tohoto stupně studia. Podrobněji se pak zaměří na přírodní a technické vědy, které lze považovat za klíčové obory pro výzkum a vývoj, což dokazuje i fakt, že v roce 2012 pracovalo v těchto vědních oblastech 75 % zaměstnanců výzkumu a vývoje. </w:t>
      </w:r>
    </w:p>
    <w:p w:rsidR="009D46E6" w:rsidRDefault="009D46E6" w:rsidP="003C6E2E">
      <w:pPr>
        <w:pStyle w:val="Heading3"/>
      </w:pPr>
      <w:bookmarkStart w:id="128" w:name="_Toc369091881"/>
      <w:r>
        <w:t>Osoby s ukončeným vysokoškolským vzděláním</w:t>
      </w:r>
      <w:bookmarkEnd w:id="128"/>
      <w:r>
        <w:t xml:space="preserve"> </w:t>
      </w:r>
    </w:p>
    <w:p w:rsidR="009D46E6" w:rsidRDefault="009D46E6" w:rsidP="00866283">
      <w:r>
        <w:t>Počet osob s ukončeným vysokoškolským vzděláním se rok od roku zvyšuje. V roce 2012 bylo v populaci osob starších 25 let v Česku téměř 1 milión 348 tisíc takto vzdělaných osob, což činilo 17,3 % populace tohoto věku (tato věková kategorie byla zvolena z toho důvodu, že se jedná o osoby, u nichž se předpokládá již ukončené studium). Na počátku sledovaného období, v roce 2000, mělo vysokoškolské vzdělání ukončeno přibližně 714 tisíc osob, které tvořily 10 % populace. Mezi vysokoškolsky vzdělanými osobami převažovali v roce 2000 muži nad ženami výrazněji, než jak je tomu nyní. V roce 2000 byl poměr mužů a žen 59 % ku 41 %, v roce 2012 se poměr obou pohlaví již více vyrovnal, když na 100 osob s vysokoškolským vzděláním připadalo 51 mužů a 49 žen.</w:t>
      </w:r>
    </w:p>
    <w:p w:rsidR="009D46E6" w:rsidRDefault="009D46E6" w:rsidP="00750D9B">
      <w:pPr>
        <w:pStyle w:val="Caption"/>
      </w:pPr>
      <w:bookmarkStart w:id="129" w:name="_Toc369092026"/>
      <w:r>
        <w:t xml:space="preserve">Graf </w:t>
      </w:r>
      <w:fldSimple w:instr=" STYLEREF 1 \s ">
        <w:r>
          <w:rPr>
            <w:noProof/>
          </w:rPr>
          <w:t>B</w:t>
        </w:r>
      </w:fldSimple>
      <w:r>
        <w:t>.</w:t>
      </w:r>
      <w:fldSimple w:instr=" SEQ Graf \* ARABIC \s 1 ">
        <w:r>
          <w:rPr>
            <w:noProof/>
          </w:rPr>
          <w:t>22</w:t>
        </w:r>
      </w:fldSimple>
      <w:r w:rsidRPr="00BD5EC7">
        <w:t xml:space="preserve">: </w:t>
      </w:r>
      <w:r w:rsidRPr="00F90590">
        <w:t>Osoby s ukončeným vysokoškolským vzděláním ve věku 25 a více let</w:t>
      </w:r>
      <w:bookmarkEnd w:id="129"/>
    </w:p>
    <w:p w:rsidR="009D46E6" w:rsidRDefault="009D46E6" w:rsidP="001D7F37">
      <w:pPr>
        <w:pStyle w:val="Objekt"/>
      </w:pPr>
      <w:r w:rsidRPr="00EC0E84">
        <w:t xml:space="preserve"> </w:t>
      </w:r>
      <w:r w:rsidRPr="001D1D98">
        <w:pict>
          <v:shape id="Graf 387" o:spid="_x0000_i1149" type="#_x0000_t75" style="width:344.4pt;height:175.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c9ms3QAAAAUBAAAPAAAAZHJzL2Rvd25y&#10;ZXYueG1sTI/BbsIwEETvlfoP1lbqpSoOoEZpGgdVqHBqD9BecjPxNomw11FsIPx9Fy70MtJqVjNv&#10;isXorDjiEDpPCqaTBARS7U1HjYKf79VzBiJETUZbT6jgjAEW5f1doXPjT7TB4zY2gkMo5FpBG2Of&#10;SxnqFp0OE98jsffrB6cjn0MjzaBPHO6snCVJKp3uiBta3eOyxXq/PTgF5mvpx/3m9bOarZ+q6kOu&#10;zDxapR4fxvc3EBHHeHuGCz6jQ8lMO38gE4RVwEPiVdlLs4xn7BTMX6YpyLKQ/+nLPw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">
            <v:imagedata r:id="rId141" o:title="" croptop="-2997f" cropbottom="-4516f" cropleft="-2555f" cropright="-2279f"/>
            <o:lock v:ext="edit" aspectratio="f"/>
          </v:shape>
        </w:pict>
      </w:r>
      <w:r w:rsidRPr="00EC0E84">
        <w:t xml:space="preserve"> </w:t>
      </w:r>
      <w:r w:rsidRPr="001D1D98">
        <w:pict>
          <v:shape id="Graf 388" o:spid="_x0000_i1150" type="#_x0000_t75" style="width:127.8pt;height:175.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ecT7R3gAAAAUBAAAPAAAAZHJzL2Rvd25y&#10;ZXYueG1sTI/BTsMwEETvSP0Haytxo05bJYIQpwJED0hIqKU99GbHS+I2Xkexm6Z/j+ECl5VGM5p5&#10;W6xG27IBe28cCZjPEmBIldOGagG7z/XdPTAfJGnZOkIBV/SwKic3hcy1u9AGh22oWSwhn0sBTQhd&#10;zrmvGrTSz1yHFL0v11sZouxrrnt5ieW25YskybiVhuJCIzt8abA6bc9WwP5Z4cN6UOZ9Z4/jhzpc&#10;l2+vRojb6fj0CCzgGP7C8IMf0aGMTMqdSXvWCoiPhN8bvUWaZsCUgGU6z4CXBf9PX34D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">
            <v:imagedata r:id="rId142" o:title="" croptop="-2586f" cropbottom="-4592f" cropleft="-21700f" cropright="-23701f"/>
            <o:lock v:ext="edit" aspectratio="f"/>
          </v:shape>
        </w:pict>
      </w:r>
    </w:p>
    <w:p w:rsidR="009D46E6" w:rsidRDefault="009D46E6" w:rsidP="00866283">
      <w:pPr>
        <w:pStyle w:val="Zdroj"/>
      </w:pPr>
      <w:r w:rsidRPr="00F90590">
        <w:t>Zdroj: Český statistický úřad 2013, Výběrové šetření pracovních sil</w:t>
      </w:r>
    </w:p>
    <w:p w:rsidR="009D46E6" w:rsidRDefault="009D46E6" w:rsidP="00866283"/>
    <w:p w:rsidR="009D46E6" w:rsidRDefault="009D46E6" w:rsidP="00866283">
      <w:r w:rsidRPr="00F90590">
        <w:t>Mezi vysokoškolsky vzdělanou populací převažují dlouhodobě osoby se vzděláním v magisterském studijním programu. V roce 2012 bylo takovýchto osob 82 %, osob se vzděláním bakalářským 15 % a zbylá 3 % vysokoškolsky vzdělané populace byla vybavena titulem doktorským. V průběhu let docházelo k posunu ve struktuře terciárně vzdělaných osob podle stupně studia ve prospěch bakalářského stupně. Tento posun je způsoben změnou složení nabízených studijních programů, kdy ještě před deseti lety bylo možné studovat bakalářský studijní program jen výjimečně a vysokoškolské studium bylo možné v převážně pětiletém magisterském programu.</w:t>
      </w:r>
    </w:p>
    <w:p w:rsidR="009D46E6" w:rsidRDefault="009D46E6" w:rsidP="00866283">
      <w:r w:rsidRPr="00F90590">
        <w:t>V populaci s vysokoškolským vzděláním mají nejvyšší zastoupení osoby se vzděláním v oborech sociální vědy, obchod a právo (26 %) a technické vědy, výroba a stavebnictví (21 %), pedagogické vzdělání má 17 % vysokoškolsky vzdělaných osob a 9 % je vzděláno ve vědách přírodních.</w:t>
      </w:r>
    </w:p>
    <w:p w:rsidR="009D46E6" w:rsidRDefault="009D46E6" w:rsidP="00750D9B">
      <w:pPr>
        <w:pStyle w:val="Caption"/>
      </w:pPr>
      <w:bookmarkStart w:id="130" w:name="_Toc369092027"/>
      <w:r>
        <w:t xml:space="preserve">Graf </w:t>
      </w:r>
      <w:fldSimple w:instr=" STYLEREF 1 \s ">
        <w:r>
          <w:rPr>
            <w:noProof/>
          </w:rPr>
          <w:t>B</w:t>
        </w:r>
      </w:fldSimple>
      <w:r>
        <w:t>.</w:t>
      </w:r>
      <w:fldSimple w:instr=" SEQ Graf \* ARABIC \s 1 ">
        <w:r>
          <w:rPr>
            <w:noProof/>
          </w:rPr>
          <w:t>23</w:t>
        </w:r>
      </w:fldSimple>
      <w:r w:rsidRPr="00BD5EC7">
        <w:t xml:space="preserve">: </w:t>
      </w:r>
      <w:r w:rsidRPr="00F90590">
        <w:t>Osoby s vysokoškolským vzděláním podle studijního programu</w:t>
      </w:r>
      <w:bookmarkEnd w:id="130"/>
    </w:p>
    <w:p w:rsidR="009D46E6" w:rsidRPr="006B3212" w:rsidRDefault="009D46E6" w:rsidP="001D7F37">
      <w:pPr>
        <w:pStyle w:val="Objekt"/>
      </w:pPr>
      <w:r w:rsidRPr="001D1D98">
        <w:pict>
          <v:shape id="_x0000_i1151" type="#_x0000_t75" style="width:483pt;height:117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">
            <v:imagedata r:id="rId143" o:title="" cropbottom="-387f"/>
            <o:lock v:ext="edit" aspectratio="f"/>
          </v:shape>
        </w:pict>
      </w:r>
    </w:p>
    <w:p w:rsidR="009D46E6" w:rsidRDefault="009D46E6" w:rsidP="00866283">
      <w:pPr>
        <w:pStyle w:val="Zdroj"/>
      </w:pPr>
      <w:r w:rsidRPr="00F90590">
        <w:t>Zdroj: Český statistický úřad 2013, Výběrové šetření pracovních sil</w:t>
      </w:r>
    </w:p>
    <w:p w:rsidR="009D46E6" w:rsidRDefault="009D46E6" w:rsidP="00866283"/>
    <w:p w:rsidR="009D46E6" w:rsidRDefault="009D46E6">
      <w:pPr>
        <w:spacing w:before="200" w:after="200" w:line="276" w:lineRule="auto"/>
        <w:jc w:val="left"/>
      </w:pPr>
      <w:r>
        <w:br w:type="page"/>
      </w:r>
    </w:p>
    <w:p w:rsidR="009D46E6" w:rsidRDefault="009D46E6" w:rsidP="00866283">
      <w:r w:rsidRPr="00F90590">
        <w:t xml:space="preserve">Nejvyšší zastoupení vysokoškolsky vzdělaných osob bylo v roce 2012 v populaci ve věku 25–34 let, kde takto vzdělané osoby tvořily 28 % a oproti roku 2005 tak byl zaznamenán nárůst o 15 procentních bodů. K nárůstu podílu vysokoškolsky vzdělaných osob v populaci došlo i </w:t>
      </w:r>
      <w:r>
        <w:t>u</w:t>
      </w:r>
      <w:r w:rsidRPr="00F90590">
        <w:t xml:space="preserve"> ostatních věkových skupin. Mezi osobami ve věku 35–54 let zaujímali v roce 2012 vysokoškolsky vzdělaní cca 19 %, u osob v postproduktivním věku 11 %.</w:t>
      </w:r>
    </w:p>
    <w:p w:rsidR="009D46E6" w:rsidRDefault="009D46E6" w:rsidP="00750D9B">
      <w:pPr>
        <w:pStyle w:val="Caption"/>
      </w:pPr>
      <w:bookmarkStart w:id="131" w:name="_Toc369092028"/>
      <w:r>
        <w:t xml:space="preserve">Graf </w:t>
      </w:r>
      <w:fldSimple w:instr=" STYLEREF 1 \s ">
        <w:r>
          <w:rPr>
            <w:noProof/>
          </w:rPr>
          <w:t>B</w:t>
        </w:r>
      </w:fldSimple>
      <w:r>
        <w:t>.</w:t>
      </w:r>
      <w:fldSimple w:instr=" SEQ Graf \* ARABIC \s 1 ">
        <w:r>
          <w:rPr>
            <w:noProof/>
          </w:rPr>
          <w:t>24</w:t>
        </w:r>
      </w:fldSimple>
      <w:r w:rsidRPr="00BD5EC7">
        <w:t xml:space="preserve">: </w:t>
      </w:r>
      <w:r w:rsidRPr="00F90590">
        <w:t>Osoby s vysokoškolským vzděláním podle věku, (% osob v dané věkové skupině)</w:t>
      </w:r>
      <w:bookmarkEnd w:id="131"/>
    </w:p>
    <w:p w:rsidR="009D46E6" w:rsidRPr="00F90590" w:rsidRDefault="009D46E6" w:rsidP="001D7F37">
      <w:pPr>
        <w:pStyle w:val="Objekt"/>
      </w:pPr>
      <w:r w:rsidRPr="001D1D98">
        <w:pict>
          <v:shape id="_x0000_i1152" type="#_x0000_t75" style="width:481.8pt;height:145.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a5zP03gAAAAUBAAAPAAAAZHJzL2Rvd25y&#10;ZXYueG1sTI/BTsMwEETvSPyDtUhcEHXaQkRDnApVyqFwQLRccnPjbRJqr6PYbdO/Z+ECl5VGM5p5&#10;my9HZ8UJh9B5UjCdJCCQam86ahR8bsv7JxAhajLaekIFFwywLK6vcp0Zf6YPPG1iI7iEQqYVtDH2&#10;mZShbtHpMPE9Ent7PzgdWQ6NNIM+c7mzcpYkqXS6I15odY+rFuvD5ugUVI9f2/fyrlq/laZ6HVdU&#10;2X23Vur2Znx5BhFxjH9h+MFndCiYaeePZIKwCviR+HvZW6TzFMROwWzxkIAscvmfvvgG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">
            <v:imagedata r:id="rId144" o:title="" croptop="-5296f" cropbottom="-2962f" cropleft="-5242f" cropright="-5480f"/>
            <o:lock v:ext="edit" aspectratio="f"/>
          </v:shape>
        </w:pict>
      </w:r>
    </w:p>
    <w:p w:rsidR="009D46E6" w:rsidRDefault="009D46E6" w:rsidP="00866283">
      <w:pPr>
        <w:pStyle w:val="Zdroj"/>
      </w:pPr>
      <w:r w:rsidRPr="00F90590">
        <w:t>Zdroj: Český statistický úřad 2013, Výběrové šetření pracovních sil</w:t>
      </w:r>
    </w:p>
    <w:p w:rsidR="009D46E6" w:rsidRDefault="009D46E6" w:rsidP="00397DAB">
      <w:pPr>
        <w:pStyle w:val="Heading4"/>
      </w:pPr>
      <w:r>
        <w:t>Mezinárodní srovnání</w:t>
      </w:r>
    </w:p>
    <w:p w:rsidR="009D46E6" w:rsidRDefault="009D46E6" w:rsidP="00866283">
      <w:r>
        <w:t>Česká republika se zastoupením osob s terciárním vzděláním v populaci dlouhodobě nachází hluboko pod evropským průměrem. V roce 2012 bylo v populaci České republiky 19,2 % osob s ukončeným terciárním vzděláním, přičemž průměr EU27 činil ve stejném roce 27,6 % a nejvyšších podílů pak bylo dosaženo ve Finsku, Irsku, Spojeném království a v Estonsku, kde bylo v populaci zastoupeno více jak 37 % osob s ukončeným terciárním vzděláním. Od roku 2000 došlo ve všech sledovaných zemích k nárůstu tohoto podílu. Nejvýraznější byl mezi sledovanými zeměmi zaznamenán nárůst v případě Irska, kde podíl terciárně vzdělaných osob v populaci vzrostl téměř o 18 procentních bodů.</w:t>
      </w:r>
    </w:p>
    <w:p w:rsidR="009D46E6" w:rsidRDefault="009D46E6" w:rsidP="00866283">
      <w:r>
        <w:t>Česká republika se sice nachází mezi zeměmi s nejnižším zastoupením terciárně vzdělaných osob v populaci, pokud se však zaměříme na osoby mající minimálně středoškolské vzdělání, je situace zcela odlišná. V roce 2012 mělo v Česku alespoň střední vzdělání s maturitou 92 % osob. Podobného podílu bylo dosaženo také v Litvě a na Slovensku. V průměru EU27 dosáhlo na alespoň středoškolské vzdělání 74 % populace. Nejnižší podíly pak zaujímají osoby s alespoň středním vzděláním ve Španělsku (54 %), Itálii (57 %) a Portugalsku (38 %), přičemž poslední Itálie a Portugalsko státy mají i velmi malé zastoupení osob s dosaženým terciárním vzděláním (cca 17 %).</w:t>
      </w:r>
    </w:p>
    <w:p w:rsidR="009D46E6" w:rsidRDefault="009D46E6" w:rsidP="00750D9B">
      <w:pPr>
        <w:pStyle w:val="Caption"/>
      </w:pPr>
      <w:bookmarkStart w:id="132" w:name="_Toc369092029"/>
      <w:r>
        <w:t xml:space="preserve">Graf </w:t>
      </w:r>
      <w:fldSimple w:instr=" STYLEREF 1 \s ">
        <w:r>
          <w:rPr>
            <w:noProof/>
          </w:rPr>
          <w:t>B</w:t>
        </w:r>
      </w:fldSimple>
      <w:r>
        <w:t>.</w:t>
      </w:r>
      <w:fldSimple w:instr=" SEQ Graf \* ARABIC \s 1 ">
        <w:r>
          <w:rPr>
            <w:noProof/>
          </w:rPr>
          <w:t>25</w:t>
        </w:r>
      </w:fldSimple>
      <w:r w:rsidRPr="00BD5EC7">
        <w:t xml:space="preserve">: </w:t>
      </w:r>
      <w:r w:rsidRPr="00F90590">
        <w:t>Osoby s ukončeným terciárním vzděláním ve věku 25</w:t>
      </w:r>
      <w:r>
        <w:t>-</w:t>
      </w:r>
      <w:r w:rsidRPr="00F90590">
        <w:t>64 let (% populace 25</w:t>
      </w:r>
      <w:r>
        <w:t>-</w:t>
      </w:r>
      <w:r w:rsidRPr="00F90590">
        <w:t>64</w:t>
      </w:r>
      <w:r>
        <w:t xml:space="preserve"> </w:t>
      </w:r>
      <w:r w:rsidRPr="00F90590">
        <w:t>let)</w:t>
      </w:r>
      <w:bookmarkEnd w:id="132"/>
    </w:p>
    <w:p w:rsidR="009D46E6" w:rsidRPr="0001132D" w:rsidRDefault="009D46E6" w:rsidP="001D7F37">
      <w:pPr>
        <w:pStyle w:val="Objekt"/>
      </w:pPr>
      <w:r w:rsidRPr="001D1D98">
        <w:pict>
          <v:shape id="Chart 225" o:spid="_x0000_i1153" type="#_x0000_t75" style="width:471.6pt;height:189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LNy6m3QAAAAUBAAAPAAAAZHJzL2Rvd25y&#10;ZXYueG1sTI9Ba8JAEIXvhf6HZQq91UmjFU2zkVAoXuyhKi3e1uw0Ce7Ohuyq8d9324teBh7v8d43&#10;+WKwRpyo961jCc+jBARx5XTLtYTt5v1pBsIHxVoZxyThQh4Wxf1drjLtzvxJp3WoRSxhnykJTQhd&#10;huirhqzyI9cRR+/H9VaFKPsada/OsdwaTJNkila1HBca1dFbQ9VhfbQSsMNq9b10H+WuHJvLwdst&#10;rr6kfHwYylcQgYZwDcMffkSHIjLt3ZG1F0ZCfCT83+jNp+kExF7CePaSAhY53tIXvw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">
            <v:imagedata r:id="rId145" o:title="" croptop="-2849f" cropbottom="-2941f" cropleft="-1939f" cropright="-1946f"/>
            <o:lock v:ext="edit" aspectratio="f"/>
          </v:shape>
        </w:pict>
      </w:r>
    </w:p>
    <w:p w:rsidR="009D46E6" w:rsidRDefault="009D46E6" w:rsidP="00866283">
      <w:pPr>
        <w:pStyle w:val="Zdroj"/>
      </w:pPr>
      <w:r w:rsidRPr="008B6A10">
        <w:t>Zdroj: Eurostat 2013</w:t>
      </w:r>
    </w:p>
    <w:p w:rsidR="009D46E6" w:rsidRDefault="009D46E6">
      <w:pPr>
        <w:spacing w:before="200" w:after="200" w:line="276" w:lineRule="auto"/>
        <w:jc w:val="left"/>
        <w:rPr>
          <w:b/>
          <w:szCs w:val="22"/>
        </w:rPr>
      </w:pPr>
      <w:r>
        <w:br w:type="page"/>
      </w:r>
    </w:p>
    <w:p w:rsidR="009D46E6" w:rsidRDefault="009D46E6" w:rsidP="003C6E2E">
      <w:pPr>
        <w:pStyle w:val="Heading3"/>
      </w:pPr>
      <w:bookmarkStart w:id="133" w:name="_Toc369091882"/>
      <w:r>
        <w:t>Studenti a absolventi vysokoškolského studia</w:t>
      </w:r>
      <w:bookmarkEnd w:id="133"/>
    </w:p>
    <w:p w:rsidR="009D46E6" w:rsidRDefault="009D46E6" w:rsidP="00866283">
      <w:r>
        <w:t xml:space="preserve">V posledních deseti letech se počet studentů vysokých škol (bakalářské, magisterské a doktorské studium) v České republice neustále zvyšoval, kdy od roku 2001 došlo k téměř zdvojnásobení jejich počtu na bezmála 400 tisíc studentů v roce 2010. Od tohoto roku pak jejich počet mírně klesá. Za strmý lze označit nejen nárůst absolutních hodnot, ale také poměrového ukazatele, kterým je zastoupení studentů vysokoškolského studia v populaci osob ve věku 20–29 let. Zatímco v roce 2001 studovalo v této populaci vysokou školu 12 % osob, v roce 2012 se v této skupině osob vyskytovalo již více jak 28 % vysokoškoláků. Výrazněji než počet studentů celkem rostl počet studujících žen. Těch bylo na počátku sledovaného období, v roce 2001, 90 tisíc a v roce 2012 více než 214 tisíc a na všech vysokoškolských studentech tak zaujímaly podíl 56 %. Od roku 2001, kdy bylo mezi studenty 48 % žen, se tak jejich zastoupení mezi studenty vysokých škol výrazně zvýšilo. </w:t>
      </w:r>
    </w:p>
    <w:p w:rsidR="009D46E6" w:rsidRDefault="009D46E6" w:rsidP="00866283">
      <w:r>
        <w:t>Zatímco se počet studentů vysokých škol mezi lety 2001–2012 téměř zdvojnásobil, v případě absolventů se jejich počet ve stejném období zvýšil více než třikrát. V roce 2001 absolvovalo vysokou školu v České republice více než 30 tisíc studentů a v roce 2012 jich bylo již téměř 94 tisíc. Tento výrazný nárůst počtu absolventů může být do jisté míry způsoben tím, že od roku 2001 se magisterský stupeň vzdělávání rozdělil na stupně dva a velká část absolventů bakalářského stupně dále pokračuje studiem v navazujícím magisterském programu. Zastoupení žen mezi absolventy vysokých škol je po celé sledované období více než 50 %, s tím, že v roce 2001 tvořily ženy 51 % všech absolventů a o 11 let později, v roce 2012, již 61 %. Z faktu, že je dlouhodobě vyšší zastoupení žen mezi absolventy vysokých škol než mezi studenty, by se dala usuzovat jejich vyšší úspěšnost při dokončování vysokoškolského studia.</w:t>
      </w:r>
    </w:p>
    <w:p w:rsidR="009D46E6" w:rsidRDefault="009D46E6" w:rsidP="00750D9B">
      <w:pPr>
        <w:pStyle w:val="Caption"/>
      </w:pPr>
      <w:bookmarkStart w:id="134" w:name="_Toc369092030"/>
      <w:r>
        <w:t xml:space="preserve">Graf </w:t>
      </w:r>
      <w:fldSimple w:instr=" STYLEREF 1 \s ">
        <w:r>
          <w:rPr>
            <w:noProof/>
          </w:rPr>
          <w:t>B</w:t>
        </w:r>
      </w:fldSimple>
      <w:r>
        <w:t>.</w:t>
      </w:r>
      <w:fldSimple w:instr=" SEQ Graf \* ARABIC \s 1 ">
        <w:r>
          <w:rPr>
            <w:noProof/>
          </w:rPr>
          <w:t>26</w:t>
        </w:r>
      </w:fldSimple>
      <w:r w:rsidRPr="00BD5EC7">
        <w:t xml:space="preserve">: </w:t>
      </w:r>
      <w:r w:rsidRPr="008B6A10">
        <w:t>Studenti a absolventi vysokých škol v ČR</w:t>
      </w:r>
      <w:bookmarkEnd w:id="134"/>
    </w:p>
    <w:p w:rsidR="009D46E6" w:rsidRPr="0001132D" w:rsidRDefault="009D46E6" w:rsidP="001D7F37">
      <w:pPr>
        <w:pStyle w:val="Objekt"/>
      </w:pPr>
      <w:r w:rsidRPr="001D1D98">
        <w:pict>
          <v:shape id="Graf 9" o:spid="_x0000_i1154" type="#_x0000_t75" style="width:480pt;height:184.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lED43AAAAAUBAAAPAAAAZHJzL2Rvd25y&#10;ZXYueG1sTI9LT8MwEITvSPwHa5G4UYdWFAhxKlTEAaniUdr7Nt481HgdxW4T/n23XOAy0mhWM99m&#10;i9G16kh9aDwbuJ0koIgLbxuuDGy+X28eQIWIbLH1TAZ+KMAiv7zIMLV+4C86rmOlpIRDigbqGLtU&#10;61DU5DBMfEcsWel7h1FsX2nb4yDlrtXTJJlrhw3LQo0dLWsq9uuDM4Bv5cvdartf+c5tlu04fLx/&#10;bktjrq/G5ydQkcb4dwxnfEGHXJh2/sA2qNaAPBJ/VbLHeSJ2Z2B2P5uCzjP9nz4/AQ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">
            <v:imagedata r:id="rId146" o:title="" croptop="-3236f" cropbottom="-1085f" cropleft="-1234f" cropright="-1712f"/>
            <o:lock v:ext="edit" aspectratio="f"/>
          </v:shape>
        </w:pict>
      </w:r>
    </w:p>
    <w:p w:rsidR="009D46E6" w:rsidRDefault="009D46E6" w:rsidP="00866283">
      <w:r w:rsidRPr="008B6A10">
        <w:rPr>
          <w:i/>
          <w:color w:val="595959"/>
          <w:sz w:val="16"/>
        </w:rPr>
        <w:t>Zdroj: Ministerstvo školství, mládeže a tělovýchovy 2013</w:t>
      </w:r>
    </w:p>
    <w:p w:rsidR="009D46E6" w:rsidRDefault="009D46E6" w:rsidP="00866283"/>
    <w:p w:rsidR="009D46E6" w:rsidRDefault="009D46E6" w:rsidP="00866283">
      <w:r w:rsidRPr="008B6A10">
        <w:t xml:space="preserve">V roce 2001 byla striktně zavedena třístupňová struktura vysokoškolského studia, kdy se dříve charakteristické 4-6leté studium na vysokých školách transformovalo do obvykle tříletých bakalářských studijních programů a do programů magisterských. Magisterské studijní programy jsou dvojího typu, a to navazující magisterské, které umožňuje pokračovat ve studiu absolventům bakalářského studia (obvykle dvouleté) a tzv. dlouhé magisterské programy, u nichž nebylo rozdělení na dva stupně možné (např. studium medicíny, veterinárního lékařství či architektury). Zavedení třístupňového modelu studia velmi názorně ukazuje následující graf, ve kterém je zřetelně vidět jak se zastoupení studentů v průběhu let přesouvalo z dlouhých magisterských programů do programů bakalářských, potažmo navazujících magisterských. </w:t>
      </w:r>
    </w:p>
    <w:p w:rsidR="009D46E6" w:rsidRDefault="009D46E6" w:rsidP="00750D9B">
      <w:pPr>
        <w:pStyle w:val="Caption"/>
      </w:pPr>
      <w:bookmarkStart w:id="135" w:name="_Toc369092031"/>
      <w:r>
        <w:t xml:space="preserve">Graf </w:t>
      </w:r>
      <w:fldSimple w:instr=" STYLEREF 1 \s ">
        <w:r>
          <w:rPr>
            <w:noProof/>
          </w:rPr>
          <w:t>B</w:t>
        </w:r>
      </w:fldSimple>
      <w:r>
        <w:t>.</w:t>
      </w:r>
      <w:fldSimple w:instr=" SEQ Graf \* ARABIC \s 1 ">
        <w:r>
          <w:rPr>
            <w:noProof/>
          </w:rPr>
          <w:t>27</w:t>
        </w:r>
      </w:fldSimple>
      <w:r w:rsidRPr="00BD5EC7">
        <w:t xml:space="preserve">: </w:t>
      </w:r>
      <w:r w:rsidRPr="008B6A10">
        <w:t>Struktura studentů vysokých škol podle typu studijního programu</w:t>
      </w:r>
      <w:bookmarkEnd w:id="135"/>
    </w:p>
    <w:p w:rsidR="009D46E6" w:rsidRDefault="009D46E6" w:rsidP="00866283">
      <w:r w:rsidRPr="00DB1559">
        <w:rPr>
          <w:rStyle w:val="ObjektChar"/>
        </w:rPr>
        <w:pict>
          <v:shape id="Graf 10" o:spid="_x0000_i1155" type="#_x0000_t75" style="width:470.4pt;height:110.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HsTxl2gAAAAUBAAAPAAAAZHJzL2Rvd25y&#10;ZXYueG1sTI/NTsMwEITvSLyDtUjcqF0L8ZPGqQqIG5emiF7deJtEjdchdpPw9ixc4LLa1Yxmv8nX&#10;s+/EiENsAxlYLhQIpCq4lmoD77vXmwcQMVlytguEBr4wwrq4vMht5sJEWxzLVAsOoZhZA01KfSZl&#10;rBr0Ni5Cj8TaMQzeJj6HWrrBThzuO6mVupPetsQfGtvjc4PVqTx7A+P+pF/2k1P102a7vI/48Vm+&#10;aWOur+bNCkTCOf2Z4Qef0aFgpkM4k4uiM8BF0u9k7fFWcY2DAa15kUUu/9MX3wA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">
            <v:imagedata r:id="rId147" o:title="" croptop="-5857f" cropbottom="-8012f" cropleft="-3040f" cropright="-2376f"/>
            <o:lock v:ext="edit" aspectratio="f"/>
          </v:shape>
        </w:pict>
      </w:r>
      <w:r w:rsidRPr="0001132D">
        <w:t xml:space="preserve"> </w:t>
      </w:r>
      <w:r w:rsidRPr="008B6A10">
        <w:rPr>
          <w:i/>
          <w:color w:val="595959"/>
          <w:sz w:val="16"/>
        </w:rPr>
        <w:t>Zdroj: Ministerstvo školství, mládeže a tělovýchovy 2013</w:t>
      </w:r>
    </w:p>
    <w:p w:rsidR="009D46E6" w:rsidRDefault="009D46E6" w:rsidP="00B70C87"/>
    <w:p w:rsidR="009D46E6" w:rsidRDefault="009D46E6" w:rsidP="00B70C87">
      <w:r w:rsidRPr="008B6A10">
        <w:t>V roce 2012 bylo mezi vysokoškolskými studenty 61 % těch, kteří byli zapojeni do bakalářského programu, 23 % studujících navazující magisterský program a dlouhého magisterského studijního programu se účastnilo pouhých 9 % studentů vysokých škol.</w:t>
      </w:r>
    </w:p>
    <w:p w:rsidR="009D46E6" w:rsidRDefault="009D46E6" w:rsidP="00866283">
      <w:r w:rsidRPr="00A43B8B">
        <w:t>Dlouhodobě je mezi vysokoškolskými studenty největší zájem o obor společenské vědy, obchod a právo, který v roce 2012 studovalo cca 128 tisíc osob a na celkovém počtu studentů se podílely 33 %. Tento obor patří také mezi ty, o které se od roku 2001 zvýšil zájem nejvýrazněji. Oproti roku 2001 ho v současné době studuje o cca 140 % více osob a podobný nárůst zájmu byl zaznamenán také v případě přírodních věd. Naopak za zanedbatelnou změnu počtu studentů lze označit nárůst počtu studentů technických věd, kdy se počet studentů v průběhu sledovaného období zvýšil o pouhých 11 % a ve struktuře byl zaznamenán dokonce pokles o 9 procentních bodů. Mezi lety 2010 a 2012 počet studentů technických věd dokonce klesá. K meziročnímu poklesu ostatně došlo i v případě dalších oborů. Nicméně u věd technických je pokles nejvýraznější. Ve všech letech se nejvíce vysokoškolských studentů vzdělávalo v již zmiňovaných společenských vědách, v roce 2001 však tito studenti zaujímali na celku 26 %. Oproti tomu druhý nejvíce studovaný obor, technické vědy, se na všech studentech podílel v roce 2001 24 % a v roce 2012 již pouhými 15 % (56 tisíc). Relativně klesající zájem o studium technických oborů je vzhledem ke struktuře české ekonomiky velmi negativním signálem pro budoucí schopnost uspokojit poptávku podnikového sektoru po vysoce kvalifikované pracovní síle.</w:t>
      </w:r>
    </w:p>
    <w:p w:rsidR="009D46E6" w:rsidRDefault="009D46E6" w:rsidP="00750D9B">
      <w:pPr>
        <w:pStyle w:val="Caption"/>
      </w:pPr>
      <w:bookmarkStart w:id="136" w:name="_Toc369092032"/>
      <w:r>
        <w:t xml:space="preserve">Graf </w:t>
      </w:r>
      <w:fldSimple w:instr=" STYLEREF 1 \s ">
        <w:r>
          <w:rPr>
            <w:noProof/>
          </w:rPr>
          <w:t>B</w:t>
        </w:r>
      </w:fldSimple>
      <w:r>
        <w:t>.</w:t>
      </w:r>
      <w:fldSimple w:instr=" SEQ Graf \* ARABIC \s 1 ">
        <w:r>
          <w:rPr>
            <w:noProof/>
          </w:rPr>
          <w:t>28</w:t>
        </w:r>
      </w:fldSimple>
      <w:r w:rsidRPr="00BD5EC7">
        <w:t xml:space="preserve">: </w:t>
      </w:r>
      <w:r w:rsidRPr="00A43B8B">
        <w:t>Struktura vysokoškolských studentů podle oborů</w:t>
      </w:r>
      <w:bookmarkEnd w:id="136"/>
    </w:p>
    <w:p w:rsidR="009D46E6" w:rsidRPr="00B24068" w:rsidRDefault="009D46E6" w:rsidP="001D7F37">
      <w:pPr>
        <w:pStyle w:val="Objekt"/>
      </w:pPr>
      <w:r w:rsidRPr="001D1D98">
        <w:pict>
          <v:shape id="Graf 11" o:spid="_x0000_i1156" type="#_x0000_t75" style="width:472.2pt;height:147.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u6oh43QAAAAUBAAAPAAAAZHJzL2Rvd25y&#10;ZXYueG1sTI/NTsMwEITvSLyDtUhcEHUwpT8hToWQeqBIIFoewImXJCJeW7HThrdn4QKXlUYzmvm2&#10;2EyuF0ccYudJw80sA4FUe9tRo+H9sL1egYjJkDW9J9TwhRE25flZYXLrT/SGx31qBJdQzI2GNqWQ&#10;SxnrFp2JMx+Q2PvwgzOJ5dBIO5gTl7teqixbSGc64oXWBHxssf7cj07D/Gn5shtvu9eV2m2v3DMF&#10;31RB68uL6eEeRMIp/YXhB5/RoWSmyo9ko+g18CPp97K3Xqg5iEqDWt8pkGUh/9OX3w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">
            <v:imagedata r:id="rId148" o:title="" croptop="-3369f" cropbottom="-17666f" cropleft="-2248f" cropright="-2754f"/>
            <o:lock v:ext="edit" aspectratio="f"/>
          </v:shape>
        </w:pict>
      </w:r>
    </w:p>
    <w:p w:rsidR="009D46E6" w:rsidRDefault="009D46E6" w:rsidP="00866283">
      <w:r w:rsidRPr="008B6A10">
        <w:rPr>
          <w:i/>
          <w:color w:val="595959"/>
          <w:sz w:val="16"/>
        </w:rPr>
        <w:t>Zdroj: Ministerstvo školství, mládeže a tělovýchovy 2013</w:t>
      </w:r>
    </w:p>
    <w:p w:rsidR="009D46E6" w:rsidRPr="00A37AD6" w:rsidRDefault="009D46E6" w:rsidP="00A37AD6"/>
    <w:p w:rsidR="009D46E6" w:rsidRDefault="009D46E6" w:rsidP="00866283">
      <w:r w:rsidRPr="00A43B8B">
        <w:t>Jak již bylo výše zmíněno, bylo v roce 2012 mezi vysokoškolskými studenty 6,5 % studentů doktorského stupně studia. Rozložení těchto studentů mezi jednotlivé obory studia bylo oproti studentům stupně 5A, tzn. studentům magisterských a bakalářských stupňů, velmi rozdílné. V případě stupně 5A výrazně převažovali studenti v oborech s</w:t>
      </w:r>
      <w:r>
        <w:t>polečenské vědy, obchod a právo,</w:t>
      </w:r>
      <w:r w:rsidRPr="00A43B8B">
        <w:t xml:space="preserve"> kde v roce 2012 studovalo 34 % všech studentů bakalářských a magisterských programů. Na druhém místě byly s výrazným odstupem technické vědy, výroba a stavebnictví, které studovalo v tomto roce 14 % bakalářských a magisterských studentů. Naopak mezi stude</w:t>
      </w:r>
      <w:r>
        <w:t xml:space="preserve">nty doktorského stupně patřily </w:t>
      </w:r>
      <w:r w:rsidRPr="00A43B8B">
        <w:t>techni</w:t>
      </w:r>
      <w:r>
        <w:t>cké vědy, výroba a stavebnictví</w:t>
      </w:r>
      <w:r w:rsidRPr="00A43B8B">
        <w:t xml:space="preserve"> společně s přírodními vědami, matematikou a informatikou k nejoblíbenějším oborům, v roce 2012 studovalo 29% (7 tisíc) doktorandů vědy přírodní a 20 % (5 tisíc) vědy technické. Mezi studenty stupně 5A nejčastěji studované společenské vědy, obchod a právo skončily v případě studentů doktorského stupně s 16 % na třetím místě.</w:t>
      </w:r>
    </w:p>
    <w:p w:rsidR="009D46E6" w:rsidRPr="0082771D" w:rsidRDefault="009D46E6" w:rsidP="00750D9B">
      <w:pPr>
        <w:pStyle w:val="Caption"/>
      </w:pPr>
      <w:bookmarkStart w:id="137" w:name="_Toc369092033"/>
      <w:r w:rsidRPr="0082771D">
        <w:t xml:space="preserve">Graf </w:t>
      </w:r>
      <w:fldSimple w:instr=" STYLEREF 1 \s ">
        <w:r>
          <w:rPr>
            <w:noProof/>
          </w:rPr>
          <w:t>B</w:t>
        </w:r>
      </w:fldSimple>
      <w:r w:rsidRPr="0082771D">
        <w:t>.</w:t>
      </w:r>
      <w:fldSimple w:instr=" SEQ Graf \* ARABIC \s 1 ">
        <w:r>
          <w:rPr>
            <w:noProof/>
          </w:rPr>
          <w:t>29</w:t>
        </w:r>
      </w:fldSimple>
      <w:r w:rsidRPr="0082771D">
        <w:t>: Struktura vysokoškolských studentů podle oborů a stupně vzdělávání, 2012</w:t>
      </w:r>
      <w:bookmarkEnd w:id="137"/>
    </w:p>
    <w:p w:rsidR="009D46E6" w:rsidRDefault="009D46E6" w:rsidP="001D7F37">
      <w:pPr>
        <w:pStyle w:val="Objekt"/>
      </w:pPr>
      <w:r w:rsidRPr="001D1D98">
        <w:pict>
          <v:shape id="_x0000_i1157" type="#_x0000_t75" style="width:481.8pt;height:137.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5f40J3gAAAAUBAAAPAAAAZHJzL2Rvd25y&#10;ZXYueG1sTI9LT8MwEITvSP0P1lbiRh2i0keIU/G8IKiggBC3bbwkAXsdYrdN/30NF7isNJrRzLf5&#10;ordGbKnzjWMFp6MEBHHpdMOVgpfn25MZCB+QNRrHpGBPHhbF4CjHTLsdP9F2FSoRS9hnqKAOoc2k&#10;9GVNFv3ItcTR+3CdxRBlV0nd4S6WWyPTJJlIiw3HhRpbuqqp/FptrILH9+vlQzv/XtLlHZ7R59vr&#10;zf7eKHU87C/OQQTqw18YfvAjOhSRae02rL0wCuIj4fdGbz5JxyDWCtLpeAayyOV/+uIA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">
            <v:imagedata r:id="rId149" o:title="" croptop="-3969f" cropbottom="-17654f" cropleft="-894f" cropright="-2483f"/>
            <o:lock v:ext="edit" aspectratio="f"/>
          </v:shape>
        </w:pict>
      </w:r>
    </w:p>
    <w:p w:rsidR="009D46E6" w:rsidRDefault="009D46E6" w:rsidP="00866283">
      <w:r w:rsidRPr="0082771D">
        <w:rPr>
          <w:i/>
          <w:color w:val="595959"/>
          <w:sz w:val="16"/>
        </w:rPr>
        <w:t>Zdroj: Ministerstvo školství, mládeže a tělovýchovy 2013</w:t>
      </w:r>
    </w:p>
    <w:p w:rsidR="009D46E6" w:rsidRPr="00A37AD6" w:rsidRDefault="009D46E6" w:rsidP="00A37AD6"/>
    <w:p w:rsidR="009D46E6" w:rsidRDefault="009D46E6" w:rsidP="00397DAB">
      <w:pPr>
        <w:pStyle w:val="Heading4"/>
      </w:pPr>
      <w:r>
        <w:t>Mezinárodní srovnání</w:t>
      </w:r>
    </w:p>
    <w:p w:rsidR="009D46E6" w:rsidRDefault="009D46E6" w:rsidP="00866283">
      <w:r>
        <w:t>Z důvodu dostupnosti jsou data za mezinárodní srovnání uváděna za studenty terciárního stupně studia, tzn. nejen za studenty vysokoškolské, ale také za studenty vyšších odborných škol. Nejvyššího zastoupení studentů terciárního stupně na populaci 20–29 let dosahovalo v roce 2010 Řecko (49 %), Finsko (48 %), Litva (41 %) nebo také Slovinsko (41 %). Česká republika se s hodnotou ukazatele 30 % nacházela pod průměrem EU27, který činil 32 %. Obecně lze konstatovat, že mezi sledovanými státy je více studentů terciárního studia v populaci žen věku 20–29 let než v populaci takto starých mužů. V Lotyšsku je mezi ženami dokonce 41 % vysokoškolských studentek a mezi muži pouhých 23 % vysokoškolských studentů. Výjimky tvoří pouze Švýcarsko, kde je zastoupení studentů terciárního studia mezi ženami i muži shodné.</w:t>
      </w:r>
    </w:p>
    <w:p w:rsidR="009D46E6" w:rsidRDefault="009D46E6" w:rsidP="00750D9B">
      <w:pPr>
        <w:pStyle w:val="Caption"/>
      </w:pPr>
      <w:bookmarkStart w:id="138" w:name="_Toc369092034"/>
      <w:r>
        <w:t xml:space="preserve">Graf </w:t>
      </w:r>
      <w:fldSimple w:instr=" STYLEREF 1 \s ">
        <w:r>
          <w:rPr>
            <w:noProof/>
          </w:rPr>
          <w:t>B</w:t>
        </w:r>
      </w:fldSimple>
      <w:r>
        <w:t>.</w:t>
      </w:r>
      <w:fldSimple w:instr=" SEQ Graf \* ARABIC \s 1 ">
        <w:r>
          <w:rPr>
            <w:noProof/>
          </w:rPr>
          <w:t>30</w:t>
        </w:r>
      </w:fldSimple>
      <w:r w:rsidRPr="00BD5EC7">
        <w:t xml:space="preserve">: </w:t>
      </w:r>
      <w:r w:rsidRPr="00A43B8B">
        <w:t>Studenti terciárního stu</w:t>
      </w:r>
      <w:r>
        <w:t>pně studia, 2010 (% populace 20-</w:t>
      </w:r>
      <w:r w:rsidRPr="00A43B8B">
        <w:t>29 let)</w:t>
      </w:r>
      <w:bookmarkEnd w:id="138"/>
    </w:p>
    <w:p w:rsidR="009D46E6" w:rsidRDefault="009D46E6" w:rsidP="001D7F37">
      <w:pPr>
        <w:pStyle w:val="Objekt"/>
      </w:pPr>
      <w:r w:rsidRPr="001D1D98">
        <w:pict>
          <v:shape id="Chart 228" o:spid="_x0000_i1158" type="#_x0000_t75" style="width:481.2pt;height:189.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">
            <v:imagedata r:id="rId150" o:title="" croptop="-3394f" cropbottom="-1846f" cropleft="-1237f" cropright="-2066f"/>
            <o:lock v:ext="edit" aspectratio="f"/>
          </v:shape>
        </w:pict>
      </w:r>
    </w:p>
    <w:p w:rsidR="009D46E6" w:rsidRDefault="009D46E6" w:rsidP="00866283">
      <w:pPr>
        <w:pStyle w:val="Zdroj"/>
      </w:pPr>
      <w:r w:rsidRPr="00A43B8B">
        <w:t>Zdroj: Eurostat 2013</w:t>
      </w:r>
    </w:p>
    <w:p w:rsidR="009D46E6" w:rsidRDefault="009D46E6" w:rsidP="00A37AD6"/>
    <w:p w:rsidR="009D46E6" w:rsidRDefault="009D46E6" w:rsidP="00A37AD6">
      <w:r w:rsidRPr="00A43B8B">
        <w:t>Studenti doktorského studia tvořili v Česku v roce 2010 na všech studentech terciárního studia 6 % a s touto hodnotou se tak Česká republika řadila na přední místa mezi sledovanými státy. Vyšších hodnot tohoto podílu dosahuje pouze Švýcarsko, Rakousko a Finsko. Naopak malý podíl na studentech terciárního studia zaujímají studenti doktorského stupně v Litvě, Nizozemsku a Bulharsku, zde podíl nedosahuje ani 1,5 %.</w:t>
      </w:r>
    </w:p>
    <w:p w:rsidR="009D46E6" w:rsidRDefault="009D46E6" w:rsidP="00750D9B">
      <w:pPr>
        <w:pStyle w:val="Caption"/>
      </w:pPr>
      <w:bookmarkStart w:id="139" w:name="_Toc369092035"/>
      <w:r>
        <w:t xml:space="preserve">Graf </w:t>
      </w:r>
      <w:fldSimple w:instr=" STYLEREF 1 \s ">
        <w:r>
          <w:rPr>
            <w:noProof/>
          </w:rPr>
          <w:t>B</w:t>
        </w:r>
      </w:fldSimple>
      <w:r>
        <w:t>.</w:t>
      </w:r>
      <w:fldSimple w:instr=" SEQ Graf \* ARABIC \s 1 ">
        <w:r>
          <w:rPr>
            <w:noProof/>
          </w:rPr>
          <w:t>31</w:t>
        </w:r>
      </w:fldSimple>
      <w:r w:rsidRPr="00BD5EC7">
        <w:t xml:space="preserve">: </w:t>
      </w:r>
      <w:r w:rsidRPr="00FE0635">
        <w:t>Studenti doktorského studijního programu, 2010 (%studentů terciárního studia)</w:t>
      </w:r>
      <w:bookmarkEnd w:id="139"/>
    </w:p>
    <w:p w:rsidR="009D46E6" w:rsidRPr="00B24068" w:rsidRDefault="009D46E6" w:rsidP="001D7F37">
      <w:pPr>
        <w:pStyle w:val="Objekt"/>
      </w:pPr>
      <w:r w:rsidRPr="001D1D98">
        <w:pict>
          <v:shape id="Chart 278" o:spid="_x0000_i1159" type="#_x0000_t75" style="width:481.2pt;height:169.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lwuiG2gAAAAUBAAAPAAAAZHJzL2Rvd25y&#10;ZXYueG1sTI/BTsMwEETvlfoP1iJxax3SKrQhTlUK9E6LenbiJQ7Y68h22/D3GC5wWWk0o5m31Wa0&#10;hl3Qh96RgLt5BgypdaqnTsDb8WW2AhaiJCWNIxTwhQE29XRSyVK5K73i5RA7lkoolFKAjnEoOQ+t&#10;RivD3A1IyXt33sqYpO+48vKayq3heZYV3Mqe0oKWA+40tp+HsxVQmOzx1O3z+/3HU7NTnuujeR6F&#10;uL0Ztw/AIo7xLww/+Akd6sTUuDOpwIyA9Ej8vclbF/kSWCNgsVgtgdcV/09ffwM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">
            <v:imagedata r:id="rId151" o:title="" croptop="-8621f" cropbottom="-1976f" cropleft="-1083f" cropright="-1090f"/>
            <o:lock v:ext="edit" aspectratio="f"/>
          </v:shape>
        </w:pict>
      </w:r>
    </w:p>
    <w:p w:rsidR="009D46E6" w:rsidRDefault="009D46E6" w:rsidP="00866283">
      <w:pPr>
        <w:pStyle w:val="Zdroj"/>
      </w:pPr>
      <w:r w:rsidRPr="00A43B8B">
        <w:t>Zdroj: Eurostat 2013</w:t>
      </w:r>
    </w:p>
    <w:p w:rsidR="009D46E6" w:rsidRPr="0042790F" w:rsidRDefault="009D46E6" w:rsidP="0042790F"/>
    <w:p w:rsidR="009D46E6" w:rsidRDefault="009D46E6" w:rsidP="003C6E2E">
      <w:pPr>
        <w:pStyle w:val="Heading3"/>
      </w:pPr>
      <w:bookmarkStart w:id="140" w:name="_Toc369091883"/>
      <w:r>
        <w:t>Studenti a absolventi vysokoškolského studia v oborech přírodních a technických věd</w:t>
      </w:r>
      <w:bookmarkEnd w:id="140"/>
    </w:p>
    <w:p w:rsidR="009D46E6" w:rsidRDefault="009D46E6" w:rsidP="00866283">
      <w:r>
        <w:t>Za nejužší základ při měření lidských zdrojů jsou považovány vysokoškolsky vzdělané osoby v oborech přírodních a technických věd, a proto je nutné se detailněji zaměřit na studenty právě těchto oborů.</w:t>
      </w:r>
    </w:p>
    <w:p w:rsidR="009D46E6" w:rsidRDefault="009D46E6" w:rsidP="00866283">
      <w:r>
        <w:t>V roce 2012 studovalo v Česku vysoko školu v oborech technických a přírodních věd cca 106 tisíc studentů. Od roku 2001, kdy tyto obory studovalo 72 tisíc vysokoškolských studentů, zaznamenáváme plynulý nárůst jejich počtu. Podstatně rychlejší tempo růstu však po celé sledované období vykazovaly vědy přírodní. Počet studentů technických věd lze v posledních letech označit spíše za stagnaci. Od roku 2001, kdy studovalo přírodní vědy 21 tisíc studentů, se do současnosti jejich počet zvýšil o 135 % na 50 tisíc. Oproti tomu se počet studentů technických věd během stejného období zvýšil o pouhých 11 % z cca 51 tisíc v roce 2001 na 56 tisíc roku 2012. V případě počtu studentů technických věd došlo mezi lety 2009 a 2012 dokonce k poklesu a to o téměř 4 tisíce studentů.</w:t>
      </w:r>
    </w:p>
    <w:p w:rsidR="009D46E6" w:rsidRDefault="009D46E6" w:rsidP="00750D9B">
      <w:pPr>
        <w:pStyle w:val="Caption"/>
      </w:pPr>
      <w:bookmarkStart w:id="141" w:name="_Toc369092036"/>
      <w:r>
        <w:t xml:space="preserve">Graf </w:t>
      </w:r>
      <w:fldSimple w:instr=" STYLEREF 1 \s ">
        <w:r>
          <w:rPr>
            <w:noProof/>
          </w:rPr>
          <w:t>B</w:t>
        </w:r>
      </w:fldSimple>
      <w:r>
        <w:t>.</w:t>
      </w:r>
      <w:fldSimple w:instr=" SEQ Graf \* ARABIC \s 1 ">
        <w:r>
          <w:rPr>
            <w:noProof/>
          </w:rPr>
          <w:t>32</w:t>
        </w:r>
      </w:fldSimple>
      <w:r w:rsidRPr="00BD5EC7">
        <w:t xml:space="preserve">: </w:t>
      </w:r>
      <w:r w:rsidRPr="00FE0635">
        <w:t>Studenti vysokých škol v oborech přírodních a technických věd</w:t>
      </w:r>
      <w:bookmarkEnd w:id="141"/>
    </w:p>
    <w:p w:rsidR="009D46E6" w:rsidRPr="00FE0635" w:rsidRDefault="009D46E6" w:rsidP="001D7F37">
      <w:pPr>
        <w:pStyle w:val="Objekt"/>
      </w:pPr>
      <w:r w:rsidRPr="001D1D98">
        <w:pict>
          <v:shape id="_x0000_i1160" type="#_x0000_t75" style="width:481.8pt;height:213.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2cwfx3AAAAAUBAAAPAAAAZHJzL2Rvd25y&#10;ZXYueG1sTI/BTsMwEETvSPyDtUjcqN1QhZLGqQDRE1xo+wFuvE0i4nUSu2nK17NwgctKo9mdeZuv&#10;J9eKEYfQeNIwnykQSKW3DVUa9rvN3RJEiIasaT2hhgsGWBfXV7nJrD/TB47bWAkOoZAZDXWMXSZl&#10;KGt0Jsx8h8Te0Q/ORJZDJe1gzhzuWpkolUpnGuKG2nT4UmP5uT05xtht3sreLPpRPV/Ue//1uhzm&#10;e61vb6anFYiIU/xbhh98voGCmQ7+RDaIVgM/En8ne4/pfQrioGGRPCQgi1z+py++AQ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">
            <v:imagedata r:id="rId152" o:title="" croptop="-2220f" cropbottom="-3065f" cropleft="-1685f" cropright="-414f"/>
            <o:lock v:ext="edit" aspectratio="f"/>
          </v:shape>
        </w:pict>
      </w:r>
    </w:p>
    <w:p w:rsidR="009D46E6" w:rsidRDefault="009D46E6" w:rsidP="00866283">
      <w:pPr>
        <w:pStyle w:val="Zdroj"/>
      </w:pPr>
      <w:r w:rsidRPr="00FE0635">
        <w:t>Zdroj: Ministerstvo školství, mládeže a tělovýchovy 2013</w:t>
      </w:r>
    </w:p>
    <w:p w:rsidR="009D46E6" w:rsidRPr="00FD33B0" w:rsidRDefault="009D46E6" w:rsidP="00FD33B0">
      <w:pPr>
        <w:spacing w:after="0"/>
        <w:rPr>
          <w:sz w:val="16"/>
        </w:rPr>
      </w:pPr>
    </w:p>
    <w:p w:rsidR="009D46E6" w:rsidRDefault="009D46E6" w:rsidP="00866283">
      <w:r>
        <w:t>V roce 2012 studovalo vysokou školu v oboru přírodní vědy, matematika a informatika téměř 50 tisíc studentů, mezi kterými převažovali muži podílem 63 %. Tyto obory studovalo v roce 2012 také 13 % cizinců. Mezi vysokoškolskými studenty oborů přírodní vědy, matematika a informatika je dlouhodobě největší zájem o informatiku, kterou v roce 2012 studovalo 44 % studentů přírodních věd. Vědy o neživé přírodě studovalo 26 % a o živé 21 % všech studentů přírodních věd. Naopak mezi obory přírodních věd, o které je mezi vysokoškolskými studenty nejmenší zájem, patří matematika a statistika s podílem 9 %.</w:t>
      </w:r>
    </w:p>
    <w:p w:rsidR="009D46E6" w:rsidRDefault="009D46E6" w:rsidP="00866283">
      <w:r>
        <w:t>Technické vědy na vysoké škole studovalo v roce 2012 více než 56 tisíc osob, mezi kterými výrazně převažovali muži, kterých bylo 73 %. Cizinci na studentech technických oborů zaujímali podíl 8 %. Mezi vysokoškolskými studenty oborů technické vědy, výroba a stavebnictví je dlouhodobě největší zájem o techniku, kterou v roce 2012 studovalo 54 % studentů technických věd, architekturu a stavebnictví studovalo 33 % studentů technických věd a na výrobu a zpracování jich zbylo 13 %.</w:t>
      </w:r>
    </w:p>
    <w:p w:rsidR="009D46E6" w:rsidRDefault="009D46E6" w:rsidP="00750D9B">
      <w:pPr>
        <w:pStyle w:val="Caption"/>
      </w:pPr>
      <w:bookmarkStart w:id="142" w:name="_Toc369092037"/>
      <w:r>
        <w:t xml:space="preserve">Graf </w:t>
      </w:r>
      <w:fldSimple w:instr=" STYLEREF 1 \s ">
        <w:r>
          <w:rPr>
            <w:noProof/>
          </w:rPr>
          <w:t>B</w:t>
        </w:r>
      </w:fldSimple>
      <w:r>
        <w:t>.</w:t>
      </w:r>
      <w:fldSimple w:instr=" SEQ Graf \* ARABIC \s 1 ">
        <w:r>
          <w:rPr>
            <w:noProof/>
          </w:rPr>
          <w:t>33</w:t>
        </w:r>
      </w:fldSimple>
      <w:r w:rsidRPr="00BD5EC7">
        <w:t xml:space="preserve">: </w:t>
      </w:r>
      <w:r w:rsidRPr="00FE0635">
        <w:t>Studenti doktorského studijního programu v oborech přírodních a technických věd</w:t>
      </w:r>
      <w:bookmarkEnd w:id="142"/>
    </w:p>
    <w:p w:rsidR="009D46E6" w:rsidRPr="00FE0635" w:rsidRDefault="009D46E6" w:rsidP="001D7F37">
      <w:pPr>
        <w:pStyle w:val="Objekt"/>
      </w:pPr>
      <w:r w:rsidRPr="001D1D98">
        <w:pict>
          <v:shape id="_x0000_i1161" type="#_x0000_t75" style="width:480pt;height:211.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p8hII3QAAAAUBAAAPAAAAZHJzL2Rvd25y&#10;ZXYueG1sTI9BS8NAEIXvgv9hGcGLtLvGUtqYTRGhUA+C1hY8TpIxSc3Ohuy2jf/e0YteHjze8N43&#10;2Wp0nTrREFrPFm6nBhRx6auWawu7t/VkASpE5Ao7z2ThiwKs8suLDNPKn/mVTttYKynhkKKFJsY+&#10;1TqUDTkMU98TS/bhB4dR7FDrasCzlLtOJ8bMtcOWZaHBnh4bKj+3R2dhGTZuEWcvz/tDWOPTzeE9&#10;2RUba6+vxod7UJHG+HcMP/iCDrkwFf7IVVCdBXkk/qpky7kRW1iY3SUGdJ7p//T5Nw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">
            <v:imagedata r:id="rId153" o:title="" croptop="-2398f" cropbottom="-3996f" cropleft="-2048f" cropright="-683f"/>
            <o:lock v:ext="edit" aspectratio="f"/>
          </v:shape>
        </w:pict>
      </w:r>
    </w:p>
    <w:p w:rsidR="009D46E6" w:rsidRDefault="009D46E6" w:rsidP="00866283">
      <w:pPr>
        <w:pStyle w:val="Zdroj"/>
      </w:pPr>
      <w:r w:rsidRPr="00FE0635">
        <w:t>Zdroj: Ministerstvo školství, mládeže a tělovýchovy 2013</w:t>
      </w:r>
    </w:p>
    <w:p w:rsidR="009D46E6" w:rsidRPr="00A37AD6" w:rsidRDefault="009D46E6" w:rsidP="00A37AD6"/>
    <w:p w:rsidR="009D46E6" w:rsidRDefault="009D46E6" w:rsidP="00B70C87">
      <w:r>
        <w:t>V roce 2012 studovalo doktorský stupeň vzdělávání v oborech přírodních a technických věd více než 12 tisíc osob a na všech studentech doktorského stupně se podílely 49 %. Ženy se na studentech doktorského stupně přírodních věd podílely 44 % a technických věd 23 %. U doktorských programů přírodních věd je tedy vyšší zastoupení žen, než jak je tomu u všech studijních programů tohoto oboru (viz výše).</w:t>
      </w:r>
    </w:p>
    <w:p w:rsidR="009D46E6" w:rsidRDefault="009D46E6" w:rsidP="00B70C87"/>
    <w:p w:rsidR="009D46E6" w:rsidRPr="00397DAB" w:rsidRDefault="009D46E6" w:rsidP="00397DAB">
      <w:pPr>
        <w:pStyle w:val="Heading4"/>
      </w:pPr>
      <w:r w:rsidRPr="00397DAB">
        <w:t>Mezinárodní srovnání</w:t>
      </w:r>
    </w:p>
    <w:p w:rsidR="009D46E6" w:rsidRDefault="009D46E6" w:rsidP="00866283">
      <w:r>
        <w:t>Ve Finsku studovalo v roce 2010 terciární stupeň vzdělávání v oborech přírodních a technických věd 17 % osob z populace 20–29 let, čímž Finsko dosahovalo ve srovnání s ostatními sledovanými státy nejvyšší hodnoty tohoto ukazatele. Relativně vysokého zastoupení v populaci 20–29 let zaujímali studenti těchto oborů také v Řecku (15 %), Slovinsku (11 %) a Švédsku (10 %). V průměru EU27 studovalo přírodní a technické vědy 8 % osob z populace 20–29 let. Jak již bylo zmíněno výše, je zastoupení studentů terciárního studia vyšší mezi ženami než mezi muži. V případě technických a přírodních oborů však toto tvrzení neplatí. Ve všech sledovaných zemích bylo vyšší zastoupení studentů těchto oborů mezi muži než mezi ženami. Nejvýznamnější byl rozdíl mezi pohlavími ve Finsku, kde v populaci mužů studovalo přírodní a technické vědy 25 % osob a v populaci žen pouhých 9 %.</w:t>
      </w:r>
    </w:p>
    <w:p w:rsidR="009D46E6" w:rsidRDefault="009D46E6" w:rsidP="00750D9B">
      <w:pPr>
        <w:pStyle w:val="Caption"/>
      </w:pPr>
      <w:bookmarkStart w:id="143" w:name="_Toc369092038"/>
      <w:r>
        <w:t xml:space="preserve">Graf </w:t>
      </w:r>
      <w:fldSimple w:instr=" STYLEREF 1 \s ">
        <w:r>
          <w:rPr>
            <w:noProof/>
          </w:rPr>
          <w:t>B</w:t>
        </w:r>
      </w:fldSimple>
      <w:r>
        <w:t>.</w:t>
      </w:r>
      <w:fldSimple w:instr=" SEQ Graf \* ARABIC \s 1 ">
        <w:r>
          <w:rPr>
            <w:noProof/>
          </w:rPr>
          <w:t>34</w:t>
        </w:r>
      </w:fldSimple>
      <w:r w:rsidRPr="00BD5EC7">
        <w:t xml:space="preserve">: </w:t>
      </w:r>
      <w:r w:rsidRPr="00FE0635">
        <w:t>Studenti terciárního stupně studia v přírodních a technických vědách, 2010 (%</w:t>
      </w:r>
      <w:r>
        <w:t> </w:t>
      </w:r>
      <w:r w:rsidRPr="00FE0635">
        <w:t>populace 20–29 let)</w:t>
      </w:r>
      <w:bookmarkEnd w:id="143"/>
    </w:p>
    <w:p w:rsidR="009D46E6" w:rsidRDefault="009D46E6" w:rsidP="001D7F37">
      <w:pPr>
        <w:pStyle w:val="Objekt"/>
      </w:pPr>
      <w:r w:rsidRPr="001D1D98">
        <w:pict>
          <v:shape id="Chart 283" o:spid="_x0000_i1162" type="#_x0000_t75" style="width:481.8pt;height:192.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c89PY3AAAAAUBAAAPAAAAZHJzL2Rvd25y&#10;ZXYueG1sTI/BTsMwEETvSPyDtUjcqNMGohDiVAgEXKpKpP2AbbxNIuJ1ZDtt4OsxXOCy0mhGM2/L&#10;9WwGcSLne8sKlosEBHFjdc+tgv3u5SYH4QOyxsEyKfgkD+vq8qLEQtszv9OpDq2IJewLVNCFMBZS&#10;+qYjg35hR+LoHa0zGKJ0rdQOz7HcDHKVJJk02HNc6HCkp46aj3oyCm437nnztTcNTvX2bZnr4+su&#10;lUpdX82PDyACzeEvDD/4ER2qyHSwE2svBgXxkfB7o3efpRmIg4I0v1uBrEr5n776Bg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">
            <v:imagedata r:id="rId154" o:title="" croptop="-3358f" cropbottom="-2233f" cropleft="-341f" cropright="-2529f"/>
            <o:lock v:ext="edit" aspectratio="f"/>
          </v:shape>
        </w:pict>
      </w:r>
    </w:p>
    <w:p w:rsidR="009D46E6" w:rsidRDefault="009D46E6" w:rsidP="00866283">
      <w:pPr>
        <w:pStyle w:val="Zdroj"/>
      </w:pPr>
      <w:r w:rsidRPr="00FE0635">
        <w:t>Zdroj: Eurostat 2013</w:t>
      </w:r>
    </w:p>
    <w:p w:rsidR="009D46E6" w:rsidRPr="00A37AD6" w:rsidRDefault="009D46E6" w:rsidP="00A37AD6"/>
    <w:p w:rsidR="009D46E6" w:rsidRDefault="009D46E6" w:rsidP="00866283">
      <w:r w:rsidRPr="00FE0635">
        <w:t xml:space="preserve">Mezi studenty doktorských studijních programů zaujímali v roce 2010 studenti přírodních a technických věd nejvyšší podíl v České republice (47 %), Francii (48 %) a také v Irsku (46 %). Naopak malé zastoupení měly přírodní a technické vědy mezi doktorskými studenty Rakouska (27 %), Polska (31 %) a Španělska (31 %). </w:t>
      </w:r>
    </w:p>
    <w:p w:rsidR="009D46E6" w:rsidRDefault="009D46E6" w:rsidP="00750D9B">
      <w:pPr>
        <w:pStyle w:val="Caption"/>
      </w:pPr>
      <w:bookmarkStart w:id="144" w:name="_Toc369092039"/>
      <w:r>
        <w:t xml:space="preserve">Graf </w:t>
      </w:r>
      <w:fldSimple w:instr=" STYLEREF 1 \s ">
        <w:r>
          <w:rPr>
            <w:noProof/>
          </w:rPr>
          <w:t>B</w:t>
        </w:r>
      </w:fldSimple>
      <w:r>
        <w:t>.</w:t>
      </w:r>
      <w:fldSimple w:instr=" SEQ Graf \* ARABIC \s 1 ">
        <w:r>
          <w:rPr>
            <w:noProof/>
          </w:rPr>
          <w:t>35</w:t>
        </w:r>
      </w:fldSimple>
      <w:r w:rsidRPr="00BD5EC7">
        <w:t xml:space="preserve">: </w:t>
      </w:r>
      <w:r>
        <w:t>Studenti doktorského studijního programu v oborech přírodních a technických věd, (% všech studentů doktorského programu)</w:t>
      </w:r>
      <w:bookmarkEnd w:id="144"/>
    </w:p>
    <w:p w:rsidR="009D46E6" w:rsidRPr="00F276C3" w:rsidRDefault="009D46E6" w:rsidP="001D7F37">
      <w:pPr>
        <w:pStyle w:val="Objekt"/>
      </w:pPr>
      <w:r w:rsidRPr="001D1D98">
        <w:pict>
          <v:shape id="Chart 284" o:spid="_x0000_i1163" type="#_x0000_t75" style="width:481.2pt;height:192.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LdWLi3gAAAAUBAAAPAAAAZHJzL2Rvd25y&#10;ZXYueG1sTI9BS8NAEIXvBf/DMkIvxW6MbagxmyKlopceGkvxOM1Ok2B2NmS3Tfz3rl70MvB4j/e+&#10;ydajacWVetdYVnA/j0AQl1Y3XCk4vL/crUA4j6yxtUwKvsjBOr+ZZJhqO/CeroWvRChhl6KC2vsu&#10;ldKVNRl0c9sRB+9se4M+yL6SuschlJtWxlGUSIMNh4UaO9rUVH4WF6PAdAO9zvyu2OI22c+WR1ud&#10;3z6Umt6Oz08gPI3+Lww/+AEd8sB0shfWTrQKwiP+9wbvMYkXIE4KHlbLGGSeyf/0+TcA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">
            <v:imagedata r:id="rId155" o:title="" croptop="-3149f" cropbottom="-1493f" cropleft="-1302f" cropright="-2068f"/>
            <o:lock v:ext="edit" aspectratio="f"/>
          </v:shape>
        </w:pict>
      </w:r>
    </w:p>
    <w:p w:rsidR="009D46E6" w:rsidRDefault="009D46E6" w:rsidP="00FD33B0">
      <w:pPr>
        <w:pStyle w:val="Zdroj"/>
      </w:pPr>
      <w:r w:rsidRPr="00FE0635">
        <w:t>Zdroj: Eurostat 2013</w:t>
      </w:r>
      <w:r w:rsidRPr="00FD33B0">
        <w:t xml:space="preserve"> </w:t>
      </w:r>
    </w:p>
    <w:p w:rsidR="009D46E6" w:rsidRPr="00A37AD6" w:rsidRDefault="009D46E6" w:rsidP="00A37AD6"/>
    <w:p w:rsidR="009D46E6" w:rsidRDefault="009D46E6" w:rsidP="00FD33B0">
      <w:r w:rsidRPr="00FE0635">
        <w:t xml:space="preserve">V porovnání s rokem 2000 došlo mezi sledovanými státy k nejvýraznějšímu nárůstu tohoto podílu </w:t>
      </w:r>
      <w:r>
        <w:t xml:space="preserve">ve </w:t>
      </w:r>
      <w:r w:rsidRPr="00FE0635">
        <w:t>Španělsk</w:t>
      </w:r>
      <w:r>
        <w:t>u a Portugalsku</w:t>
      </w:r>
      <w:r w:rsidRPr="00FE0635">
        <w:t xml:space="preserve">, kdy došlo mezi lety 2000 a 2010 k nárůstu o devět procentních bodů. Naopak největší pokles tohoto ukazatele byl zaznamenán </w:t>
      </w:r>
      <w:r>
        <w:t>v</w:t>
      </w:r>
      <w:r w:rsidRPr="00FE0635">
        <w:t xml:space="preserve"> Řeck</w:t>
      </w:r>
      <w:r>
        <w:t>u</w:t>
      </w:r>
      <w:r w:rsidRPr="00FE0635">
        <w:t>, a to z 54 % v roce 2000 na 32 % v roce 2010.</w:t>
      </w:r>
    </w:p>
    <w:p w:rsidR="009D46E6" w:rsidRPr="00A37AD6" w:rsidRDefault="009D46E6" w:rsidP="00A37AD6"/>
    <w:p w:rsidR="009D46E6" w:rsidRDefault="009D46E6" w:rsidP="00866283">
      <w:pPr>
        <w:pStyle w:val="Heading1"/>
      </w:pPr>
      <w:bookmarkStart w:id="145" w:name="_Toc369091884"/>
      <w:bookmarkStart w:id="146" w:name="_Toc336000259"/>
      <w:bookmarkEnd w:id="99"/>
      <w:r>
        <w:t>Výsledky výzkumu a vývoje</w:t>
      </w:r>
      <w:bookmarkEnd w:id="145"/>
    </w:p>
    <w:p w:rsidR="009D46E6" w:rsidRPr="00864CA4" w:rsidRDefault="009D46E6" w:rsidP="00866283">
      <w:r w:rsidRPr="00864CA4">
        <w:t>V této kapitole jsou prezentovány souhrny a scientometrické analýzy výsledků vytvořených v rámci výzkumných a vývojových aktivit v České republice. Základním zdrojem informací o výsledcích vytvořených v českém VaVaI systému je Informační systém výzkumu, experimentálního vývoje a inovací (dále IS VaVaI), který na základě zákona o podpoře výzkumu vývoje</w:t>
      </w:r>
      <w:r w:rsidRPr="00864CA4">
        <w:rPr>
          <w:rStyle w:val="FootnoteReference"/>
          <w:rFonts w:cs="MetaPro-Normal"/>
        </w:rPr>
        <w:footnoteReference w:id="18"/>
      </w:r>
      <w:r w:rsidRPr="00864CA4">
        <w:t xml:space="preserve"> zajišťuje shromažďování, zpracování, poskytování a využívání údajů o výzkumu, vývoji a inovacích podporovaných z veřejných prostředků. Hlavní část předkládaných údajů je převzata z jeho části Rejstřík informací o výsledcích (RIV). RIV zaznamenává údaje o výsledcích výzkumu a vývoje, podporovaných z veřejných prostředků. RIV poskytuje údaje o typu výsledku, autorech a jejich afiliacích, bibliografické údaje o jejich případném publikování a informace o propojení výsledků s projekty, programy a poskytovateli veřejné podpory, v jejímž rámci byly výsledky vytvořeny.</w:t>
      </w:r>
    </w:p>
    <w:p w:rsidR="009D46E6" w:rsidRPr="00864CA4" w:rsidRDefault="009D46E6" w:rsidP="00866283">
      <w:r w:rsidRPr="00864CA4">
        <w:t>Přehledy výsledků VaVaI jsou tříděny podle řady hledisek. Pro agregaci 123 oborů definovaných v IS VaVaI</w:t>
      </w:r>
      <w:r w:rsidRPr="00864CA4">
        <w:rPr>
          <w:rStyle w:val="FootnoteReference"/>
          <w:rFonts w:cs="MetaPro-Normal"/>
        </w:rPr>
        <w:footnoteReference w:id="19"/>
      </w:r>
      <w:r w:rsidRPr="00864CA4">
        <w:t xml:space="preserve"> je použita agregace do 13 širších oborů zavedená novou Metodikou hodnocení platnou pro léta 2013 - 2015</w:t>
      </w:r>
      <w:r w:rsidRPr="00864CA4">
        <w:rPr>
          <w:rStyle w:val="FootnoteReference"/>
          <w:rFonts w:cs="MetaPro-Normal"/>
        </w:rPr>
        <w:footnoteReference w:id="20"/>
      </w:r>
      <w:r w:rsidRPr="00864CA4">
        <w:t xml:space="preserve">. Pro institucionální rozdělení výsledků je použito sektorové třídění shodné s metodikou ČSÚ.  Z důvodu postižení dynamiky změn, ke kterým v národním VaVaI prostředí dochází, jsou prezentovány vybrané časové řady.  </w:t>
      </w:r>
    </w:p>
    <w:p w:rsidR="009D46E6" w:rsidRPr="00864CA4" w:rsidRDefault="009D46E6" w:rsidP="00866283">
      <w:r w:rsidRPr="00864CA4">
        <w:t>Zdrojem informací o publikování výsledků českého VaV a jeho ohlasu na mezinárodní scéně je výzkumná a analytická platforma Thomson Reuters (dále TR) Web of Knowledge a její část databáze odborných publikací Web of Science (dále WoS), která obsahuje údaje o odborných publikacích a jejich citovanosti (databáze Science Citation Index, Social Sciences Citation Index a Arts &amp; Humanities Citation Index). Pro mezinárodní srovnání byly využity údaje poskytnuté evaluačním nástrojem InCites.  Údaje WoS jsou tříděny podle dvou metodik TR: Kategorizace do 22 širších oborů VaV (TR označované jako Essential Science Indicators, ESI). V tomto třídění je každý titul periodika přiřazen právě jednomu z oborů. Detailnější oborové třídění využívá dělení na 251 Web of Science Categories</w:t>
      </w:r>
      <w:r w:rsidRPr="00864CA4">
        <w:rPr>
          <w:rStyle w:val="FootnoteReference"/>
          <w:rFonts w:cs="MetaPro-Normal"/>
        </w:rPr>
        <w:footnoteReference w:id="21"/>
      </w:r>
      <w:r w:rsidRPr="00864CA4">
        <w:t>. Na rozdíl od ESI třídění může být daný titul přiřazen více oborům. Příkladem může být překryv oborů jaderné fyziky s multidisciplinární fyzikou, přístroji a přístrojovou technikou a elektrickým a elektronickým inženýrstvím.</w:t>
      </w:r>
    </w:p>
    <w:p w:rsidR="009D46E6" w:rsidRDefault="009D46E6" w:rsidP="006F6DA8">
      <w:r>
        <w:t>Zdrojem dat a informací o patentové aktivitě je Úřad průmyslového vlastnictví ČR, který zajišťuje patentovou ochranu na území ČR. Český statistický úřad pak ve spolupráci s ÚPV ČR publikuje podrobné patentové statistické údaje v různých tříděních, a to podle Patentového manuálu OECD. Data použitá pro mezinárodní srovnání pocházejí z datových zdrojů Eurostatu a OECD. Podrobné informace (data, definice, metodologie) jsou k dispozici na stránkách ČSÚ. Údaje o poskytnutých a nabytých licencích sleduje ČSÚ od roku 2004 prostřednictvím ročního šetření o licencích (LIC 5-01). Cílem tohoto šetření je zjištění počtu licenčních smluv na poskytnutí nebo nabytí práva pro některou z ochran průmyslového vlastnictví platných v ČR a hodnotu přijatých nebo zaplacených licenčních poplatků za poskytnutí nebo nabytí tohoto práva. Podrobné informace lze opět nalézt na stránkách ČSÚ.</w:t>
      </w:r>
    </w:p>
    <w:p w:rsidR="009D46E6" w:rsidRDefault="009D46E6" w:rsidP="006F6DA8">
      <w:r>
        <w:t xml:space="preserve">Kapitola C je rozdělena na tři části. V části C.1 jsou prezentovány údaje o výsledcích z RIV roztříděné podle řady kritérií – časové řady, oborové a institucionální třídění a podle typu výsledků. V časti C.2 jsou srovnány publikační výkonnost a vybrané indikátory efektivnosti českého VaV se skupinou zemí, oborová struktura publikačních výstupů a jejich citační ohlas. </w:t>
      </w:r>
      <w:r w:rsidRPr="0055519D">
        <w:t>V části C.3</w:t>
      </w:r>
      <w:r>
        <w:t xml:space="preserve"> </w:t>
      </w:r>
      <w:r w:rsidRPr="0055519D">
        <w:t>jsou uvedeny</w:t>
      </w:r>
      <w:r>
        <w:t xml:space="preserve"> informace o aktuálním stavu a trendech patentové aktivity v ČR v mezinárodním srovnání. Dále jsou zde představeny údaje o prodeji licencí na patenty a souvisejících licenčních příjmech subjektů z ČR.  </w:t>
      </w:r>
    </w:p>
    <w:p w:rsidR="009D46E6" w:rsidRDefault="009D46E6" w:rsidP="006F6DA8"/>
    <w:p w:rsidR="009D46E6" w:rsidRPr="00370C85" w:rsidRDefault="009D46E6" w:rsidP="00866283">
      <w:r>
        <w:rPr>
          <w:noProof/>
          <w:lang w:eastAsia="cs-CZ"/>
        </w:rPr>
      </w:r>
      <w:r>
        <w:rPr>
          <w:noProof/>
          <w:lang w:eastAsia="cs-CZ"/>
        </w:rPr>
        <w:pict>
          <v:shape id="Textové pole 90" o:spid="_x0000_s1039" type="#_x0000_t202" style="width:481.9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" filled="f" strokecolor="#6300c6" strokeweight="2pt">
            <v:stroke opacity="52428f"/>
            <v:textbox style="mso-fit-shape-to-text:t" inset="2mm,2mm,2mm,2mm">
              <w:txbxContent>
                <w:p w:rsidR="009D46E6" w:rsidRPr="001D063F" w:rsidRDefault="009D46E6" w:rsidP="00866283">
                  <w:pPr>
                    <w:jc w:val="left"/>
                    <w:rPr>
                      <w:b/>
                    </w:rPr>
                  </w:pPr>
                  <w:r>
                    <w:rPr>
                      <w:b/>
                    </w:rPr>
                    <w:t>Hlavní trendy</w:t>
                  </w:r>
                </w:p>
                <w:p w:rsidR="009D46E6" w:rsidRDefault="009D46E6" w:rsidP="000E3106">
                  <w:pPr>
                    <w:pStyle w:val="Odrky"/>
                  </w:pPr>
                  <w:r>
                    <w:t>Celkový počet výsledků VaV registrovaný v Rejstříku informací o výsledcích ve srovnání s rokem 2011 stagnoval.</w:t>
                  </w:r>
                </w:p>
                <w:p w:rsidR="009D46E6" w:rsidRDefault="009D46E6" w:rsidP="000E3106">
                  <w:pPr>
                    <w:pStyle w:val="Odrky"/>
                  </w:pPr>
                  <w:r>
                    <w:t>Počet publikací českých autorů, registrovaných Thomson Reuters Web of Science v roce 2012 stagnoval a v uplynulých pěti letech vzrostl o 18 %.</w:t>
                  </w:r>
                </w:p>
                <w:p w:rsidR="009D46E6" w:rsidRDefault="009D46E6" w:rsidP="000E3106">
                  <w:pPr>
                    <w:pStyle w:val="Odrky"/>
                  </w:pPr>
                  <w:r>
                    <w:t>Počty publikací registrovaných Web of Science rostly v minulých letech rychleji než celkové počty publikací hlášených v IS VaVaI.</w:t>
                  </w:r>
                </w:p>
                <w:p w:rsidR="009D46E6" w:rsidRDefault="009D46E6" w:rsidP="000E3106">
                  <w:pPr>
                    <w:pStyle w:val="Odrky"/>
                  </w:pPr>
                  <w:r>
                    <w:t>Největší nárůst počtu výsledků evidovaných v RIV byl mezi roky 2008 a 2012 ve společenských vědách (shvb) společenských, humanitních a uměleckých vědách (shva), naopak k poklesu došlo v zemědělských vědách v matematických vědách a společenských vědách (shvc).</w:t>
                  </w:r>
                </w:p>
                <w:p w:rsidR="009D46E6" w:rsidRDefault="009D46E6" w:rsidP="000E3106">
                  <w:pPr>
                    <w:pStyle w:val="Odrky"/>
                  </w:pPr>
                  <w:r>
                    <w:t>Trend poklesu publikování v konferenčních sbornících v roce 2012 dále zesílil (14% meziroční pokles ve srovnání s 3% v roce 2011)</w:t>
                  </w:r>
                </w:p>
                <w:p w:rsidR="009D46E6" w:rsidRDefault="009D46E6" w:rsidP="000E3106">
                  <w:pPr>
                    <w:pStyle w:val="Odrky"/>
                  </w:pPr>
                  <w:r>
                    <w:t>Podíl ČR na světové produkci v roce 2012 stagnoval na úrovni 0,76 %, avšak od roku 2008 vzrostl o 0,03 % procentního bodu.</w:t>
                  </w:r>
                </w:p>
                <w:p w:rsidR="009D46E6" w:rsidRDefault="009D46E6" w:rsidP="000E3106">
                  <w:pPr>
                    <w:pStyle w:val="Odrky"/>
                  </w:pPr>
                  <w:r>
                    <w:t>Citovanost českých publikací od roku 2010 převyšuje světový průměr.</w:t>
                  </w:r>
                </w:p>
                <w:p w:rsidR="009D46E6" w:rsidRDefault="009D46E6" w:rsidP="000E3106">
                  <w:pPr>
                    <w:pStyle w:val="Odrky"/>
                  </w:pPr>
                  <w:r>
                    <w:t>Obory multidisciplinární fyzika, jaderná fyzika, jaderné vědy a technologie dosahují jak nadprůměrné citovanosti (150 – 310 % světového průměru), tak relativně vysokého podílu na celkovém světovém publikačním výstupu.</w:t>
                  </w:r>
                </w:p>
                <w:p w:rsidR="009D46E6" w:rsidRDefault="009D46E6" w:rsidP="000E3106">
                  <w:pPr>
                    <w:pStyle w:val="Odrky"/>
                  </w:pPr>
                  <w:r>
                    <w:t>Nejvíce citovaným oborem v pětiletém průměru je všeobecné lékařství (téměř 700 % světového průměru). K vysoce citovaným oborům (více než dvojnásobek světového průměru) patří i další medicínské obory (revmatologie, kardiovaskulární medicína a lékařská laboratorní technologie).</w:t>
                  </w:r>
                </w:p>
                <w:p w:rsidR="009D46E6" w:rsidRDefault="009D46E6" w:rsidP="000E3106">
                  <w:pPr>
                    <w:pStyle w:val="Odrky"/>
                  </w:pPr>
                  <w:r>
                    <w:t>Počet publikací vztažený na počet obyvatel a FTE výzkumných pracovníků je na úrovni průměru EU27.</w:t>
                  </w:r>
                </w:p>
                <w:p w:rsidR="009D46E6" w:rsidRDefault="009D46E6" w:rsidP="000E3106">
                  <w:pPr>
                    <w:pStyle w:val="Odrky"/>
                  </w:pPr>
                  <w:r>
                    <w:t>Staré členské země EU dosahují v počtu publikací a citací na mil. obyvatel několikanásobně lepších hodnot než ČR.</w:t>
                  </w:r>
                </w:p>
                <w:p w:rsidR="009D46E6" w:rsidRDefault="009D46E6" w:rsidP="000E3106">
                  <w:pPr>
                    <w:pStyle w:val="Odrky"/>
                  </w:pPr>
                  <w:r>
                    <w:t>Počet udělených patentů evidovaných v RIV se mezi roky 2008 a 2012 přibližně ztrojnásobil a v roce 2012 meziroční růst stagnoval na přibližně 20%. Meziroční růst registrovaných užitných a průmyslových vzorů v roce 2012 poklesl na 24% ve srovnání s 87% nárůstem v roce 2011.</w:t>
                  </w:r>
                </w:p>
                <w:p w:rsidR="009D46E6" w:rsidRDefault="009D46E6" w:rsidP="000E3106">
                  <w:pPr>
                    <w:pStyle w:val="Odrky"/>
                  </w:pPr>
                  <w:r w:rsidRPr="00060BEE">
                    <w:t>Přihlašovatelé z ČR podali u ÚPV ČR v roce 2012 celkem 867 přihlášek vynálezů, tj. o 11</w:t>
                  </w:r>
                  <w:r>
                    <w:t xml:space="preserve"> </w:t>
                  </w:r>
                  <w:r w:rsidRPr="00060BEE">
                    <w:t>% více než v</w:t>
                  </w:r>
                  <w:r>
                    <w:t xml:space="preserve"> předchozím </w:t>
                  </w:r>
                  <w:r w:rsidRPr="00060BEE">
                    <w:t>roce a o 22 % více než před pěti lety.</w:t>
                  </w:r>
                  <w:r>
                    <w:t xml:space="preserve"> V</w:t>
                  </w:r>
                  <w:r w:rsidRPr="00060BEE">
                    <w:t xml:space="preserve">ýrazný meziroční nárůst </w:t>
                  </w:r>
                  <w:r>
                    <w:t xml:space="preserve">byl zaznamenán i </w:t>
                  </w:r>
                  <w:r w:rsidRPr="00060BEE">
                    <w:t>v případě udělených patentů</w:t>
                  </w:r>
                  <w:r>
                    <w:t>.</w:t>
                  </w:r>
                </w:p>
                <w:p w:rsidR="009D46E6" w:rsidRDefault="009D46E6" w:rsidP="000E3106">
                  <w:pPr>
                    <w:pStyle w:val="Odrky"/>
                  </w:pPr>
                  <w:r>
                    <w:t>Nejvýznamnější podíl na celkovém meziročním růstu přihlášek vynálezů měly tuzemské podniky, které v</w:t>
                  </w:r>
                  <w:r w:rsidRPr="00060BEE">
                    <w:t xml:space="preserve"> roce 2012 podaly 378 přihlášek, tj. o pětinu více než v roce </w:t>
                  </w:r>
                  <w:r>
                    <w:t xml:space="preserve">2011 a </w:t>
                  </w:r>
                  <w:r w:rsidRPr="00060BEE">
                    <w:t xml:space="preserve">nejvíce od roku 1995. </w:t>
                  </w:r>
                  <w:r>
                    <w:t xml:space="preserve">Dlouhodobě pochází přibližně </w:t>
                  </w:r>
                  <w:r w:rsidRPr="00060BEE">
                    <w:t xml:space="preserve">dvě třetiny </w:t>
                  </w:r>
                  <w:r>
                    <w:t xml:space="preserve">podnikových přihlášek vynálezů </w:t>
                  </w:r>
                  <w:r w:rsidRPr="00060BEE">
                    <w:t>od domácích firem a třetina od firem pod zahraniční kontrolou.</w:t>
                  </w:r>
                </w:p>
                <w:p w:rsidR="009D46E6" w:rsidRDefault="009D46E6" w:rsidP="000E3106">
                  <w:pPr>
                    <w:pStyle w:val="Odrky"/>
                  </w:pPr>
                  <w:r w:rsidRPr="00060BEE">
                    <w:t>V delším časovém horizontu zaznamen</w:t>
                  </w:r>
                  <w:r>
                    <w:t>aly</w:t>
                  </w:r>
                  <w:r w:rsidRPr="00060BEE">
                    <w:t xml:space="preserve"> výrazný nárůst v oblasti patentové aktivity především česk</w:t>
                  </w:r>
                  <w:r>
                    <w:t>é</w:t>
                  </w:r>
                  <w:r w:rsidRPr="00060BEE">
                    <w:t xml:space="preserve"> veřejn</w:t>
                  </w:r>
                  <w:r>
                    <w:t>é</w:t>
                  </w:r>
                  <w:r w:rsidRPr="00060BEE">
                    <w:t xml:space="preserve"> vysok</w:t>
                  </w:r>
                  <w:r>
                    <w:t>é</w:t>
                  </w:r>
                  <w:r w:rsidRPr="00060BEE">
                    <w:t xml:space="preserve"> škol</w:t>
                  </w:r>
                  <w:r>
                    <w:t>y</w:t>
                  </w:r>
                  <w:r w:rsidRPr="00060BEE">
                    <w:t>.</w:t>
                  </w:r>
                </w:p>
                <w:p w:rsidR="009D46E6" w:rsidRDefault="009D46E6" w:rsidP="000E3106">
                  <w:pPr>
                    <w:pStyle w:val="Odrky"/>
                  </w:pPr>
                  <w:r>
                    <w:t xml:space="preserve">Patentová aktivita českých subjektů v zahraničí však i přes trvalý </w:t>
                  </w:r>
                  <w:r w:rsidRPr="00060BEE">
                    <w:t>nárůst výrazně zaostává za vyspělými zeměmi EU.</w:t>
                  </w:r>
                  <w:r>
                    <w:t xml:space="preserve"> Zatímco v EU27 bylo v roce 2012 podáno v průměru 129 přihlášek vynálezů u EPO na jeden milion obyvatel v ČR to bylo pouze 13 přihlášek.</w:t>
                  </w:r>
                </w:p>
                <w:p w:rsidR="009D46E6" w:rsidRDefault="009D46E6" w:rsidP="000E3106">
                  <w:pPr>
                    <w:pStyle w:val="Odrky"/>
                  </w:pPr>
                  <w:r>
                    <w:t xml:space="preserve">Nárůst patentové aktivity v posledních letech není doprovázen odpovídajícím nárůstem počtu licencovaných patentů a souvisejícím nárůstem licenčních příjmů. </w:t>
                  </w:r>
                  <w:r w:rsidRPr="00060BEE">
                    <w:t xml:space="preserve">V roce 2012 získaly subjekty z České republiky za poskytnuté licence na patenty sice téměř 1,5 mld. Kč, ale jen 8 mil. Kč pocházelo z nových licencí. </w:t>
                  </w:r>
                  <w:r>
                    <w:t>V</w:t>
                  </w:r>
                  <w:r w:rsidRPr="00060BEE">
                    <w:t> získaných licenčních příjmech z průmyslového vlastnictví u nás dominuje Ústav organické chemie a biochemie AV ČR, v.v.i.</w:t>
                  </w:r>
                </w:p>
                <w:p w:rsidR="009D46E6" w:rsidRDefault="009D46E6" w:rsidP="000E3106">
                  <w:pPr>
                    <w:pStyle w:val="Odrky"/>
                  </w:pPr>
                  <w:r>
                    <w:t xml:space="preserve">Z celkového počtu </w:t>
                  </w:r>
                  <w:r w:rsidRPr="00060BEE">
                    <w:t xml:space="preserve">2 200 patentů platných k 31. 12. 2012 v České republice, </w:t>
                  </w:r>
                  <w:r>
                    <w:t>jež</w:t>
                  </w:r>
                  <w:r w:rsidRPr="00060BEE">
                    <w:t xml:space="preserve"> patřily tuzemským subjektům</w:t>
                  </w:r>
                  <w:r>
                    <w:t>, byl v roce 2012</w:t>
                  </w:r>
                  <w:r w:rsidRPr="00060BEE">
                    <w:t xml:space="preserve"> licencován jen každý desátý.</w:t>
                  </w:r>
                </w:p>
              </w:txbxContent>
            </v:textbox>
            <w10:anchorlock/>
          </v:shape>
        </w:pict>
      </w:r>
    </w:p>
    <w:p w:rsidR="009D46E6" w:rsidRDefault="009D46E6" w:rsidP="00866283"/>
    <w:p w:rsidR="009D46E6" w:rsidRDefault="009D46E6" w:rsidP="00866283"/>
    <w:p w:rsidR="009D46E6" w:rsidRDefault="009D46E6" w:rsidP="00866283">
      <w:pPr>
        <w:pStyle w:val="Heading2"/>
      </w:pPr>
      <w:bookmarkStart w:id="147" w:name="_Toc369091885"/>
      <w:r w:rsidRPr="006B6A69">
        <w:t>Výsledky evidované v Rejstříku informací o výsledcích IS VaVaI</w:t>
      </w:r>
      <w:bookmarkEnd w:id="147"/>
    </w:p>
    <w:p w:rsidR="009D46E6" w:rsidRDefault="009D46E6" w:rsidP="00866283">
      <w:r w:rsidRPr="00067CFB">
        <w:t xml:space="preserve">V RIV bylo v roce 2012 hlášeno 58,4 tis. výsledků (viz </w:t>
      </w:r>
      <w:r>
        <w:t>t</w:t>
      </w:r>
      <w:r w:rsidRPr="00067CFB">
        <w:t>abulka C.1). Ve srovnání s předcházejícím rokem došlo ke stagnaci růstu celkového počtu výsledků, který byl od roku 2009 meziročně přibližně 6 %. Hlavním typem výsledků jsou publikační výstupy. Jejich zastoupení na celkovém počtu výsledků však systematicky klesalo z přibližně 88 % v roce 2007 na 76 % v roce 2012. Hlavní příčinou je výrazný pokles registrovaných výstupů ve sbornících z konferencí (typ D). Publikování v odborných periodikách však zachovalo vzestupnou tendenci z předcházejících let, i když meziroční růst v roce 2012 byl přibližně poloviční (3 %) proti roku 2011 a třetinový ve srovnání s rokem 2010. O 12 % však v roce 2012 vzrostl počet publikací v impaktovaných periodikách</w:t>
      </w:r>
      <w:r w:rsidRPr="00067CFB">
        <w:rPr>
          <w:rStyle w:val="FootnoteReference"/>
          <w:rFonts w:cs="MetaPro-Normal"/>
        </w:rPr>
        <w:footnoteReference w:id="22"/>
      </w:r>
      <w:r w:rsidRPr="00067CFB">
        <w:t>. Několikanásobně vyšší růst počtu impaktovaných publikací a systematický růst citovanosti českých publikací (viz kapitola C.2) svědčí o rostoucí kvalitě českého výzkumu. Trend poklesu publikací v</w:t>
      </w:r>
      <w:r>
        <w:t xml:space="preserve"> konferenčních sbornících se dále zrychlil a v roce 2012 meziročně dosáhl 14%. Jedním z možných vysvětlení je kolize podmínek pro velikost příspěvků ve sbornících s kritériem minimální délky příspěvku (2 strany) pro zařazení do RIV platící od roku 2009. Jiným důvodem může být vydávání konferenčních sborníků především v případě významných mezinárodních konferencí jako dedikovaná čísla impaktovaných periodik.</w:t>
      </w:r>
    </w:p>
    <w:p w:rsidR="009D46E6" w:rsidRDefault="009D46E6" w:rsidP="00866283">
      <w:r>
        <w:t xml:space="preserve">Růst počet hlášených patentů v roce 2012 byl na stejné úrovni (přibližně 20 %) jako v předcházejícím roce. Současný růst patentových aktivit je podstatně nižší než mezi léty mezi léty 2007 – 2009, kdy meziroční růst dosáhl k 70%. Na tento náhlý vzrůst mohla mít vliv změna Metodiky hodnocení stimulující registraci patentů. Současný růst udělených patentů ukazuje na větší zájem a péči o ochranu duševního vlastnictví v českém VaV prostředí. Růst počtu ostatních výsledků s právní ochranou (užitný vzor, průmyslový vzor, typ F) byl srovnatelný s udělenými patenty. Mezi léty 2010 a 2012 došlo k podstatnému zpomalení produkce těchto výsledků (v roce 2011 dosáhl meziroční růst téměř 90 %). V oblasti aplikovaných výsledků došlo ve srovnání s rokem 2011 k přibližně 12% poklesu počtu výsledků typu poloprovoz, ověřená technologie (typ Z) a ke stagnaci počtu technický realizovaných výsledků (prototyp, funkční vzorek, typ G). Počty výsledků typu Z od prudkého nárůstu v letech 2007-2009 klesaly a hlášený počet v roce 2012 byl výrazně pod úrovní roku 2008. </w:t>
      </w:r>
    </w:p>
    <w:p w:rsidR="009D46E6" w:rsidRDefault="009D46E6" w:rsidP="00866283">
      <w:r>
        <w:t xml:space="preserve">Výsledky typu software (R) byly po přibližně 50% poklesu v roce 2011 nejrychleji rostoucím typem výsledků (meziročně 28 %) nicméně na absolutní úrovni je počet hlášených výsledků typu software na úrovni roku 2009. Druhým nejvíce meziročně rostoucím druhem výsledků, který má spíše aplikační charakter, jsou certifikované metodiky, léčebné postupy, památkové postupy, specializované mapy s odborným obsahem (typ N), jejichž počet v roce 2012 je více než dvojnásobný ve srovnání s roky 2009 a 2010. </w:t>
      </w:r>
    </w:p>
    <w:p w:rsidR="009D46E6" w:rsidRDefault="009D46E6" w:rsidP="00866283">
      <w:r>
        <w:t>Celkový počet výsledků českého VaVaI zaznamenaný v roce 2012 spíše stagnoval. Avšak počet řady typů výsledků dlouhodobě roste, což svědčí o systematickém růstu efektivity českého VaVaI.</w:t>
      </w:r>
    </w:p>
    <w:p w:rsidR="009D46E6" w:rsidRPr="00BC1D05" w:rsidRDefault="009D46E6" w:rsidP="00750D9B">
      <w:pPr>
        <w:pStyle w:val="Caption"/>
      </w:pPr>
      <w:bookmarkStart w:id="148" w:name="_Toc369091930"/>
      <w:r>
        <w:t xml:space="preserve">Tabulka </w:t>
      </w:r>
      <w:fldSimple w:instr=" STYLEREF 1 \s ">
        <w:r>
          <w:rPr>
            <w:noProof/>
          </w:rPr>
          <w:t>C</w:t>
        </w:r>
      </w:fldSimple>
      <w:r>
        <w:t>.</w:t>
      </w:r>
      <w:fldSimple w:instr=" SEQ Tabulka \* ARABIC \s 1 ">
        <w:r>
          <w:rPr>
            <w:noProof/>
          </w:rPr>
          <w:t>1</w:t>
        </w:r>
      </w:fldSimple>
      <w:r w:rsidRPr="00BC1D05">
        <w:t xml:space="preserve">: </w:t>
      </w:r>
      <w:r w:rsidRPr="00864CA4">
        <w:t>Počty výsledků VaVaI zaznamenané v databáze RIV v letech 2007 – 2012</w:t>
      </w:r>
      <w:bookmarkEnd w:id="148"/>
    </w:p>
    <w:tbl>
      <w:tblPr>
        <w:tblW w:w="9639" w:type="dxa"/>
        <w:jc w:val="center"/>
        <w:tblCellMar>
          <w:left w:w="70" w:type="dxa"/>
          <w:right w:w="70" w:type="dxa"/>
        </w:tblCellMar>
        <w:tblLook w:val="00A0"/>
      </w:tblPr>
      <w:tblGrid>
        <w:gridCol w:w="3963"/>
        <w:gridCol w:w="504"/>
        <w:gridCol w:w="841"/>
        <w:gridCol w:w="898"/>
        <w:gridCol w:w="897"/>
        <w:gridCol w:w="898"/>
        <w:gridCol w:w="897"/>
        <w:gridCol w:w="741"/>
      </w:tblGrid>
      <w:tr w:rsidR="009D46E6" w:rsidRPr="00DB1559" w:rsidTr="00786253">
        <w:trPr>
          <w:trHeight w:val="288"/>
          <w:jc w:val="center"/>
        </w:trPr>
        <w:tc>
          <w:tcPr>
            <w:tcW w:w="3963" w:type="dxa"/>
            <w:tcBorders>
              <w:top w:val="single" w:sz="4" w:space="0" w:color="auto"/>
              <w:left w:val="nil"/>
              <w:bottom w:val="nil"/>
              <w:right w:val="nil"/>
            </w:tcBorders>
            <w:shd w:val="clear" w:color="000000" w:fill="A74FFF"/>
            <w:noWrap/>
            <w:vAlign w:val="center"/>
          </w:tcPr>
          <w:p w:rsidR="009D46E6" w:rsidRPr="004B30BC" w:rsidRDefault="009D46E6" w:rsidP="00866283">
            <w:pPr>
              <w:spacing w:after="0" w:line="240" w:lineRule="auto"/>
              <w:jc w:val="center"/>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 </w:t>
            </w:r>
          </w:p>
        </w:tc>
        <w:tc>
          <w:tcPr>
            <w:tcW w:w="504" w:type="dxa"/>
            <w:tcBorders>
              <w:top w:val="single" w:sz="4" w:space="0" w:color="auto"/>
              <w:left w:val="nil"/>
              <w:bottom w:val="nil"/>
              <w:right w:val="nil"/>
            </w:tcBorders>
            <w:shd w:val="clear" w:color="000000" w:fill="A74FFF"/>
            <w:noWrap/>
            <w:vAlign w:val="center"/>
          </w:tcPr>
          <w:p w:rsidR="009D46E6" w:rsidRPr="004B30BC" w:rsidRDefault="009D46E6" w:rsidP="00866283">
            <w:pPr>
              <w:spacing w:after="0" w:line="240" w:lineRule="auto"/>
              <w:jc w:val="center"/>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 </w:t>
            </w:r>
          </w:p>
        </w:tc>
        <w:tc>
          <w:tcPr>
            <w:tcW w:w="5172" w:type="dxa"/>
            <w:gridSpan w:val="6"/>
            <w:tcBorders>
              <w:top w:val="single" w:sz="4" w:space="0" w:color="auto"/>
              <w:left w:val="nil"/>
              <w:bottom w:val="single" w:sz="4" w:space="0" w:color="auto"/>
              <w:right w:val="nil"/>
            </w:tcBorders>
            <w:shd w:val="clear" w:color="000000" w:fill="A74FFF"/>
            <w:noWrap/>
            <w:vAlign w:val="center"/>
          </w:tcPr>
          <w:p w:rsidR="009D46E6" w:rsidRPr="004B30BC" w:rsidRDefault="009D46E6" w:rsidP="00866283">
            <w:pPr>
              <w:spacing w:after="0" w:line="240" w:lineRule="auto"/>
              <w:jc w:val="center"/>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rok</w:t>
            </w:r>
          </w:p>
        </w:tc>
      </w:tr>
      <w:tr w:rsidR="009D46E6" w:rsidRPr="00DB1559" w:rsidTr="00786253">
        <w:trPr>
          <w:trHeight w:val="276"/>
          <w:jc w:val="center"/>
        </w:trPr>
        <w:tc>
          <w:tcPr>
            <w:tcW w:w="3963" w:type="dxa"/>
            <w:tcBorders>
              <w:top w:val="nil"/>
              <w:left w:val="nil"/>
              <w:bottom w:val="nil"/>
              <w:right w:val="nil"/>
            </w:tcBorders>
            <w:shd w:val="clear" w:color="000000" w:fill="A74FFF"/>
            <w:noWrap/>
            <w:vAlign w:val="center"/>
          </w:tcPr>
          <w:p w:rsidR="009D46E6" w:rsidRPr="004B30BC" w:rsidRDefault="009D46E6" w:rsidP="00866283">
            <w:pPr>
              <w:spacing w:after="0" w:line="240" w:lineRule="auto"/>
              <w:jc w:val="center"/>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Druh výsledku</w:t>
            </w:r>
          </w:p>
        </w:tc>
        <w:tc>
          <w:tcPr>
            <w:tcW w:w="504" w:type="dxa"/>
            <w:tcBorders>
              <w:top w:val="nil"/>
              <w:left w:val="nil"/>
              <w:bottom w:val="nil"/>
              <w:right w:val="nil"/>
            </w:tcBorders>
            <w:shd w:val="clear" w:color="000000" w:fill="A74FFF"/>
            <w:noWrap/>
            <w:vAlign w:val="center"/>
          </w:tcPr>
          <w:p w:rsidR="009D46E6" w:rsidRPr="004B30BC" w:rsidRDefault="009D46E6" w:rsidP="00866283">
            <w:pPr>
              <w:spacing w:after="0" w:line="240" w:lineRule="auto"/>
              <w:jc w:val="center"/>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typ</w:t>
            </w:r>
          </w:p>
        </w:tc>
        <w:tc>
          <w:tcPr>
            <w:tcW w:w="841" w:type="dxa"/>
            <w:tcBorders>
              <w:top w:val="nil"/>
              <w:left w:val="nil"/>
              <w:bottom w:val="nil"/>
              <w:right w:val="nil"/>
            </w:tcBorders>
            <w:shd w:val="clear" w:color="000000" w:fill="A74FFF"/>
            <w:noWrap/>
            <w:vAlign w:val="center"/>
          </w:tcPr>
          <w:p w:rsidR="009D46E6" w:rsidRPr="004B30BC" w:rsidRDefault="009D46E6" w:rsidP="00866283">
            <w:pPr>
              <w:spacing w:after="0" w:line="240" w:lineRule="auto"/>
              <w:jc w:val="center"/>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2007</w:t>
            </w:r>
          </w:p>
        </w:tc>
        <w:tc>
          <w:tcPr>
            <w:tcW w:w="898" w:type="dxa"/>
            <w:tcBorders>
              <w:top w:val="nil"/>
              <w:left w:val="nil"/>
              <w:bottom w:val="nil"/>
              <w:right w:val="nil"/>
            </w:tcBorders>
            <w:shd w:val="clear" w:color="000000" w:fill="A74FFF"/>
            <w:noWrap/>
            <w:vAlign w:val="center"/>
          </w:tcPr>
          <w:p w:rsidR="009D46E6" w:rsidRPr="004B30BC" w:rsidRDefault="009D46E6" w:rsidP="00866283">
            <w:pPr>
              <w:spacing w:after="0" w:line="240" w:lineRule="auto"/>
              <w:jc w:val="center"/>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2008</w:t>
            </w:r>
          </w:p>
        </w:tc>
        <w:tc>
          <w:tcPr>
            <w:tcW w:w="897" w:type="dxa"/>
            <w:tcBorders>
              <w:top w:val="nil"/>
              <w:left w:val="nil"/>
              <w:bottom w:val="nil"/>
              <w:right w:val="nil"/>
            </w:tcBorders>
            <w:shd w:val="clear" w:color="000000" w:fill="A74FFF"/>
            <w:noWrap/>
            <w:vAlign w:val="center"/>
          </w:tcPr>
          <w:p w:rsidR="009D46E6" w:rsidRPr="004B30BC" w:rsidRDefault="009D46E6" w:rsidP="00866283">
            <w:pPr>
              <w:spacing w:after="0" w:line="240" w:lineRule="auto"/>
              <w:jc w:val="center"/>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2009</w:t>
            </w:r>
          </w:p>
        </w:tc>
        <w:tc>
          <w:tcPr>
            <w:tcW w:w="898" w:type="dxa"/>
            <w:tcBorders>
              <w:top w:val="nil"/>
              <w:left w:val="nil"/>
              <w:bottom w:val="nil"/>
              <w:right w:val="nil"/>
            </w:tcBorders>
            <w:shd w:val="clear" w:color="000000" w:fill="A74FFF"/>
            <w:noWrap/>
            <w:vAlign w:val="center"/>
          </w:tcPr>
          <w:p w:rsidR="009D46E6" w:rsidRPr="004B30BC" w:rsidRDefault="009D46E6" w:rsidP="00866283">
            <w:pPr>
              <w:spacing w:after="0" w:line="240" w:lineRule="auto"/>
              <w:jc w:val="center"/>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2010</w:t>
            </w:r>
          </w:p>
        </w:tc>
        <w:tc>
          <w:tcPr>
            <w:tcW w:w="897" w:type="dxa"/>
            <w:tcBorders>
              <w:top w:val="nil"/>
              <w:left w:val="nil"/>
              <w:bottom w:val="nil"/>
              <w:right w:val="nil"/>
            </w:tcBorders>
            <w:shd w:val="clear" w:color="000000" w:fill="A74FFF"/>
            <w:noWrap/>
            <w:vAlign w:val="center"/>
          </w:tcPr>
          <w:p w:rsidR="009D46E6" w:rsidRPr="004B30BC" w:rsidRDefault="009D46E6" w:rsidP="00866283">
            <w:pPr>
              <w:spacing w:after="0" w:line="240" w:lineRule="auto"/>
              <w:jc w:val="center"/>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2011</w:t>
            </w:r>
          </w:p>
        </w:tc>
        <w:tc>
          <w:tcPr>
            <w:tcW w:w="741" w:type="dxa"/>
            <w:tcBorders>
              <w:top w:val="nil"/>
              <w:left w:val="nil"/>
              <w:bottom w:val="nil"/>
              <w:right w:val="nil"/>
            </w:tcBorders>
            <w:shd w:val="clear" w:color="000000" w:fill="A74FFF"/>
            <w:noWrap/>
            <w:vAlign w:val="center"/>
          </w:tcPr>
          <w:p w:rsidR="009D46E6" w:rsidRPr="004B30BC" w:rsidRDefault="009D46E6" w:rsidP="00866283">
            <w:pPr>
              <w:spacing w:after="0" w:line="240" w:lineRule="auto"/>
              <w:jc w:val="center"/>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2012</w:t>
            </w:r>
          </w:p>
        </w:tc>
      </w:tr>
      <w:tr w:rsidR="009D46E6" w:rsidRPr="00DB1559" w:rsidTr="00786253">
        <w:trPr>
          <w:trHeight w:val="276"/>
          <w:jc w:val="center"/>
        </w:trPr>
        <w:tc>
          <w:tcPr>
            <w:tcW w:w="3963" w:type="dxa"/>
            <w:tcBorders>
              <w:top w:val="nil"/>
              <w:left w:val="nil"/>
              <w:bottom w:val="nil"/>
              <w:right w:val="nil"/>
            </w:tcBorders>
            <w:noWrap/>
            <w:vAlign w:val="center"/>
          </w:tcPr>
          <w:p w:rsidR="009D46E6" w:rsidRPr="004B30BC" w:rsidRDefault="009D46E6" w:rsidP="00866283">
            <w:pPr>
              <w:spacing w:after="0" w:line="240" w:lineRule="auto"/>
              <w:jc w:val="lef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Celkový počet záznamů v RIV</w:t>
            </w:r>
          </w:p>
        </w:tc>
        <w:tc>
          <w:tcPr>
            <w:tcW w:w="504" w:type="dxa"/>
            <w:tcBorders>
              <w:top w:val="nil"/>
              <w:left w:val="nil"/>
              <w:bottom w:val="nil"/>
              <w:right w:val="nil"/>
            </w:tcBorders>
            <w:noWrap/>
            <w:vAlign w:val="center"/>
          </w:tcPr>
          <w:p w:rsidR="009D46E6" w:rsidRPr="004B30BC" w:rsidRDefault="009D46E6" w:rsidP="00866283">
            <w:pPr>
              <w:spacing w:after="0" w:line="240" w:lineRule="auto"/>
              <w:jc w:val="center"/>
              <w:rPr>
                <w:rFonts w:ascii="Calibri" w:hAnsi="Calibri" w:cs="Calibri"/>
                <w:b/>
                <w:bCs/>
                <w:color w:val="000000"/>
                <w:sz w:val="18"/>
                <w:szCs w:val="18"/>
                <w:lang w:eastAsia="cs-CZ"/>
              </w:rPr>
            </w:pPr>
          </w:p>
        </w:tc>
        <w:tc>
          <w:tcPr>
            <w:tcW w:w="841" w:type="dxa"/>
            <w:tcBorders>
              <w:top w:val="nil"/>
              <w:left w:val="nil"/>
              <w:bottom w:val="nil"/>
              <w:right w:val="nil"/>
            </w:tcBorders>
            <w:noWrap/>
            <w:vAlign w:val="center"/>
          </w:tcPr>
          <w:p w:rsidR="009D46E6" w:rsidRPr="004B30BC" w:rsidRDefault="009D46E6" w:rsidP="00866283">
            <w:pPr>
              <w:spacing w:after="0" w:line="240" w:lineRule="auto"/>
              <w:ind w:left="-272"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55 469</w:t>
            </w:r>
          </w:p>
        </w:tc>
        <w:tc>
          <w:tcPr>
            <w:tcW w:w="898" w:type="dxa"/>
            <w:tcBorders>
              <w:top w:val="nil"/>
              <w:left w:val="nil"/>
              <w:bottom w:val="nil"/>
              <w:right w:val="nil"/>
            </w:tcBorders>
            <w:noWrap/>
            <w:vAlign w:val="center"/>
          </w:tcPr>
          <w:p w:rsidR="009D46E6" w:rsidRPr="004B30BC" w:rsidRDefault="009D46E6" w:rsidP="00866283">
            <w:pPr>
              <w:spacing w:after="0" w:line="240" w:lineRule="auto"/>
              <w:ind w:left="-361"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53 622</w:t>
            </w:r>
          </w:p>
        </w:tc>
        <w:tc>
          <w:tcPr>
            <w:tcW w:w="897"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52 535</w:t>
            </w:r>
          </w:p>
        </w:tc>
        <w:tc>
          <w:tcPr>
            <w:tcW w:w="898"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55 653</w:t>
            </w:r>
          </w:p>
        </w:tc>
        <w:tc>
          <w:tcPr>
            <w:tcW w:w="897"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59 231</w:t>
            </w:r>
          </w:p>
        </w:tc>
        <w:tc>
          <w:tcPr>
            <w:tcW w:w="741"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58 400</w:t>
            </w:r>
          </w:p>
        </w:tc>
      </w:tr>
      <w:tr w:rsidR="009D46E6" w:rsidRPr="00DB1559" w:rsidTr="00786253">
        <w:trPr>
          <w:trHeight w:val="276"/>
          <w:jc w:val="center"/>
        </w:trPr>
        <w:tc>
          <w:tcPr>
            <w:tcW w:w="3963" w:type="dxa"/>
            <w:tcBorders>
              <w:top w:val="nil"/>
              <w:left w:val="nil"/>
              <w:bottom w:val="nil"/>
              <w:right w:val="nil"/>
            </w:tcBorders>
            <w:shd w:val="clear" w:color="000000" w:fill="E1C3FF"/>
            <w:noWrap/>
            <w:vAlign w:val="center"/>
          </w:tcPr>
          <w:p w:rsidR="009D46E6" w:rsidRPr="004B30BC" w:rsidRDefault="009D46E6" w:rsidP="00866283">
            <w:pPr>
              <w:spacing w:after="0" w:line="240" w:lineRule="auto"/>
              <w:jc w:val="lef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Publikační výstupy celkem (B + C + D + J)</w:t>
            </w:r>
          </w:p>
        </w:tc>
        <w:tc>
          <w:tcPr>
            <w:tcW w:w="504" w:type="dxa"/>
            <w:tcBorders>
              <w:top w:val="nil"/>
              <w:left w:val="nil"/>
              <w:bottom w:val="nil"/>
              <w:right w:val="nil"/>
            </w:tcBorders>
            <w:shd w:val="clear" w:color="000000" w:fill="E1C3FF"/>
            <w:noWrap/>
            <w:vAlign w:val="center"/>
          </w:tcPr>
          <w:p w:rsidR="009D46E6" w:rsidRPr="004B30BC" w:rsidRDefault="009D46E6" w:rsidP="00866283">
            <w:pPr>
              <w:spacing w:after="0" w:line="240" w:lineRule="auto"/>
              <w:jc w:val="center"/>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 </w:t>
            </w:r>
          </w:p>
        </w:tc>
        <w:tc>
          <w:tcPr>
            <w:tcW w:w="841" w:type="dxa"/>
            <w:tcBorders>
              <w:top w:val="nil"/>
              <w:left w:val="nil"/>
              <w:bottom w:val="nil"/>
              <w:right w:val="nil"/>
            </w:tcBorders>
            <w:shd w:val="clear" w:color="000000" w:fill="E1C3FF"/>
            <w:noWrap/>
            <w:vAlign w:val="center"/>
          </w:tcPr>
          <w:p w:rsidR="009D46E6" w:rsidRPr="004B30BC" w:rsidRDefault="009D46E6" w:rsidP="00866283">
            <w:pPr>
              <w:spacing w:after="0" w:line="240" w:lineRule="auto"/>
              <w:ind w:left="-272"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48 573</w:t>
            </w:r>
          </w:p>
        </w:tc>
        <w:tc>
          <w:tcPr>
            <w:tcW w:w="898" w:type="dxa"/>
            <w:tcBorders>
              <w:top w:val="nil"/>
              <w:left w:val="nil"/>
              <w:bottom w:val="nil"/>
              <w:right w:val="nil"/>
            </w:tcBorders>
            <w:shd w:val="clear" w:color="000000" w:fill="E1C3FF"/>
            <w:noWrap/>
            <w:vAlign w:val="center"/>
          </w:tcPr>
          <w:p w:rsidR="009D46E6" w:rsidRPr="004B30BC" w:rsidRDefault="009D46E6" w:rsidP="00866283">
            <w:pPr>
              <w:spacing w:after="0" w:line="240" w:lineRule="auto"/>
              <w:ind w:left="-361"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45 909</w:t>
            </w:r>
          </w:p>
        </w:tc>
        <w:tc>
          <w:tcPr>
            <w:tcW w:w="897" w:type="dxa"/>
            <w:tcBorders>
              <w:top w:val="nil"/>
              <w:left w:val="nil"/>
              <w:bottom w:val="nil"/>
              <w:right w:val="nil"/>
            </w:tcBorders>
            <w:shd w:val="clear" w:color="000000" w:fill="E1C3FF"/>
            <w:noWrap/>
            <w:vAlign w:val="center"/>
          </w:tcPr>
          <w:p w:rsidR="009D46E6" w:rsidRPr="004B30BC" w:rsidRDefault="009D46E6" w:rsidP="00866283">
            <w:pPr>
              <w:spacing w:after="0" w:line="240" w:lineRule="auto"/>
              <w:ind w:left="-219"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43 193</w:t>
            </w:r>
          </w:p>
        </w:tc>
        <w:tc>
          <w:tcPr>
            <w:tcW w:w="898" w:type="dxa"/>
            <w:tcBorders>
              <w:top w:val="nil"/>
              <w:left w:val="nil"/>
              <w:bottom w:val="nil"/>
              <w:right w:val="nil"/>
            </w:tcBorders>
            <w:shd w:val="clear" w:color="000000" w:fill="E1C3FF"/>
            <w:noWrap/>
            <w:vAlign w:val="center"/>
          </w:tcPr>
          <w:p w:rsidR="009D46E6" w:rsidRPr="004B30BC" w:rsidRDefault="009D46E6" w:rsidP="00866283">
            <w:pPr>
              <w:spacing w:after="0" w:line="240" w:lineRule="auto"/>
              <w:ind w:left="-219"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44 971</w:t>
            </w:r>
          </w:p>
        </w:tc>
        <w:tc>
          <w:tcPr>
            <w:tcW w:w="897" w:type="dxa"/>
            <w:tcBorders>
              <w:top w:val="nil"/>
              <w:left w:val="nil"/>
              <w:bottom w:val="nil"/>
              <w:right w:val="nil"/>
            </w:tcBorders>
            <w:shd w:val="clear" w:color="000000" w:fill="E1C3FF"/>
            <w:noWrap/>
            <w:vAlign w:val="center"/>
          </w:tcPr>
          <w:p w:rsidR="009D46E6" w:rsidRPr="004B30BC" w:rsidRDefault="009D46E6" w:rsidP="00866283">
            <w:pPr>
              <w:spacing w:after="0" w:line="240" w:lineRule="auto"/>
              <w:ind w:left="-219"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46 354</w:t>
            </w:r>
          </w:p>
        </w:tc>
        <w:tc>
          <w:tcPr>
            <w:tcW w:w="741" w:type="dxa"/>
            <w:tcBorders>
              <w:top w:val="nil"/>
              <w:left w:val="nil"/>
              <w:bottom w:val="nil"/>
              <w:right w:val="nil"/>
            </w:tcBorders>
            <w:shd w:val="clear" w:color="000000" w:fill="E1C3FF"/>
            <w:noWrap/>
            <w:vAlign w:val="center"/>
          </w:tcPr>
          <w:p w:rsidR="009D46E6" w:rsidRPr="004B30BC" w:rsidRDefault="009D46E6" w:rsidP="00866283">
            <w:pPr>
              <w:spacing w:after="0" w:line="240" w:lineRule="auto"/>
              <w:ind w:left="-219"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44 469</w:t>
            </w:r>
          </w:p>
        </w:tc>
      </w:tr>
      <w:tr w:rsidR="009D46E6" w:rsidRPr="00DB1559" w:rsidTr="00786253">
        <w:trPr>
          <w:trHeight w:val="276"/>
          <w:jc w:val="center"/>
        </w:trPr>
        <w:tc>
          <w:tcPr>
            <w:tcW w:w="3963" w:type="dxa"/>
            <w:tcBorders>
              <w:top w:val="nil"/>
              <w:left w:val="nil"/>
              <w:bottom w:val="nil"/>
              <w:right w:val="nil"/>
            </w:tcBorders>
            <w:noWrap/>
            <w:vAlign w:val="center"/>
          </w:tcPr>
          <w:p w:rsidR="009D46E6" w:rsidRPr="004B30BC" w:rsidRDefault="009D46E6" w:rsidP="00866283">
            <w:pPr>
              <w:spacing w:after="0" w:line="240" w:lineRule="auto"/>
              <w:jc w:val="left"/>
              <w:rPr>
                <w:rFonts w:ascii="Calibri" w:hAnsi="Calibri" w:cs="Calibri"/>
                <w:i/>
                <w:iCs/>
                <w:color w:val="000000"/>
                <w:sz w:val="18"/>
                <w:szCs w:val="18"/>
                <w:lang w:eastAsia="cs-CZ"/>
              </w:rPr>
            </w:pPr>
            <w:r w:rsidRPr="004B30BC">
              <w:rPr>
                <w:rFonts w:ascii="Calibri" w:hAnsi="Calibri" w:cs="Calibri"/>
                <w:i/>
                <w:iCs/>
                <w:color w:val="000000"/>
                <w:sz w:val="18"/>
                <w:szCs w:val="18"/>
                <w:lang w:eastAsia="cs-CZ"/>
              </w:rPr>
              <w:t>Z toho:</w:t>
            </w:r>
          </w:p>
        </w:tc>
        <w:tc>
          <w:tcPr>
            <w:tcW w:w="504" w:type="dxa"/>
            <w:tcBorders>
              <w:top w:val="nil"/>
              <w:left w:val="nil"/>
              <w:bottom w:val="nil"/>
              <w:right w:val="nil"/>
            </w:tcBorders>
            <w:noWrap/>
            <w:vAlign w:val="bottom"/>
          </w:tcPr>
          <w:p w:rsidR="009D46E6" w:rsidRPr="004B30BC" w:rsidRDefault="009D46E6" w:rsidP="00866283">
            <w:pPr>
              <w:spacing w:after="0" w:line="240" w:lineRule="auto"/>
              <w:jc w:val="center"/>
              <w:rPr>
                <w:rFonts w:ascii="Calibri" w:hAnsi="Calibri" w:cs="Calibri"/>
                <w:color w:val="000000"/>
                <w:sz w:val="18"/>
                <w:szCs w:val="18"/>
                <w:lang w:eastAsia="cs-CZ"/>
              </w:rPr>
            </w:pPr>
          </w:p>
        </w:tc>
        <w:tc>
          <w:tcPr>
            <w:tcW w:w="841" w:type="dxa"/>
            <w:tcBorders>
              <w:top w:val="nil"/>
              <w:left w:val="nil"/>
              <w:bottom w:val="nil"/>
              <w:right w:val="nil"/>
            </w:tcBorders>
            <w:noWrap/>
            <w:vAlign w:val="bottom"/>
          </w:tcPr>
          <w:p w:rsidR="009D46E6" w:rsidRPr="004B30BC" w:rsidRDefault="009D46E6" w:rsidP="00866283">
            <w:pPr>
              <w:spacing w:after="0" w:line="240" w:lineRule="auto"/>
              <w:ind w:left="-272" w:right="79"/>
              <w:jc w:val="left"/>
              <w:rPr>
                <w:rFonts w:ascii="Calibri" w:hAnsi="Calibri" w:cs="Calibri"/>
                <w:color w:val="000000"/>
                <w:sz w:val="18"/>
                <w:szCs w:val="18"/>
                <w:lang w:eastAsia="cs-CZ"/>
              </w:rPr>
            </w:pPr>
          </w:p>
        </w:tc>
        <w:tc>
          <w:tcPr>
            <w:tcW w:w="898" w:type="dxa"/>
            <w:tcBorders>
              <w:top w:val="nil"/>
              <w:left w:val="nil"/>
              <w:bottom w:val="nil"/>
              <w:right w:val="nil"/>
            </w:tcBorders>
            <w:noWrap/>
            <w:vAlign w:val="bottom"/>
          </w:tcPr>
          <w:p w:rsidR="009D46E6" w:rsidRPr="004B30BC" w:rsidRDefault="009D46E6" w:rsidP="00866283">
            <w:pPr>
              <w:spacing w:after="0" w:line="240" w:lineRule="auto"/>
              <w:ind w:left="-361" w:right="79"/>
              <w:jc w:val="left"/>
              <w:rPr>
                <w:rFonts w:ascii="Calibri" w:hAnsi="Calibri" w:cs="Calibri"/>
                <w:color w:val="000000"/>
                <w:sz w:val="18"/>
                <w:szCs w:val="18"/>
                <w:lang w:eastAsia="cs-CZ"/>
              </w:rPr>
            </w:pPr>
          </w:p>
        </w:tc>
        <w:tc>
          <w:tcPr>
            <w:tcW w:w="897" w:type="dxa"/>
            <w:tcBorders>
              <w:top w:val="nil"/>
              <w:left w:val="nil"/>
              <w:bottom w:val="nil"/>
              <w:right w:val="nil"/>
            </w:tcBorders>
            <w:noWrap/>
            <w:vAlign w:val="bottom"/>
          </w:tcPr>
          <w:p w:rsidR="009D46E6" w:rsidRPr="004B30BC" w:rsidRDefault="009D46E6" w:rsidP="00866283">
            <w:pPr>
              <w:spacing w:after="0" w:line="240" w:lineRule="auto"/>
              <w:ind w:left="-219" w:right="79"/>
              <w:jc w:val="left"/>
              <w:rPr>
                <w:rFonts w:ascii="Calibri" w:hAnsi="Calibri" w:cs="Calibri"/>
                <w:color w:val="000000"/>
                <w:sz w:val="18"/>
                <w:szCs w:val="18"/>
                <w:lang w:eastAsia="cs-CZ"/>
              </w:rPr>
            </w:pPr>
          </w:p>
        </w:tc>
        <w:tc>
          <w:tcPr>
            <w:tcW w:w="898" w:type="dxa"/>
            <w:tcBorders>
              <w:top w:val="nil"/>
              <w:left w:val="nil"/>
              <w:bottom w:val="nil"/>
              <w:right w:val="nil"/>
            </w:tcBorders>
            <w:noWrap/>
            <w:vAlign w:val="bottom"/>
          </w:tcPr>
          <w:p w:rsidR="009D46E6" w:rsidRPr="004B30BC" w:rsidRDefault="009D46E6" w:rsidP="00866283">
            <w:pPr>
              <w:spacing w:after="0" w:line="240" w:lineRule="auto"/>
              <w:ind w:left="-219" w:right="79"/>
              <w:jc w:val="left"/>
              <w:rPr>
                <w:rFonts w:ascii="Calibri" w:hAnsi="Calibri" w:cs="Calibri"/>
                <w:color w:val="000000"/>
                <w:sz w:val="18"/>
                <w:szCs w:val="18"/>
                <w:lang w:eastAsia="cs-CZ"/>
              </w:rPr>
            </w:pPr>
          </w:p>
        </w:tc>
        <w:tc>
          <w:tcPr>
            <w:tcW w:w="897" w:type="dxa"/>
            <w:tcBorders>
              <w:top w:val="nil"/>
              <w:left w:val="nil"/>
              <w:bottom w:val="nil"/>
              <w:right w:val="nil"/>
            </w:tcBorders>
            <w:noWrap/>
            <w:vAlign w:val="bottom"/>
          </w:tcPr>
          <w:p w:rsidR="009D46E6" w:rsidRPr="004B30BC" w:rsidRDefault="009D46E6" w:rsidP="00866283">
            <w:pPr>
              <w:spacing w:after="0" w:line="240" w:lineRule="auto"/>
              <w:ind w:left="-219" w:right="79"/>
              <w:jc w:val="left"/>
              <w:rPr>
                <w:rFonts w:ascii="Calibri" w:hAnsi="Calibri" w:cs="Calibri"/>
                <w:color w:val="000000"/>
                <w:sz w:val="18"/>
                <w:szCs w:val="18"/>
                <w:lang w:eastAsia="cs-CZ"/>
              </w:rPr>
            </w:pPr>
          </w:p>
        </w:tc>
        <w:tc>
          <w:tcPr>
            <w:tcW w:w="741" w:type="dxa"/>
            <w:tcBorders>
              <w:top w:val="nil"/>
              <w:left w:val="nil"/>
              <w:bottom w:val="nil"/>
              <w:right w:val="nil"/>
            </w:tcBorders>
            <w:noWrap/>
            <w:vAlign w:val="bottom"/>
          </w:tcPr>
          <w:p w:rsidR="009D46E6" w:rsidRPr="004B30BC" w:rsidRDefault="009D46E6" w:rsidP="00866283">
            <w:pPr>
              <w:spacing w:after="0" w:line="240" w:lineRule="auto"/>
              <w:ind w:left="-219" w:right="79"/>
              <w:jc w:val="left"/>
              <w:rPr>
                <w:rFonts w:ascii="Calibri" w:hAnsi="Calibri" w:cs="Calibri"/>
                <w:color w:val="000000"/>
                <w:sz w:val="18"/>
                <w:szCs w:val="18"/>
                <w:lang w:eastAsia="cs-CZ"/>
              </w:rPr>
            </w:pPr>
          </w:p>
        </w:tc>
      </w:tr>
      <w:tr w:rsidR="009D46E6" w:rsidRPr="00DB1559" w:rsidTr="00786253">
        <w:trPr>
          <w:trHeight w:val="276"/>
          <w:jc w:val="center"/>
        </w:trPr>
        <w:tc>
          <w:tcPr>
            <w:tcW w:w="3963" w:type="dxa"/>
            <w:tcBorders>
              <w:top w:val="nil"/>
              <w:left w:val="nil"/>
              <w:bottom w:val="nil"/>
              <w:right w:val="nil"/>
            </w:tcBorders>
            <w:vAlign w:val="center"/>
          </w:tcPr>
          <w:p w:rsidR="009D46E6" w:rsidRPr="004B30BC" w:rsidRDefault="009D46E6" w:rsidP="00866283">
            <w:pPr>
              <w:spacing w:after="0" w:line="240" w:lineRule="auto"/>
              <w:ind w:left="229"/>
              <w:jc w:val="left"/>
              <w:rPr>
                <w:rFonts w:ascii="Calibri" w:hAnsi="Calibri" w:cs="Calibri"/>
                <w:color w:val="000000"/>
                <w:sz w:val="18"/>
                <w:szCs w:val="18"/>
                <w:lang w:eastAsia="cs-CZ"/>
              </w:rPr>
            </w:pPr>
            <w:r w:rsidRPr="004B30BC">
              <w:rPr>
                <w:rFonts w:ascii="Calibri" w:hAnsi="Calibri" w:cs="Calibri"/>
                <w:color w:val="000000"/>
                <w:sz w:val="18"/>
                <w:szCs w:val="18"/>
                <w:lang w:eastAsia="cs-CZ"/>
              </w:rPr>
              <w:t>Odborná monografie</w:t>
            </w:r>
          </w:p>
        </w:tc>
        <w:tc>
          <w:tcPr>
            <w:tcW w:w="504" w:type="dxa"/>
            <w:tcBorders>
              <w:top w:val="nil"/>
              <w:left w:val="nil"/>
              <w:bottom w:val="nil"/>
              <w:right w:val="nil"/>
            </w:tcBorders>
            <w:vAlign w:val="center"/>
          </w:tcPr>
          <w:p w:rsidR="009D46E6" w:rsidRPr="004B30BC" w:rsidRDefault="009D46E6" w:rsidP="00866283">
            <w:pPr>
              <w:spacing w:after="0" w:line="240" w:lineRule="auto"/>
              <w:jc w:val="center"/>
              <w:rPr>
                <w:rFonts w:ascii="Calibri" w:hAnsi="Calibri" w:cs="Calibri"/>
                <w:color w:val="000000"/>
                <w:sz w:val="18"/>
                <w:szCs w:val="18"/>
                <w:lang w:eastAsia="cs-CZ"/>
              </w:rPr>
            </w:pPr>
            <w:r w:rsidRPr="004B30BC">
              <w:rPr>
                <w:rFonts w:ascii="Calibri" w:hAnsi="Calibri" w:cs="Calibri"/>
                <w:color w:val="000000"/>
                <w:sz w:val="18"/>
                <w:szCs w:val="18"/>
                <w:lang w:eastAsia="cs-CZ"/>
              </w:rPr>
              <w:t>B</w:t>
            </w:r>
          </w:p>
        </w:tc>
        <w:tc>
          <w:tcPr>
            <w:tcW w:w="841" w:type="dxa"/>
            <w:tcBorders>
              <w:top w:val="nil"/>
              <w:left w:val="nil"/>
              <w:bottom w:val="nil"/>
              <w:right w:val="nil"/>
            </w:tcBorders>
            <w:noWrap/>
            <w:vAlign w:val="center"/>
          </w:tcPr>
          <w:p w:rsidR="009D46E6" w:rsidRPr="004B30BC" w:rsidRDefault="009D46E6" w:rsidP="00866283">
            <w:pPr>
              <w:spacing w:after="0" w:line="240" w:lineRule="auto"/>
              <w:ind w:left="-272"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1 492</w:t>
            </w:r>
          </w:p>
        </w:tc>
        <w:tc>
          <w:tcPr>
            <w:tcW w:w="898" w:type="dxa"/>
            <w:tcBorders>
              <w:top w:val="nil"/>
              <w:left w:val="nil"/>
              <w:bottom w:val="nil"/>
              <w:right w:val="nil"/>
            </w:tcBorders>
            <w:noWrap/>
            <w:vAlign w:val="center"/>
          </w:tcPr>
          <w:p w:rsidR="009D46E6" w:rsidRPr="004B30BC" w:rsidRDefault="009D46E6" w:rsidP="00866283">
            <w:pPr>
              <w:spacing w:after="0" w:line="240" w:lineRule="auto"/>
              <w:ind w:left="-361"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1 636</w:t>
            </w:r>
          </w:p>
        </w:tc>
        <w:tc>
          <w:tcPr>
            <w:tcW w:w="897"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1 464</w:t>
            </w:r>
          </w:p>
        </w:tc>
        <w:tc>
          <w:tcPr>
            <w:tcW w:w="898"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1 596</w:t>
            </w:r>
          </w:p>
        </w:tc>
        <w:tc>
          <w:tcPr>
            <w:tcW w:w="897"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1 834</w:t>
            </w:r>
          </w:p>
        </w:tc>
        <w:tc>
          <w:tcPr>
            <w:tcW w:w="741"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1 661</w:t>
            </w:r>
          </w:p>
        </w:tc>
      </w:tr>
      <w:tr w:rsidR="009D46E6" w:rsidRPr="00DB1559" w:rsidTr="00786253">
        <w:trPr>
          <w:trHeight w:val="276"/>
          <w:jc w:val="center"/>
        </w:trPr>
        <w:tc>
          <w:tcPr>
            <w:tcW w:w="3963" w:type="dxa"/>
            <w:tcBorders>
              <w:top w:val="nil"/>
              <w:left w:val="nil"/>
              <w:bottom w:val="nil"/>
              <w:right w:val="nil"/>
            </w:tcBorders>
            <w:vAlign w:val="center"/>
          </w:tcPr>
          <w:p w:rsidR="009D46E6" w:rsidRPr="004B30BC" w:rsidRDefault="009D46E6" w:rsidP="00866283">
            <w:pPr>
              <w:spacing w:after="0" w:line="240" w:lineRule="auto"/>
              <w:ind w:left="229"/>
              <w:jc w:val="left"/>
              <w:rPr>
                <w:rFonts w:ascii="Calibri" w:hAnsi="Calibri" w:cs="Calibri"/>
                <w:color w:val="000000"/>
                <w:sz w:val="18"/>
                <w:szCs w:val="18"/>
                <w:lang w:eastAsia="cs-CZ"/>
              </w:rPr>
            </w:pPr>
            <w:r w:rsidRPr="004B30BC">
              <w:rPr>
                <w:rFonts w:ascii="Calibri" w:hAnsi="Calibri" w:cs="Calibri"/>
                <w:color w:val="000000"/>
                <w:sz w:val="18"/>
                <w:szCs w:val="18"/>
                <w:lang w:eastAsia="cs-CZ"/>
              </w:rPr>
              <w:t>Kapitola resp. kapitoly v odborné knize</w:t>
            </w:r>
          </w:p>
        </w:tc>
        <w:tc>
          <w:tcPr>
            <w:tcW w:w="504" w:type="dxa"/>
            <w:tcBorders>
              <w:top w:val="nil"/>
              <w:left w:val="nil"/>
              <w:bottom w:val="nil"/>
              <w:right w:val="nil"/>
            </w:tcBorders>
            <w:vAlign w:val="center"/>
          </w:tcPr>
          <w:p w:rsidR="009D46E6" w:rsidRPr="004B30BC" w:rsidRDefault="009D46E6" w:rsidP="00866283">
            <w:pPr>
              <w:spacing w:after="0" w:line="240" w:lineRule="auto"/>
              <w:jc w:val="center"/>
              <w:rPr>
                <w:rFonts w:ascii="Calibri" w:hAnsi="Calibri" w:cs="Calibri"/>
                <w:color w:val="000000"/>
                <w:sz w:val="18"/>
                <w:szCs w:val="18"/>
                <w:lang w:eastAsia="cs-CZ"/>
              </w:rPr>
            </w:pPr>
            <w:r w:rsidRPr="004B30BC">
              <w:rPr>
                <w:rFonts w:ascii="Calibri" w:hAnsi="Calibri" w:cs="Calibri"/>
                <w:color w:val="000000"/>
                <w:sz w:val="18"/>
                <w:szCs w:val="18"/>
                <w:lang w:eastAsia="cs-CZ"/>
              </w:rPr>
              <w:t>C</w:t>
            </w:r>
          </w:p>
        </w:tc>
        <w:tc>
          <w:tcPr>
            <w:tcW w:w="841" w:type="dxa"/>
            <w:tcBorders>
              <w:top w:val="nil"/>
              <w:left w:val="nil"/>
              <w:bottom w:val="nil"/>
              <w:right w:val="nil"/>
            </w:tcBorders>
            <w:noWrap/>
            <w:vAlign w:val="center"/>
          </w:tcPr>
          <w:p w:rsidR="009D46E6" w:rsidRPr="004B30BC" w:rsidRDefault="009D46E6" w:rsidP="00866283">
            <w:pPr>
              <w:spacing w:after="0" w:line="240" w:lineRule="auto"/>
              <w:ind w:left="-272"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3 588</w:t>
            </w:r>
          </w:p>
        </w:tc>
        <w:tc>
          <w:tcPr>
            <w:tcW w:w="898" w:type="dxa"/>
            <w:tcBorders>
              <w:top w:val="nil"/>
              <w:left w:val="nil"/>
              <w:bottom w:val="nil"/>
              <w:right w:val="nil"/>
            </w:tcBorders>
            <w:noWrap/>
            <w:vAlign w:val="center"/>
          </w:tcPr>
          <w:p w:rsidR="009D46E6" w:rsidRPr="004B30BC" w:rsidRDefault="009D46E6" w:rsidP="00866283">
            <w:pPr>
              <w:spacing w:after="0" w:line="240" w:lineRule="auto"/>
              <w:ind w:left="-361"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4 028</w:t>
            </w:r>
          </w:p>
        </w:tc>
        <w:tc>
          <w:tcPr>
            <w:tcW w:w="897"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4 221</w:t>
            </w:r>
          </w:p>
        </w:tc>
        <w:tc>
          <w:tcPr>
            <w:tcW w:w="898"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4 706</w:t>
            </w:r>
          </w:p>
        </w:tc>
        <w:tc>
          <w:tcPr>
            <w:tcW w:w="897"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5 211</w:t>
            </w:r>
          </w:p>
        </w:tc>
        <w:tc>
          <w:tcPr>
            <w:tcW w:w="741"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4 883</w:t>
            </w:r>
          </w:p>
        </w:tc>
      </w:tr>
      <w:tr w:rsidR="009D46E6" w:rsidRPr="00DB1559" w:rsidTr="00786253">
        <w:trPr>
          <w:trHeight w:val="276"/>
          <w:jc w:val="center"/>
        </w:trPr>
        <w:tc>
          <w:tcPr>
            <w:tcW w:w="3963" w:type="dxa"/>
            <w:tcBorders>
              <w:top w:val="nil"/>
              <w:left w:val="nil"/>
              <w:bottom w:val="nil"/>
              <w:right w:val="nil"/>
            </w:tcBorders>
            <w:vAlign w:val="center"/>
          </w:tcPr>
          <w:p w:rsidR="009D46E6" w:rsidRPr="004B30BC" w:rsidRDefault="009D46E6" w:rsidP="00866283">
            <w:pPr>
              <w:spacing w:after="0" w:line="240" w:lineRule="auto"/>
              <w:ind w:left="229"/>
              <w:jc w:val="left"/>
              <w:rPr>
                <w:rFonts w:ascii="Calibri" w:hAnsi="Calibri" w:cs="Calibri"/>
                <w:color w:val="000000"/>
                <w:sz w:val="18"/>
                <w:szCs w:val="18"/>
                <w:lang w:eastAsia="cs-CZ"/>
              </w:rPr>
            </w:pPr>
            <w:r w:rsidRPr="004B30BC">
              <w:rPr>
                <w:rFonts w:ascii="Calibri" w:hAnsi="Calibri" w:cs="Calibri"/>
                <w:color w:val="000000"/>
                <w:sz w:val="18"/>
                <w:szCs w:val="18"/>
                <w:lang w:eastAsia="cs-CZ"/>
              </w:rPr>
              <w:t>Článek ve sborníku z akce (publikovaná přednáška – proceeding)</w:t>
            </w:r>
          </w:p>
        </w:tc>
        <w:tc>
          <w:tcPr>
            <w:tcW w:w="504" w:type="dxa"/>
            <w:tcBorders>
              <w:top w:val="nil"/>
              <w:left w:val="nil"/>
              <w:bottom w:val="nil"/>
              <w:right w:val="nil"/>
            </w:tcBorders>
            <w:vAlign w:val="center"/>
          </w:tcPr>
          <w:p w:rsidR="009D46E6" w:rsidRPr="004B30BC" w:rsidRDefault="009D46E6" w:rsidP="00866283">
            <w:pPr>
              <w:spacing w:after="0" w:line="240" w:lineRule="auto"/>
              <w:jc w:val="center"/>
              <w:rPr>
                <w:rFonts w:ascii="Calibri" w:hAnsi="Calibri" w:cs="Calibri"/>
                <w:color w:val="000000"/>
                <w:sz w:val="18"/>
                <w:szCs w:val="18"/>
                <w:lang w:eastAsia="cs-CZ"/>
              </w:rPr>
            </w:pPr>
            <w:r w:rsidRPr="004B30BC">
              <w:rPr>
                <w:rFonts w:ascii="Calibri" w:hAnsi="Calibri" w:cs="Calibri"/>
                <w:color w:val="000000"/>
                <w:sz w:val="18"/>
                <w:szCs w:val="18"/>
                <w:lang w:eastAsia="cs-CZ"/>
              </w:rPr>
              <w:t>D</w:t>
            </w:r>
          </w:p>
        </w:tc>
        <w:tc>
          <w:tcPr>
            <w:tcW w:w="841" w:type="dxa"/>
            <w:tcBorders>
              <w:top w:val="nil"/>
              <w:left w:val="nil"/>
              <w:bottom w:val="nil"/>
              <w:right w:val="nil"/>
            </w:tcBorders>
            <w:noWrap/>
            <w:vAlign w:val="center"/>
          </w:tcPr>
          <w:p w:rsidR="009D46E6" w:rsidRPr="004B30BC" w:rsidRDefault="009D46E6" w:rsidP="00866283">
            <w:pPr>
              <w:spacing w:after="0" w:line="240" w:lineRule="auto"/>
              <w:ind w:left="-272"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21 892</w:t>
            </w:r>
          </w:p>
        </w:tc>
        <w:tc>
          <w:tcPr>
            <w:tcW w:w="898" w:type="dxa"/>
            <w:tcBorders>
              <w:top w:val="nil"/>
              <w:left w:val="nil"/>
              <w:bottom w:val="nil"/>
              <w:right w:val="nil"/>
            </w:tcBorders>
            <w:noWrap/>
            <w:vAlign w:val="center"/>
          </w:tcPr>
          <w:p w:rsidR="009D46E6" w:rsidRPr="004B30BC" w:rsidRDefault="009D46E6" w:rsidP="00866283">
            <w:pPr>
              <w:spacing w:after="0" w:line="240" w:lineRule="auto"/>
              <w:ind w:left="-361"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18 568</w:t>
            </w:r>
          </w:p>
        </w:tc>
        <w:tc>
          <w:tcPr>
            <w:tcW w:w="897"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16 030</w:t>
            </w:r>
          </w:p>
        </w:tc>
        <w:tc>
          <w:tcPr>
            <w:tcW w:w="898"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15 139</w:t>
            </w:r>
          </w:p>
        </w:tc>
        <w:tc>
          <w:tcPr>
            <w:tcW w:w="897"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14 702</w:t>
            </w:r>
          </w:p>
        </w:tc>
        <w:tc>
          <w:tcPr>
            <w:tcW w:w="741"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12 632</w:t>
            </w:r>
          </w:p>
        </w:tc>
      </w:tr>
      <w:tr w:rsidR="009D46E6" w:rsidRPr="00DB1559" w:rsidTr="00786253">
        <w:trPr>
          <w:trHeight w:val="276"/>
          <w:jc w:val="center"/>
        </w:trPr>
        <w:tc>
          <w:tcPr>
            <w:tcW w:w="3963" w:type="dxa"/>
            <w:tcBorders>
              <w:top w:val="nil"/>
              <w:left w:val="nil"/>
              <w:bottom w:val="nil"/>
              <w:right w:val="nil"/>
            </w:tcBorders>
            <w:shd w:val="clear" w:color="000000" w:fill="FFE7FF"/>
            <w:vAlign w:val="center"/>
          </w:tcPr>
          <w:p w:rsidR="009D46E6" w:rsidRPr="004B30BC" w:rsidRDefault="009D46E6" w:rsidP="00866283">
            <w:pPr>
              <w:spacing w:after="0" w:line="240" w:lineRule="auto"/>
              <w:ind w:left="229"/>
              <w:jc w:val="left"/>
              <w:rPr>
                <w:rFonts w:ascii="Calibri" w:hAnsi="Calibri" w:cs="Calibri"/>
                <w:color w:val="000000"/>
                <w:sz w:val="18"/>
                <w:szCs w:val="18"/>
                <w:lang w:eastAsia="cs-CZ"/>
              </w:rPr>
            </w:pPr>
            <w:r w:rsidRPr="004B30BC">
              <w:rPr>
                <w:rFonts w:ascii="Calibri" w:hAnsi="Calibri" w:cs="Calibri"/>
                <w:color w:val="000000"/>
                <w:sz w:val="18"/>
                <w:szCs w:val="18"/>
                <w:lang w:eastAsia="cs-CZ"/>
              </w:rPr>
              <w:t>Článek v odborném periodiku</w:t>
            </w:r>
          </w:p>
        </w:tc>
        <w:tc>
          <w:tcPr>
            <w:tcW w:w="504" w:type="dxa"/>
            <w:tcBorders>
              <w:top w:val="nil"/>
              <w:left w:val="nil"/>
              <w:bottom w:val="nil"/>
              <w:right w:val="nil"/>
            </w:tcBorders>
            <w:shd w:val="clear" w:color="000000" w:fill="FFE7FF"/>
            <w:vAlign w:val="center"/>
          </w:tcPr>
          <w:p w:rsidR="009D46E6" w:rsidRPr="004B30BC" w:rsidRDefault="009D46E6" w:rsidP="00866283">
            <w:pPr>
              <w:spacing w:after="0" w:line="240" w:lineRule="auto"/>
              <w:jc w:val="center"/>
              <w:rPr>
                <w:rFonts w:ascii="Calibri" w:hAnsi="Calibri" w:cs="Calibri"/>
                <w:color w:val="000000"/>
                <w:sz w:val="18"/>
                <w:szCs w:val="18"/>
                <w:lang w:eastAsia="cs-CZ"/>
              </w:rPr>
            </w:pPr>
            <w:r w:rsidRPr="004B30BC">
              <w:rPr>
                <w:rFonts w:ascii="Calibri" w:hAnsi="Calibri" w:cs="Calibri"/>
                <w:color w:val="000000"/>
                <w:sz w:val="18"/>
                <w:szCs w:val="18"/>
                <w:lang w:eastAsia="cs-CZ"/>
              </w:rPr>
              <w:t>J</w:t>
            </w:r>
          </w:p>
        </w:tc>
        <w:tc>
          <w:tcPr>
            <w:tcW w:w="841" w:type="dxa"/>
            <w:tcBorders>
              <w:top w:val="nil"/>
              <w:left w:val="nil"/>
              <w:bottom w:val="nil"/>
              <w:right w:val="nil"/>
            </w:tcBorders>
            <w:shd w:val="clear" w:color="000000" w:fill="FFE7FF"/>
            <w:noWrap/>
            <w:vAlign w:val="center"/>
          </w:tcPr>
          <w:p w:rsidR="009D46E6" w:rsidRPr="004B30BC" w:rsidRDefault="009D46E6" w:rsidP="00866283">
            <w:pPr>
              <w:spacing w:after="0" w:line="240" w:lineRule="auto"/>
              <w:ind w:left="-272"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21 601</w:t>
            </w:r>
          </w:p>
        </w:tc>
        <w:tc>
          <w:tcPr>
            <w:tcW w:w="898" w:type="dxa"/>
            <w:tcBorders>
              <w:top w:val="nil"/>
              <w:left w:val="nil"/>
              <w:bottom w:val="nil"/>
              <w:right w:val="nil"/>
            </w:tcBorders>
            <w:shd w:val="clear" w:color="000000" w:fill="FFE7FF"/>
            <w:noWrap/>
            <w:vAlign w:val="center"/>
          </w:tcPr>
          <w:p w:rsidR="009D46E6" w:rsidRPr="004B30BC" w:rsidRDefault="009D46E6" w:rsidP="00866283">
            <w:pPr>
              <w:spacing w:after="0" w:line="240" w:lineRule="auto"/>
              <w:ind w:left="-361"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21 677</w:t>
            </w:r>
          </w:p>
        </w:tc>
        <w:tc>
          <w:tcPr>
            <w:tcW w:w="897" w:type="dxa"/>
            <w:tcBorders>
              <w:top w:val="nil"/>
              <w:left w:val="nil"/>
              <w:bottom w:val="nil"/>
              <w:right w:val="nil"/>
            </w:tcBorders>
            <w:shd w:val="clear" w:color="000000" w:fill="FFE7FF"/>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21 478</w:t>
            </w:r>
          </w:p>
        </w:tc>
        <w:tc>
          <w:tcPr>
            <w:tcW w:w="898" w:type="dxa"/>
            <w:tcBorders>
              <w:top w:val="nil"/>
              <w:left w:val="nil"/>
              <w:bottom w:val="nil"/>
              <w:right w:val="nil"/>
            </w:tcBorders>
            <w:shd w:val="clear" w:color="000000" w:fill="FFE7FF"/>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23 530</w:t>
            </w:r>
          </w:p>
        </w:tc>
        <w:tc>
          <w:tcPr>
            <w:tcW w:w="897" w:type="dxa"/>
            <w:tcBorders>
              <w:top w:val="nil"/>
              <w:left w:val="nil"/>
              <w:bottom w:val="nil"/>
              <w:right w:val="nil"/>
            </w:tcBorders>
            <w:shd w:val="clear" w:color="000000" w:fill="FFE7FF"/>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24 607</w:t>
            </w:r>
          </w:p>
        </w:tc>
        <w:tc>
          <w:tcPr>
            <w:tcW w:w="741" w:type="dxa"/>
            <w:tcBorders>
              <w:top w:val="nil"/>
              <w:left w:val="nil"/>
              <w:bottom w:val="nil"/>
              <w:right w:val="nil"/>
            </w:tcBorders>
            <w:shd w:val="clear" w:color="000000" w:fill="FFE7FF"/>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25 293</w:t>
            </w:r>
          </w:p>
        </w:tc>
      </w:tr>
      <w:tr w:rsidR="009D46E6" w:rsidRPr="00DB1559" w:rsidTr="00786253">
        <w:trPr>
          <w:trHeight w:val="276"/>
          <w:jc w:val="center"/>
        </w:trPr>
        <w:tc>
          <w:tcPr>
            <w:tcW w:w="3963" w:type="dxa"/>
            <w:tcBorders>
              <w:top w:val="nil"/>
              <w:left w:val="nil"/>
              <w:bottom w:val="nil"/>
              <w:right w:val="nil"/>
            </w:tcBorders>
            <w:noWrap/>
            <w:vAlign w:val="center"/>
          </w:tcPr>
          <w:p w:rsidR="009D46E6" w:rsidRPr="004B30BC" w:rsidRDefault="009D46E6" w:rsidP="00866283">
            <w:pPr>
              <w:spacing w:after="0" w:line="240" w:lineRule="auto"/>
              <w:ind w:left="229"/>
              <w:jc w:val="left"/>
              <w:rPr>
                <w:rFonts w:ascii="Calibri" w:hAnsi="Calibri" w:cs="Calibri"/>
                <w:i/>
                <w:iCs/>
                <w:color w:val="000000"/>
                <w:sz w:val="18"/>
                <w:szCs w:val="18"/>
                <w:lang w:eastAsia="cs-CZ"/>
              </w:rPr>
            </w:pPr>
            <w:r w:rsidRPr="004B30BC">
              <w:rPr>
                <w:rFonts w:ascii="Calibri" w:hAnsi="Calibri" w:cs="Calibri"/>
                <w:i/>
                <w:iCs/>
                <w:color w:val="000000"/>
                <w:sz w:val="18"/>
                <w:szCs w:val="18"/>
                <w:lang w:eastAsia="cs-CZ"/>
              </w:rPr>
              <w:t>Z toho:</w:t>
            </w:r>
          </w:p>
        </w:tc>
        <w:tc>
          <w:tcPr>
            <w:tcW w:w="504" w:type="dxa"/>
            <w:tcBorders>
              <w:top w:val="nil"/>
              <w:left w:val="nil"/>
              <w:bottom w:val="nil"/>
              <w:right w:val="nil"/>
            </w:tcBorders>
            <w:vAlign w:val="center"/>
          </w:tcPr>
          <w:p w:rsidR="009D46E6" w:rsidRPr="004B30BC" w:rsidRDefault="009D46E6" w:rsidP="00866283">
            <w:pPr>
              <w:spacing w:after="0" w:line="240" w:lineRule="auto"/>
              <w:jc w:val="center"/>
              <w:rPr>
                <w:rFonts w:ascii="Calibri" w:hAnsi="Calibri" w:cs="Calibri"/>
                <w:color w:val="000000"/>
                <w:sz w:val="18"/>
                <w:szCs w:val="18"/>
                <w:lang w:eastAsia="cs-CZ"/>
              </w:rPr>
            </w:pPr>
          </w:p>
        </w:tc>
        <w:tc>
          <w:tcPr>
            <w:tcW w:w="841" w:type="dxa"/>
            <w:tcBorders>
              <w:top w:val="nil"/>
              <w:left w:val="nil"/>
              <w:bottom w:val="nil"/>
              <w:right w:val="nil"/>
            </w:tcBorders>
            <w:noWrap/>
            <w:vAlign w:val="center"/>
          </w:tcPr>
          <w:p w:rsidR="009D46E6" w:rsidRPr="004B30BC" w:rsidRDefault="009D46E6" w:rsidP="00866283">
            <w:pPr>
              <w:spacing w:after="0" w:line="240" w:lineRule="auto"/>
              <w:ind w:left="-272" w:right="79"/>
              <w:jc w:val="right"/>
              <w:rPr>
                <w:rFonts w:ascii="Calibri" w:hAnsi="Calibri" w:cs="Calibri"/>
                <w:color w:val="000000"/>
                <w:sz w:val="18"/>
                <w:szCs w:val="18"/>
                <w:lang w:eastAsia="cs-CZ"/>
              </w:rPr>
            </w:pPr>
          </w:p>
        </w:tc>
        <w:tc>
          <w:tcPr>
            <w:tcW w:w="898" w:type="dxa"/>
            <w:tcBorders>
              <w:top w:val="nil"/>
              <w:left w:val="nil"/>
              <w:bottom w:val="nil"/>
              <w:right w:val="nil"/>
            </w:tcBorders>
            <w:noWrap/>
            <w:vAlign w:val="center"/>
          </w:tcPr>
          <w:p w:rsidR="009D46E6" w:rsidRPr="004B30BC" w:rsidRDefault="009D46E6" w:rsidP="00866283">
            <w:pPr>
              <w:spacing w:after="0" w:line="240" w:lineRule="auto"/>
              <w:ind w:left="-361" w:right="79"/>
              <w:jc w:val="right"/>
              <w:rPr>
                <w:rFonts w:ascii="Calibri" w:hAnsi="Calibri" w:cs="Calibri"/>
                <w:color w:val="000000"/>
                <w:sz w:val="18"/>
                <w:szCs w:val="18"/>
                <w:lang w:eastAsia="cs-CZ"/>
              </w:rPr>
            </w:pPr>
          </w:p>
        </w:tc>
        <w:tc>
          <w:tcPr>
            <w:tcW w:w="897"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p>
        </w:tc>
        <w:tc>
          <w:tcPr>
            <w:tcW w:w="898"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p>
        </w:tc>
        <w:tc>
          <w:tcPr>
            <w:tcW w:w="897"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p>
        </w:tc>
        <w:tc>
          <w:tcPr>
            <w:tcW w:w="741"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p>
        </w:tc>
      </w:tr>
      <w:tr w:rsidR="009D46E6" w:rsidRPr="00DB1559" w:rsidTr="00786253">
        <w:trPr>
          <w:trHeight w:val="276"/>
          <w:jc w:val="center"/>
        </w:trPr>
        <w:tc>
          <w:tcPr>
            <w:tcW w:w="3963" w:type="dxa"/>
            <w:tcBorders>
              <w:top w:val="nil"/>
              <w:left w:val="nil"/>
              <w:bottom w:val="nil"/>
              <w:right w:val="nil"/>
            </w:tcBorders>
            <w:vAlign w:val="center"/>
          </w:tcPr>
          <w:p w:rsidR="009D46E6" w:rsidRPr="004B30BC" w:rsidRDefault="009D46E6" w:rsidP="00866283">
            <w:pPr>
              <w:spacing w:after="0" w:line="240" w:lineRule="auto"/>
              <w:ind w:left="284"/>
              <w:jc w:val="left"/>
              <w:rPr>
                <w:rFonts w:ascii="Calibri" w:hAnsi="Calibri" w:cs="Calibri"/>
                <w:color w:val="000000"/>
                <w:sz w:val="18"/>
                <w:szCs w:val="18"/>
                <w:lang w:eastAsia="cs-CZ"/>
              </w:rPr>
            </w:pPr>
            <w:r w:rsidRPr="004B30BC">
              <w:rPr>
                <w:rFonts w:ascii="Calibri" w:hAnsi="Calibri" w:cs="Calibri"/>
                <w:color w:val="000000"/>
                <w:sz w:val="18"/>
                <w:szCs w:val="18"/>
                <w:lang w:eastAsia="cs-CZ"/>
              </w:rPr>
              <w:t>Článek v odborném impaktovaném periodiku</w:t>
            </w:r>
          </w:p>
        </w:tc>
        <w:tc>
          <w:tcPr>
            <w:tcW w:w="504" w:type="dxa"/>
            <w:tcBorders>
              <w:top w:val="nil"/>
              <w:left w:val="nil"/>
              <w:bottom w:val="nil"/>
              <w:right w:val="nil"/>
            </w:tcBorders>
            <w:vAlign w:val="center"/>
          </w:tcPr>
          <w:p w:rsidR="009D46E6" w:rsidRPr="004B30BC" w:rsidRDefault="009D46E6" w:rsidP="00866283">
            <w:pPr>
              <w:spacing w:after="0" w:line="240" w:lineRule="auto"/>
              <w:jc w:val="center"/>
              <w:rPr>
                <w:rFonts w:ascii="Calibri" w:hAnsi="Calibri" w:cs="Calibri"/>
                <w:color w:val="000000"/>
                <w:sz w:val="18"/>
                <w:szCs w:val="18"/>
                <w:lang w:eastAsia="cs-CZ"/>
              </w:rPr>
            </w:pPr>
            <w:r w:rsidRPr="004B30BC">
              <w:rPr>
                <w:rFonts w:ascii="Calibri" w:hAnsi="Calibri" w:cs="Calibri"/>
                <w:color w:val="000000"/>
                <w:sz w:val="18"/>
                <w:szCs w:val="18"/>
                <w:lang w:eastAsia="cs-CZ"/>
              </w:rPr>
              <w:t>J</w:t>
            </w:r>
            <w:r w:rsidRPr="004B30BC">
              <w:rPr>
                <w:rFonts w:ascii="Calibri" w:hAnsi="Calibri" w:cs="Calibri"/>
                <w:color w:val="000000"/>
                <w:sz w:val="18"/>
                <w:szCs w:val="18"/>
                <w:vertAlign w:val="subscript"/>
                <w:lang w:eastAsia="cs-CZ"/>
              </w:rPr>
              <w:t>imp</w:t>
            </w:r>
          </w:p>
        </w:tc>
        <w:tc>
          <w:tcPr>
            <w:tcW w:w="841" w:type="dxa"/>
            <w:tcBorders>
              <w:top w:val="nil"/>
              <w:left w:val="nil"/>
              <w:bottom w:val="nil"/>
              <w:right w:val="nil"/>
            </w:tcBorders>
            <w:vAlign w:val="center"/>
          </w:tcPr>
          <w:p w:rsidR="009D46E6" w:rsidRPr="004B30BC" w:rsidRDefault="009D46E6" w:rsidP="00866283">
            <w:pPr>
              <w:spacing w:after="0" w:line="240" w:lineRule="auto"/>
              <w:ind w:left="-272"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8 985</w:t>
            </w:r>
          </w:p>
        </w:tc>
        <w:tc>
          <w:tcPr>
            <w:tcW w:w="898" w:type="dxa"/>
            <w:tcBorders>
              <w:top w:val="nil"/>
              <w:left w:val="nil"/>
              <w:bottom w:val="nil"/>
              <w:right w:val="nil"/>
            </w:tcBorders>
            <w:vAlign w:val="center"/>
          </w:tcPr>
          <w:p w:rsidR="009D46E6" w:rsidRPr="004B30BC" w:rsidRDefault="009D46E6" w:rsidP="00866283">
            <w:pPr>
              <w:spacing w:after="0" w:line="240" w:lineRule="auto"/>
              <w:ind w:left="-361"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9 104</w:t>
            </w:r>
          </w:p>
        </w:tc>
        <w:tc>
          <w:tcPr>
            <w:tcW w:w="897"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9 145</w:t>
            </w:r>
          </w:p>
        </w:tc>
        <w:tc>
          <w:tcPr>
            <w:tcW w:w="898"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10 090</w:t>
            </w:r>
          </w:p>
        </w:tc>
        <w:tc>
          <w:tcPr>
            <w:tcW w:w="897"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10 380</w:t>
            </w:r>
          </w:p>
        </w:tc>
        <w:tc>
          <w:tcPr>
            <w:tcW w:w="741"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11 613</w:t>
            </w:r>
          </w:p>
        </w:tc>
      </w:tr>
      <w:tr w:rsidR="009D46E6" w:rsidRPr="00DB1559" w:rsidTr="00786253">
        <w:trPr>
          <w:trHeight w:val="552"/>
          <w:jc w:val="center"/>
        </w:trPr>
        <w:tc>
          <w:tcPr>
            <w:tcW w:w="3963" w:type="dxa"/>
            <w:tcBorders>
              <w:top w:val="nil"/>
              <w:left w:val="nil"/>
              <w:bottom w:val="nil"/>
              <w:right w:val="nil"/>
            </w:tcBorders>
            <w:shd w:val="clear" w:color="000000" w:fill="CC99FF"/>
            <w:vAlign w:val="center"/>
          </w:tcPr>
          <w:p w:rsidR="009D46E6" w:rsidRPr="004B30BC" w:rsidRDefault="009D46E6" w:rsidP="00866283">
            <w:pPr>
              <w:spacing w:after="0" w:line="240" w:lineRule="auto"/>
              <w:jc w:val="lef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Poloprovoz, ověřená technologie (uplatněná ve výrobě atd.), odrůda resp. plemeno</w:t>
            </w:r>
          </w:p>
        </w:tc>
        <w:tc>
          <w:tcPr>
            <w:tcW w:w="504" w:type="dxa"/>
            <w:tcBorders>
              <w:top w:val="nil"/>
              <w:left w:val="nil"/>
              <w:bottom w:val="nil"/>
              <w:right w:val="nil"/>
            </w:tcBorders>
            <w:shd w:val="clear" w:color="000000" w:fill="CC99FF"/>
            <w:vAlign w:val="center"/>
          </w:tcPr>
          <w:p w:rsidR="009D46E6" w:rsidRPr="004B30BC" w:rsidRDefault="009D46E6" w:rsidP="00866283">
            <w:pPr>
              <w:spacing w:after="0" w:line="240" w:lineRule="auto"/>
              <w:jc w:val="center"/>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Z</w:t>
            </w:r>
          </w:p>
        </w:tc>
        <w:tc>
          <w:tcPr>
            <w:tcW w:w="841" w:type="dxa"/>
            <w:tcBorders>
              <w:top w:val="nil"/>
              <w:left w:val="nil"/>
              <w:bottom w:val="nil"/>
              <w:right w:val="nil"/>
            </w:tcBorders>
            <w:shd w:val="clear" w:color="000000" w:fill="CC99FF"/>
            <w:noWrap/>
            <w:vAlign w:val="center"/>
          </w:tcPr>
          <w:p w:rsidR="009D46E6" w:rsidRPr="004B30BC" w:rsidRDefault="009D46E6" w:rsidP="00866283">
            <w:pPr>
              <w:spacing w:after="0" w:line="240" w:lineRule="auto"/>
              <w:ind w:left="-272"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305</w:t>
            </w:r>
          </w:p>
        </w:tc>
        <w:tc>
          <w:tcPr>
            <w:tcW w:w="898" w:type="dxa"/>
            <w:tcBorders>
              <w:top w:val="nil"/>
              <w:left w:val="nil"/>
              <w:bottom w:val="nil"/>
              <w:right w:val="nil"/>
            </w:tcBorders>
            <w:shd w:val="clear" w:color="000000" w:fill="CC99FF"/>
            <w:noWrap/>
            <w:vAlign w:val="center"/>
          </w:tcPr>
          <w:p w:rsidR="009D46E6" w:rsidRPr="004B30BC" w:rsidRDefault="009D46E6" w:rsidP="00866283">
            <w:pPr>
              <w:spacing w:after="0" w:line="240" w:lineRule="auto"/>
              <w:ind w:left="-361"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452</w:t>
            </w:r>
          </w:p>
        </w:tc>
        <w:tc>
          <w:tcPr>
            <w:tcW w:w="897" w:type="dxa"/>
            <w:tcBorders>
              <w:top w:val="nil"/>
              <w:left w:val="nil"/>
              <w:bottom w:val="nil"/>
              <w:right w:val="nil"/>
            </w:tcBorders>
            <w:shd w:val="clear" w:color="000000" w:fill="CC99FF"/>
            <w:noWrap/>
            <w:vAlign w:val="center"/>
          </w:tcPr>
          <w:p w:rsidR="009D46E6" w:rsidRPr="004B30BC" w:rsidRDefault="009D46E6" w:rsidP="00866283">
            <w:pPr>
              <w:spacing w:after="0" w:line="240" w:lineRule="auto"/>
              <w:ind w:left="-219"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573</w:t>
            </w:r>
          </w:p>
        </w:tc>
        <w:tc>
          <w:tcPr>
            <w:tcW w:w="898" w:type="dxa"/>
            <w:tcBorders>
              <w:top w:val="nil"/>
              <w:left w:val="nil"/>
              <w:bottom w:val="nil"/>
              <w:right w:val="nil"/>
            </w:tcBorders>
            <w:shd w:val="clear" w:color="000000" w:fill="CC99FF"/>
            <w:noWrap/>
            <w:vAlign w:val="center"/>
          </w:tcPr>
          <w:p w:rsidR="009D46E6" w:rsidRPr="004B30BC" w:rsidRDefault="009D46E6" w:rsidP="00866283">
            <w:pPr>
              <w:spacing w:after="0" w:line="240" w:lineRule="auto"/>
              <w:ind w:left="-219"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462</w:t>
            </w:r>
          </w:p>
        </w:tc>
        <w:tc>
          <w:tcPr>
            <w:tcW w:w="897" w:type="dxa"/>
            <w:tcBorders>
              <w:top w:val="nil"/>
              <w:left w:val="nil"/>
              <w:bottom w:val="nil"/>
              <w:right w:val="nil"/>
            </w:tcBorders>
            <w:shd w:val="clear" w:color="000000" w:fill="CC99FF"/>
            <w:noWrap/>
            <w:vAlign w:val="center"/>
          </w:tcPr>
          <w:p w:rsidR="009D46E6" w:rsidRPr="004B30BC" w:rsidRDefault="009D46E6" w:rsidP="00866283">
            <w:pPr>
              <w:spacing w:after="0" w:line="240" w:lineRule="auto"/>
              <w:ind w:left="-219"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459</w:t>
            </w:r>
          </w:p>
        </w:tc>
        <w:tc>
          <w:tcPr>
            <w:tcW w:w="741" w:type="dxa"/>
            <w:tcBorders>
              <w:top w:val="nil"/>
              <w:left w:val="nil"/>
              <w:bottom w:val="nil"/>
              <w:right w:val="nil"/>
            </w:tcBorders>
            <w:shd w:val="clear" w:color="000000" w:fill="CC99FF"/>
            <w:noWrap/>
            <w:vAlign w:val="center"/>
          </w:tcPr>
          <w:p w:rsidR="009D46E6" w:rsidRPr="004B30BC" w:rsidRDefault="009D46E6" w:rsidP="00866283">
            <w:pPr>
              <w:spacing w:after="0" w:line="240" w:lineRule="auto"/>
              <w:ind w:left="-219"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403</w:t>
            </w:r>
          </w:p>
        </w:tc>
      </w:tr>
      <w:tr w:rsidR="009D46E6" w:rsidRPr="00DB1559" w:rsidTr="00786253">
        <w:trPr>
          <w:trHeight w:val="276"/>
          <w:jc w:val="center"/>
        </w:trPr>
        <w:tc>
          <w:tcPr>
            <w:tcW w:w="3963" w:type="dxa"/>
            <w:tcBorders>
              <w:top w:val="nil"/>
              <w:left w:val="nil"/>
              <w:bottom w:val="nil"/>
              <w:right w:val="nil"/>
            </w:tcBorders>
            <w:shd w:val="clear" w:color="000000" w:fill="E1C3FF"/>
            <w:vAlign w:val="center"/>
          </w:tcPr>
          <w:p w:rsidR="009D46E6" w:rsidRPr="004B30BC" w:rsidRDefault="009D46E6" w:rsidP="00866283">
            <w:pPr>
              <w:spacing w:after="0" w:line="240" w:lineRule="auto"/>
              <w:jc w:val="lef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Patent</w:t>
            </w:r>
          </w:p>
        </w:tc>
        <w:tc>
          <w:tcPr>
            <w:tcW w:w="504" w:type="dxa"/>
            <w:tcBorders>
              <w:top w:val="nil"/>
              <w:left w:val="nil"/>
              <w:bottom w:val="nil"/>
              <w:right w:val="nil"/>
            </w:tcBorders>
            <w:shd w:val="clear" w:color="000000" w:fill="E1C3FF"/>
            <w:vAlign w:val="center"/>
          </w:tcPr>
          <w:p w:rsidR="009D46E6" w:rsidRPr="004B30BC" w:rsidRDefault="009D46E6" w:rsidP="00866283">
            <w:pPr>
              <w:spacing w:after="0" w:line="240" w:lineRule="auto"/>
              <w:jc w:val="center"/>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P</w:t>
            </w:r>
          </w:p>
        </w:tc>
        <w:tc>
          <w:tcPr>
            <w:tcW w:w="841" w:type="dxa"/>
            <w:tcBorders>
              <w:top w:val="nil"/>
              <w:left w:val="nil"/>
              <w:bottom w:val="nil"/>
              <w:right w:val="nil"/>
            </w:tcBorders>
            <w:shd w:val="clear" w:color="000000" w:fill="E1C3FF"/>
            <w:vAlign w:val="center"/>
          </w:tcPr>
          <w:p w:rsidR="009D46E6" w:rsidRPr="004B30BC" w:rsidRDefault="009D46E6" w:rsidP="00866283">
            <w:pPr>
              <w:spacing w:after="0" w:line="240" w:lineRule="auto"/>
              <w:ind w:left="-272"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55</w:t>
            </w:r>
          </w:p>
        </w:tc>
        <w:tc>
          <w:tcPr>
            <w:tcW w:w="898" w:type="dxa"/>
            <w:tcBorders>
              <w:top w:val="nil"/>
              <w:left w:val="nil"/>
              <w:bottom w:val="nil"/>
              <w:right w:val="nil"/>
            </w:tcBorders>
            <w:shd w:val="clear" w:color="000000" w:fill="E1C3FF"/>
            <w:vAlign w:val="center"/>
          </w:tcPr>
          <w:p w:rsidR="009D46E6" w:rsidRPr="004B30BC" w:rsidRDefault="009D46E6" w:rsidP="00866283">
            <w:pPr>
              <w:spacing w:after="0" w:line="240" w:lineRule="auto"/>
              <w:ind w:left="-361"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85</w:t>
            </w:r>
          </w:p>
        </w:tc>
        <w:tc>
          <w:tcPr>
            <w:tcW w:w="897" w:type="dxa"/>
            <w:tcBorders>
              <w:top w:val="nil"/>
              <w:left w:val="nil"/>
              <w:bottom w:val="nil"/>
              <w:right w:val="nil"/>
            </w:tcBorders>
            <w:shd w:val="clear" w:color="000000" w:fill="E1C3FF"/>
            <w:vAlign w:val="center"/>
          </w:tcPr>
          <w:p w:rsidR="009D46E6" w:rsidRPr="004B30BC" w:rsidRDefault="009D46E6" w:rsidP="00866283">
            <w:pPr>
              <w:spacing w:after="0" w:line="240" w:lineRule="auto"/>
              <w:ind w:left="-219"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144</w:t>
            </w:r>
          </w:p>
        </w:tc>
        <w:tc>
          <w:tcPr>
            <w:tcW w:w="898" w:type="dxa"/>
            <w:tcBorders>
              <w:top w:val="nil"/>
              <w:left w:val="nil"/>
              <w:bottom w:val="nil"/>
              <w:right w:val="nil"/>
            </w:tcBorders>
            <w:shd w:val="clear" w:color="000000" w:fill="E1C3FF"/>
            <w:vAlign w:val="center"/>
          </w:tcPr>
          <w:p w:rsidR="009D46E6" w:rsidRPr="004B30BC" w:rsidRDefault="009D46E6" w:rsidP="00866283">
            <w:pPr>
              <w:spacing w:after="0" w:line="240" w:lineRule="auto"/>
              <w:ind w:left="-219"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162</w:t>
            </w:r>
          </w:p>
        </w:tc>
        <w:tc>
          <w:tcPr>
            <w:tcW w:w="897" w:type="dxa"/>
            <w:tcBorders>
              <w:top w:val="nil"/>
              <w:left w:val="nil"/>
              <w:bottom w:val="nil"/>
              <w:right w:val="nil"/>
            </w:tcBorders>
            <w:shd w:val="clear" w:color="000000" w:fill="E1C3FF"/>
            <w:vAlign w:val="center"/>
          </w:tcPr>
          <w:p w:rsidR="009D46E6" w:rsidRPr="004B30BC" w:rsidRDefault="009D46E6" w:rsidP="00866283">
            <w:pPr>
              <w:spacing w:after="0" w:line="240" w:lineRule="auto"/>
              <w:ind w:left="-219"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198</w:t>
            </w:r>
          </w:p>
        </w:tc>
        <w:tc>
          <w:tcPr>
            <w:tcW w:w="741" w:type="dxa"/>
            <w:tcBorders>
              <w:top w:val="nil"/>
              <w:left w:val="nil"/>
              <w:bottom w:val="nil"/>
              <w:right w:val="nil"/>
            </w:tcBorders>
            <w:shd w:val="clear" w:color="000000" w:fill="E1C3FF"/>
            <w:vAlign w:val="center"/>
          </w:tcPr>
          <w:p w:rsidR="009D46E6" w:rsidRPr="004B30BC" w:rsidRDefault="009D46E6" w:rsidP="00866283">
            <w:pPr>
              <w:spacing w:after="0" w:line="240" w:lineRule="auto"/>
              <w:ind w:left="-219"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240</w:t>
            </w:r>
          </w:p>
        </w:tc>
      </w:tr>
    </w:tbl>
    <w:p w:rsidR="009D46E6" w:rsidRDefault="009D46E6">
      <w:r>
        <w:br w:type="page"/>
      </w:r>
    </w:p>
    <w:tbl>
      <w:tblPr>
        <w:tblW w:w="9639" w:type="dxa"/>
        <w:jc w:val="center"/>
        <w:tblCellMar>
          <w:left w:w="70" w:type="dxa"/>
          <w:right w:w="70" w:type="dxa"/>
        </w:tblCellMar>
        <w:tblLook w:val="00A0"/>
      </w:tblPr>
      <w:tblGrid>
        <w:gridCol w:w="3963"/>
        <w:gridCol w:w="504"/>
        <w:gridCol w:w="841"/>
        <w:gridCol w:w="898"/>
        <w:gridCol w:w="897"/>
        <w:gridCol w:w="898"/>
        <w:gridCol w:w="897"/>
        <w:gridCol w:w="741"/>
      </w:tblGrid>
      <w:tr w:rsidR="009D46E6" w:rsidRPr="00DB1559" w:rsidTr="00786253">
        <w:trPr>
          <w:trHeight w:val="276"/>
          <w:jc w:val="center"/>
        </w:trPr>
        <w:tc>
          <w:tcPr>
            <w:tcW w:w="3963" w:type="dxa"/>
            <w:tcBorders>
              <w:top w:val="nil"/>
              <w:left w:val="nil"/>
              <w:bottom w:val="nil"/>
              <w:right w:val="nil"/>
            </w:tcBorders>
            <w:shd w:val="clear" w:color="000000" w:fill="CC99FF"/>
            <w:noWrap/>
            <w:vAlign w:val="center"/>
          </w:tcPr>
          <w:p w:rsidR="009D46E6" w:rsidRPr="004B30BC" w:rsidRDefault="009D46E6" w:rsidP="00866283">
            <w:pPr>
              <w:spacing w:after="0" w:line="240" w:lineRule="auto"/>
              <w:jc w:val="lef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 xml:space="preserve">Další aplikované výstupy celkem (F + G + N + R) </w:t>
            </w:r>
          </w:p>
        </w:tc>
        <w:tc>
          <w:tcPr>
            <w:tcW w:w="504" w:type="dxa"/>
            <w:tcBorders>
              <w:top w:val="nil"/>
              <w:left w:val="nil"/>
              <w:bottom w:val="nil"/>
              <w:right w:val="nil"/>
            </w:tcBorders>
            <w:shd w:val="clear" w:color="000000" w:fill="CC99FF"/>
            <w:noWrap/>
            <w:vAlign w:val="center"/>
          </w:tcPr>
          <w:p w:rsidR="009D46E6" w:rsidRPr="004B30BC" w:rsidRDefault="009D46E6" w:rsidP="00866283">
            <w:pPr>
              <w:spacing w:after="0" w:line="240" w:lineRule="auto"/>
              <w:jc w:val="center"/>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 </w:t>
            </w:r>
          </w:p>
        </w:tc>
        <w:tc>
          <w:tcPr>
            <w:tcW w:w="841" w:type="dxa"/>
            <w:tcBorders>
              <w:top w:val="nil"/>
              <w:left w:val="nil"/>
              <w:bottom w:val="nil"/>
              <w:right w:val="nil"/>
            </w:tcBorders>
            <w:shd w:val="clear" w:color="000000" w:fill="CC99FF"/>
            <w:noWrap/>
            <w:vAlign w:val="center"/>
          </w:tcPr>
          <w:p w:rsidR="009D46E6" w:rsidRPr="004B30BC" w:rsidRDefault="009D46E6" w:rsidP="00866283">
            <w:pPr>
              <w:spacing w:after="0" w:line="240" w:lineRule="auto"/>
              <w:ind w:left="-272"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2 410</w:t>
            </w:r>
          </w:p>
        </w:tc>
        <w:tc>
          <w:tcPr>
            <w:tcW w:w="898" w:type="dxa"/>
            <w:tcBorders>
              <w:top w:val="nil"/>
              <w:left w:val="nil"/>
              <w:bottom w:val="nil"/>
              <w:right w:val="nil"/>
            </w:tcBorders>
            <w:shd w:val="clear" w:color="000000" w:fill="CC99FF"/>
            <w:noWrap/>
            <w:vAlign w:val="center"/>
          </w:tcPr>
          <w:p w:rsidR="009D46E6" w:rsidRPr="004B30BC" w:rsidRDefault="009D46E6" w:rsidP="00866283">
            <w:pPr>
              <w:spacing w:after="0" w:line="240" w:lineRule="auto"/>
              <w:ind w:left="-361"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2 705</w:t>
            </w:r>
          </w:p>
        </w:tc>
        <w:tc>
          <w:tcPr>
            <w:tcW w:w="897" w:type="dxa"/>
            <w:tcBorders>
              <w:top w:val="nil"/>
              <w:left w:val="nil"/>
              <w:bottom w:val="nil"/>
              <w:right w:val="nil"/>
            </w:tcBorders>
            <w:shd w:val="clear" w:color="000000" w:fill="CC99FF"/>
            <w:noWrap/>
            <w:vAlign w:val="center"/>
          </w:tcPr>
          <w:p w:rsidR="009D46E6" w:rsidRPr="004B30BC" w:rsidRDefault="009D46E6" w:rsidP="00866283">
            <w:pPr>
              <w:spacing w:after="0" w:line="240" w:lineRule="auto"/>
              <w:ind w:left="-219"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3 860</w:t>
            </w:r>
          </w:p>
        </w:tc>
        <w:tc>
          <w:tcPr>
            <w:tcW w:w="898" w:type="dxa"/>
            <w:tcBorders>
              <w:top w:val="nil"/>
              <w:left w:val="nil"/>
              <w:bottom w:val="nil"/>
              <w:right w:val="nil"/>
            </w:tcBorders>
            <w:shd w:val="clear" w:color="000000" w:fill="CC99FF"/>
            <w:noWrap/>
            <w:vAlign w:val="center"/>
          </w:tcPr>
          <w:p w:rsidR="009D46E6" w:rsidRPr="004B30BC" w:rsidRDefault="009D46E6" w:rsidP="00866283">
            <w:pPr>
              <w:spacing w:after="0" w:line="240" w:lineRule="auto"/>
              <w:ind w:left="-219"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4 372</w:t>
            </w:r>
          </w:p>
        </w:tc>
        <w:tc>
          <w:tcPr>
            <w:tcW w:w="897" w:type="dxa"/>
            <w:tcBorders>
              <w:top w:val="nil"/>
              <w:left w:val="nil"/>
              <w:bottom w:val="nil"/>
              <w:right w:val="nil"/>
            </w:tcBorders>
            <w:shd w:val="clear" w:color="000000" w:fill="CC99FF"/>
            <w:noWrap/>
            <w:vAlign w:val="center"/>
          </w:tcPr>
          <w:p w:rsidR="009D46E6" w:rsidRPr="004B30BC" w:rsidRDefault="009D46E6" w:rsidP="00866283">
            <w:pPr>
              <w:spacing w:after="0" w:line="240" w:lineRule="auto"/>
              <w:ind w:left="-219"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4 976</w:t>
            </w:r>
          </w:p>
        </w:tc>
        <w:tc>
          <w:tcPr>
            <w:tcW w:w="741" w:type="dxa"/>
            <w:tcBorders>
              <w:top w:val="nil"/>
              <w:left w:val="nil"/>
              <w:bottom w:val="nil"/>
              <w:right w:val="nil"/>
            </w:tcBorders>
            <w:shd w:val="clear" w:color="000000" w:fill="CC99FF"/>
            <w:noWrap/>
            <w:vAlign w:val="center"/>
          </w:tcPr>
          <w:p w:rsidR="009D46E6" w:rsidRPr="004B30BC" w:rsidRDefault="009D46E6" w:rsidP="00866283">
            <w:pPr>
              <w:spacing w:after="0" w:line="240" w:lineRule="auto"/>
              <w:ind w:left="-219"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5 992</w:t>
            </w:r>
          </w:p>
        </w:tc>
      </w:tr>
      <w:tr w:rsidR="009D46E6" w:rsidRPr="00DB1559" w:rsidTr="00786253">
        <w:trPr>
          <w:trHeight w:val="276"/>
          <w:jc w:val="center"/>
        </w:trPr>
        <w:tc>
          <w:tcPr>
            <w:tcW w:w="3963" w:type="dxa"/>
            <w:tcBorders>
              <w:top w:val="nil"/>
              <w:left w:val="nil"/>
              <w:bottom w:val="nil"/>
              <w:right w:val="nil"/>
            </w:tcBorders>
            <w:noWrap/>
            <w:vAlign w:val="center"/>
          </w:tcPr>
          <w:p w:rsidR="009D46E6" w:rsidRPr="004B30BC" w:rsidRDefault="009D46E6" w:rsidP="00866283">
            <w:pPr>
              <w:spacing w:after="0" w:line="240" w:lineRule="auto"/>
              <w:jc w:val="left"/>
              <w:rPr>
                <w:rFonts w:ascii="Calibri" w:hAnsi="Calibri" w:cs="Calibri"/>
                <w:i/>
                <w:iCs/>
                <w:color w:val="000000"/>
                <w:sz w:val="18"/>
                <w:szCs w:val="18"/>
                <w:lang w:eastAsia="cs-CZ"/>
              </w:rPr>
            </w:pPr>
            <w:r w:rsidRPr="004B30BC">
              <w:rPr>
                <w:rFonts w:ascii="Calibri" w:hAnsi="Calibri" w:cs="Calibri"/>
                <w:i/>
                <w:iCs/>
                <w:color w:val="000000"/>
                <w:sz w:val="18"/>
                <w:szCs w:val="18"/>
                <w:lang w:eastAsia="cs-CZ"/>
              </w:rPr>
              <w:t>Z toho:</w:t>
            </w:r>
          </w:p>
        </w:tc>
        <w:tc>
          <w:tcPr>
            <w:tcW w:w="504" w:type="dxa"/>
            <w:tcBorders>
              <w:top w:val="nil"/>
              <w:left w:val="nil"/>
              <w:bottom w:val="nil"/>
              <w:right w:val="nil"/>
            </w:tcBorders>
            <w:noWrap/>
            <w:vAlign w:val="bottom"/>
          </w:tcPr>
          <w:p w:rsidR="009D46E6" w:rsidRPr="004B30BC" w:rsidRDefault="009D46E6" w:rsidP="00866283">
            <w:pPr>
              <w:spacing w:after="0" w:line="240" w:lineRule="auto"/>
              <w:jc w:val="center"/>
              <w:rPr>
                <w:rFonts w:ascii="Calibri" w:hAnsi="Calibri" w:cs="Calibri"/>
                <w:color w:val="000000"/>
                <w:sz w:val="18"/>
                <w:szCs w:val="18"/>
                <w:lang w:eastAsia="cs-CZ"/>
              </w:rPr>
            </w:pPr>
          </w:p>
        </w:tc>
        <w:tc>
          <w:tcPr>
            <w:tcW w:w="841" w:type="dxa"/>
            <w:tcBorders>
              <w:top w:val="nil"/>
              <w:left w:val="nil"/>
              <w:bottom w:val="nil"/>
              <w:right w:val="nil"/>
            </w:tcBorders>
            <w:noWrap/>
            <w:vAlign w:val="bottom"/>
          </w:tcPr>
          <w:p w:rsidR="009D46E6" w:rsidRPr="004B30BC" w:rsidRDefault="009D46E6" w:rsidP="00866283">
            <w:pPr>
              <w:spacing w:after="0" w:line="240" w:lineRule="auto"/>
              <w:ind w:left="-272" w:right="79"/>
              <w:jc w:val="left"/>
              <w:rPr>
                <w:rFonts w:ascii="Calibri" w:hAnsi="Calibri" w:cs="Calibri"/>
                <w:color w:val="000000"/>
                <w:sz w:val="18"/>
                <w:szCs w:val="18"/>
                <w:lang w:eastAsia="cs-CZ"/>
              </w:rPr>
            </w:pPr>
          </w:p>
        </w:tc>
        <w:tc>
          <w:tcPr>
            <w:tcW w:w="898" w:type="dxa"/>
            <w:tcBorders>
              <w:top w:val="nil"/>
              <w:left w:val="nil"/>
              <w:bottom w:val="nil"/>
              <w:right w:val="nil"/>
            </w:tcBorders>
            <w:noWrap/>
            <w:vAlign w:val="bottom"/>
          </w:tcPr>
          <w:p w:rsidR="009D46E6" w:rsidRPr="004B30BC" w:rsidRDefault="009D46E6" w:rsidP="00866283">
            <w:pPr>
              <w:spacing w:after="0" w:line="240" w:lineRule="auto"/>
              <w:ind w:left="-361" w:right="79"/>
              <w:jc w:val="left"/>
              <w:rPr>
                <w:rFonts w:ascii="Calibri" w:hAnsi="Calibri" w:cs="Calibri"/>
                <w:color w:val="000000"/>
                <w:sz w:val="18"/>
                <w:szCs w:val="18"/>
                <w:lang w:eastAsia="cs-CZ"/>
              </w:rPr>
            </w:pPr>
          </w:p>
        </w:tc>
        <w:tc>
          <w:tcPr>
            <w:tcW w:w="897" w:type="dxa"/>
            <w:tcBorders>
              <w:top w:val="nil"/>
              <w:left w:val="nil"/>
              <w:bottom w:val="nil"/>
              <w:right w:val="nil"/>
            </w:tcBorders>
            <w:noWrap/>
            <w:vAlign w:val="bottom"/>
          </w:tcPr>
          <w:p w:rsidR="009D46E6" w:rsidRPr="004B30BC" w:rsidRDefault="009D46E6" w:rsidP="00866283">
            <w:pPr>
              <w:spacing w:after="0" w:line="240" w:lineRule="auto"/>
              <w:ind w:left="-219" w:right="79"/>
              <w:jc w:val="left"/>
              <w:rPr>
                <w:rFonts w:ascii="Calibri" w:hAnsi="Calibri" w:cs="Calibri"/>
                <w:color w:val="000000"/>
                <w:sz w:val="18"/>
                <w:szCs w:val="18"/>
                <w:lang w:eastAsia="cs-CZ"/>
              </w:rPr>
            </w:pPr>
          </w:p>
        </w:tc>
        <w:tc>
          <w:tcPr>
            <w:tcW w:w="898" w:type="dxa"/>
            <w:tcBorders>
              <w:top w:val="nil"/>
              <w:left w:val="nil"/>
              <w:bottom w:val="nil"/>
              <w:right w:val="nil"/>
            </w:tcBorders>
            <w:noWrap/>
            <w:vAlign w:val="bottom"/>
          </w:tcPr>
          <w:p w:rsidR="009D46E6" w:rsidRPr="004B30BC" w:rsidRDefault="009D46E6" w:rsidP="00866283">
            <w:pPr>
              <w:spacing w:after="0" w:line="240" w:lineRule="auto"/>
              <w:ind w:left="-219" w:right="79"/>
              <w:jc w:val="left"/>
              <w:rPr>
                <w:rFonts w:ascii="Calibri" w:hAnsi="Calibri" w:cs="Calibri"/>
                <w:color w:val="000000"/>
                <w:sz w:val="18"/>
                <w:szCs w:val="18"/>
                <w:lang w:eastAsia="cs-CZ"/>
              </w:rPr>
            </w:pPr>
          </w:p>
        </w:tc>
        <w:tc>
          <w:tcPr>
            <w:tcW w:w="897" w:type="dxa"/>
            <w:tcBorders>
              <w:top w:val="nil"/>
              <w:left w:val="nil"/>
              <w:bottom w:val="nil"/>
              <w:right w:val="nil"/>
            </w:tcBorders>
            <w:noWrap/>
            <w:vAlign w:val="bottom"/>
          </w:tcPr>
          <w:p w:rsidR="009D46E6" w:rsidRPr="004B30BC" w:rsidRDefault="009D46E6" w:rsidP="00866283">
            <w:pPr>
              <w:spacing w:after="0" w:line="240" w:lineRule="auto"/>
              <w:ind w:left="-219" w:right="79"/>
              <w:jc w:val="left"/>
              <w:rPr>
                <w:rFonts w:ascii="Calibri" w:hAnsi="Calibri" w:cs="Calibri"/>
                <w:color w:val="000000"/>
                <w:sz w:val="18"/>
                <w:szCs w:val="18"/>
                <w:lang w:eastAsia="cs-CZ"/>
              </w:rPr>
            </w:pPr>
          </w:p>
        </w:tc>
        <w:tc>
          <w:tcPr>
            <w:tcW w:w="741" w:type="dxa"/>
            <w:tcBorders>
              <w:top w:val="nil"/>
              <w:left w:val="nil"/>
              <w:bottom w:val="nil"/>
              <w:right w:val="nil"/>
            </w:tcBorders>
            <w:noWrap/>
            <w:vAlign w:val="bottom"/>
          </w:tcPr>
          <w:p w:rsidR="009D46E6" w:rsidRPr="004B30BC" w:rsidRDefault="009D46E6" w:rsidP="00866283">
            <w:pPr>
              <w:spacing w:after="0" w:line="240" w:lineRule="auto"/>
              <w:ind w:left="-219" w:right="79"/>
              <w:jc w:val="left"/>
              <w:rPr>
                <w:rFonts w:ascii="Calibri" w:hAnsi="Calibri" w:cs="Calibri"/>
                <w:color w:val="000000"/>
                <w:sz w:val="18"/>
                <w:szCs w:val="18"/>
                <w:lang w:eastAsia="cs-CZ"/>
              </w:rPr>
            </w:pPr>
          </w:p>
        </w:tc>
      </w:tr>
      <w:tr w:rsidR="009D46E6" w:rsidRPr="00DB1559" w:rsidTr="00786253">
        <w:trPr>
          <w:trHeight w:val="276"/>
          <w:jc w:val="center"/>
        </w:trPr>
        <w:tc>
          <w:tcPr>
            <w:tcW w:w="3963" w:type="dxa"/>
            <w:tcBorders>
              <w:top w:val="nil"/>
              <w:left w:val="nil"/>
              <w:bottom w:val="nil"/>
              <w:right w:val="nil"/>
            </w:tcBorders>
            <w:vAlign w:val="center"/>
          </w:tcPr>
          <w:p w:rsidR="009D46E6" w:rsidRPr="004B30BC" w:rsidRDefault="009D46E6" w:rsidP="00866283">
            <w:pPr>
              <w:spacing w:after="0" w:line="240" w:lineRule="auto"/>
              <w:ind w:left="229"/>
              <w:jc w:val="left"/>
              <w:rPr>
                <w:rFonts w:ascii="Calibri" w:hAnsi="Calibri" w:cs="Calibri"/>
                <w:color w:val="000000"/>
                <w:sz w:val="18"/>
                <w:szCs w:val="18"/>
                <w:lang w:eastAsia="cs-CZ"/>
              </w:rPr>
            </w:pPr>
            <w:r w:rsidRPr="004B30BC">
              <w:rPr>
                <w:rFonts w:ascii="Calibri" w:hAnsi="Calibri" w:cs="Calibri"/>
                <w:color w:val="000000"/>
                <w:sz w:val="18"/>
                <w:szCs w:val="18"/>
                <w:lang w:eastAsia="cs-CZ"/>
              </w:rPr>
              <w:t>Výsledky s právní ochranou (užitný vzor, průmyslový vzor)</w:t>
            </w:r>
          </w:p>
        </w:tc>
        <w:tc>
          <w:tcPr>
            <w:tcW w:w="504" w:type="dxa"/>
            <w:tcBorders>
              <w:top w:val="nil"/>
              <w:left w:val="nil"/>
              <w:bottom w:val="nil"/>
              <w:right w:val="nil"/>
            </w:tcBorders>
            <w:vAlign w:val="center"/>
          </w:tcPr>
          <w:p w:rsidR="009D46E6" w:rsidRPr="004B30BC" w:rsidRDefault="009D46E6" w:rsidP="00866283">
            <w:pPr>
              <w:spacing w:after="0" w:line="240" w:lineRule="auto"/>
              <w:jc w:val="center"/>
              <w:rPr>
                <w:rFonts w:ascii="Calibri" w:hAnsi="Calibri" w:cs="Calibri"/>
                <w:color w:val="000000"/>
                <w:sz w:val="18"/>
                <w:szCs w:val="18"/>
                <w:lang w:eastAsia="cs-CZ"/>
              </w:rPr>
            </w:pPr>
            <w:r w:rsidRPr="004B30BC">
              <w:rPr>
                <w:rFonts w:ascii="Calibri" w:hAnsi="Calibri" w:cs="Calibri"/>
                <w:color w:val="000000"/>
                <w:sz w:val="18"/>
                <w:szCs w:val="18"/>
                <w:lang w:eastAsia="cs-CZ"/>
              </w:rPr>
              <w:t>F</w:t>
            </w:r>
          </w:p>
        </w:tc>
        <w:tc>
          <w:tcPr>
            <w:tcW w:w="841" w:type="dxa"/>
            <w:tcBorders>
              <w:top w:val="nil"/>
              <w:left w:val="nil"/>
              <w:bottom w:val="nil"/>
              <w:right w:val="nil"/>
            </w:tcBorders>
            <w:noWrap/>
            <w:vAlign w:val="center"/>
          </w:tcPr>
          <w:p w:rsidR="009D46E6" w:rsidRPr="004B30BC" w:rsidRDefault="009D46E6" w:rsidP="00866283">
            <w:pPr>
              <w:spacing w:after="0" w:line="240" w:lineRule="auto"/>
              <w:ind w:left="-272"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51</w:t>
            </w:r>
          </w:p>
        </w:tc>
        <w:tc>
          <w:tcPr>
            <w:tcW w:w="898" w:type="dxa"/>
            <w:tcBorders>
              <w:top w:val="nil"/>
              <w:left w:val="nil"/>
              <w:bottom w:val="nil"/>
              <w:right w:val="nil"/>
            </w:tcBorders>
            <w:noWrap/>
            <w:vAlign w:val="center"/>
          </w:tcPr>
          <w:p w:rsidR="009D46E6" w:rsidRPr="004B30BC" w:rsidRDefault="009D46E6" w:rsidP="00866283">
            <w:pPr>
              <w:spacing w:after="0" w:line="240" w:lineRule="auto"/>
              <w:ind w:left="-361"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215</w:t>
            </w:r>
          </w:p>
        </w:tc>
        <w:tc>
          <w:tcPr>
            <w:tcW w:w="897"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354</w:t>
            </w:r>
          </w:p>
        </w:tc>
        <w:tc>
          <w:tcPr>
            <w:tcW w:w="898"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361</w:t>
            </w:r>
          </w:p>
        </w:tc>
        <w:tc>
          <w:tcPr>
            <w:tcW w:w="897"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675</w:t>
            </w:r>
          </w:p>
        </w:tc>
        <w:tc>
          <w:tcPr>
            <w:tcW w:w="741"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836</w:t>
            </w:r>
          </w:p>
        </w:tc>
      </w:tr>
      <w:tr w:rsidR="009D46E6" w:rsidRPr="00DB1559" w:rsidTr="00786253">
        <w:trPr>
          <w:trHeight w:val="276"/>
          <w:jc w:val="center"/>
        </w:trPr>
        <w:tc>
          <w:tcPr>
            <w:tcW w:w="3963" w:type="dxa"/>
            <w:tcBorders>
              <w:top w:val="nil"/>
              <w:left w:val="nil"/>
              <w:bottom w:val="nil"/>
              <w:right w:val="nil"/>
            </w:tcBorders>
            <w:vAlign w:val="center"/>
          </w:tcPr>
          <w:p w:rsidR="009D46E6" w:rsidRPr="004B30BC" w:rsidRDefault="009D46E6" w:rsidP="00866283">
            <w:pPr>
              <w:spacing w:after="0" w:line="240" w:lineRule="auto"/>
              <w:ind w:left="229"/>
              <w:jc w:val="left"/>
              <w:rPr>
                <w:rFonts w:ascii="Calibri" w:hAnsi="Calibri" w:cs="Calibri"/>
                <w:color w:val="000000"/>
                <w:sz w:val="18"/>
                <w:szCs w:val="18"/>
                <w:lang w:eastAsia="cs-CZ"/>
              </w:rPr>
            </w:pPr>
            <w:r w:rsidRPr="004B30BC">
              <w:rPr>
                <w:rFonts w:ascii="Calibri" w:hAnsi="Calibri" w:cs="Calibri"/>
                <w:color w:val="000000"/>
                <w:sz w:val="18"/>
                <w:szCs w:val="18"/>
                <w:lang w:eastAsia="cs-CZ"/>
              </w:rPr>
              <w:t>Technicky realizované výsledky (prototyp, funkční vzorek)</w:t>
            </w:r>
          </w:p>
        </w:tc>
        <w:tc>
          <w:tcPr>
            <w:tcW w:w="504" w:type="dxa"/>
            <w:tcBorders>
              <w:top w:val="nil"/>
              <w:left w:val="nil"/>
              <w:bottom w:val="nil"/>
              <w:right w:val="nil"/>
            </w:tcBorders>
            <w:vAlign w:val="center"/>
          </w:tcPr>
          <w:p w:rsidR="009D46E6" w:rsidRPr="004B30BC" w:rsidRDefault="009D46E6" w:rsidP="00866283">
            <w:pPr>
              <w:spacing w:after="0" w:line="240" w:lineRule="auto"/>
              <w:jc w:val="center"/>
              <w:rPr>
                <w:rFonts w:ascii="Calibri" w:hAnsi="Calibri" w:cs="Calibri"/>
                <w:color w:val="000000"/>
                <w:sz w:val="18"/>
                <w:szCs w:val="18"/>
                <w:lang w:eastAsia="cs-CZ"/>
              </w:rPr>
            </w:pPr>
            <w:r w:rsidRPr="004B30BC">
              <w:rPr>
                <w:rFonts w:ascii="Calibri" w:hAnsi="Calibri" w:cs="Calibri"/>
                <w:color w:val="000000"/>
                <w:sz w:val="18"/>
                <w:szCs w:val="18"/>
                <w:lang w:eastAsia="cs-CZ"/>
              </w:rPr>
              <w:t>G</w:t>
            </w:r>
          </w:p>
        </w:tc>
        <w:tc>
          <w:tcPr>
            <w:tcW w:w="841" w:type="dxa"/>
            <w:tcBorders>
              <w:top w:val="nil"/>
              <w:left w:val="nil"/>
              <w:bottom w:val="nil"/>
              <w:right w:val="nil"/>
            </w:tcBorders>
            <w:noWrap/>
            <w:vAlign w:val="center"/>
          </w:tcPr>
          <w:p w:rsidR="009D46E6" w:rsidRPr="004B30BC" w:rsidRDefault="009D46E6" w:rsidP="00866283">
            <w:pPr>
              <w:spacing w:after="0" w:line="240" w:lineRule="auto"/>
              <w:ind w:left="-272"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2 153</w:t>
            </w:r>
          </w:p>
        </w:tc>
        <w:tc>
          <w:tcPr>
            <w:tcW w:w="898" w:type="dxa"/>
            <w:tcBorders>
              <w:top w:val="nil"/>
              <w:left w:val="nil"/>
              <w:bottom w:val="nil"/>
              <w:right w:val="nil"/>
            </w:tcBorders>
            <w:noWrap/>
            <w:vAlign w:val="center"/>
          </w:tcPr>
          <w:p w:rsidR="009D46E6" w:rsidRPr="004B30BC" w:rsidRDefault="009D46E6" w:rsidP="00866283">
            <w:pPr>
              <w:spacing w:after="0" w:line="240" w:lineRule="auto"/>
              <w:ind w:left="-361"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1 264</w:t>
            </w:r>
          </w:p>
        </w:tc>
        <w:tc>
          <w:tcPr>
            <w:tcW w:w="897"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1 469</w:t>
            </w:r>
          </w:p>
        </w:tc>
        <w:tc>
          <w:tcPr>
            <w:tcW w:w="898"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1 695</w:t>
            </w:r>
          </w:p>
        </w:tc>
        <w:tc>
          <w:tcPr>
            <w:tcW w:w="897"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1 823</w:t>
            </w:r>
          </w:p>
        </w:tc>
        <w:tc>
          <w:tcPr>
            <w:tcW w:w="741"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1 806</w:t>
            </w:r>
          </w:p>
        </w:tc>
      </w:tr>
      <w:tr w:rsidR="009D46E6" w:rsidRPr="00DB1559" w:rsidTr="00786253">
        <w:trPr>
          <w:trHeight w:val="552"/>
          <w:jc w:val="center"/>
        </w:trPr>
        <w:tc>
          <w:tcPr>
            <w:tcW w:w="3963" w:type="dxa"/>
            <w:tcBorders>
              <w:top w:val="nil"/>
              <w:left w:val="nil"/>
              <w:bottom w:val="nil"/>
              <w:right w:val="nil"/>
            </w:tcBorders>
            <w:vAlign w:val="center"/>
          </w:tcPr>
          <w:p w:rsidR="009D46E6" w:rsidRPr="004B30BC" w:rsidRDefault="009D46E6" w:rsidP="00866283">
            <w:pPr>
              <w:spacing w:after="0" w:line="240" w:lineRule="auto"/>
              <w:ind w:left="229"/>
              <w:jc w:val="left"/>
              <w:rPr>
                <w:rFonts w:ascii="Calibri" w:hAnsi="Calibri" w:cs="Calibri"/>
                <w:color w:val="000000"/>
                <w:sz w:val="18"/>
                <w:szCs w:val="18"/>
                <w:lang w:eastAsia="cs-CZ"/>
              </w:rPr>
            </w:pPr>
            <w:r w:rsidRPr="004B30BC">
              <w:rPr>
                <w:rFonts w:ascii="Calibri" w:hAnsi="Calibri" w:cs="Calibri"/>
                <w:color w:val="000000"/>
                <w:sz w:val="18"/>
                <w:szCs w:val="18"/>
                <w:lang w:eastAsia="cs-CZ"/>
              </w:rPr>
              <w:t>Certifikované metodiky, léčebné postupy, památkové postupy, specializované mapy s odborným obsahem</w:t>
            </w:r>
          </w:p>
        </w:tc>
        <w:tc>
          <w:tcPr>
            <w:tcW w:w="504" w:type="dxa"/>
            <w:tcBorders>
              <w:top w:val="nil"/>
              <w:left w:val="nil"/>
              <w:bottom w:val="nil"/>
              <w:right w:val="nil"/>
            </w:tcBorders>
            <w:vAlign w:val="center"/>
          </w:tcPr>
          <w:p w:rsidR="009D46E6" w:rsidRPr="004B30BC" w:rsidRDefault="009D46E6" w:rsidP="00866283">
            <w:pPr>
              <w:spacing w:after="0" w:line="240" w:lineRule="auto"/>
              <w:jc w:val="center"/>
              <w:rPr>
                <w:rFonts w:ascii="Calibri" w:hAnsi="Calibri" w:cs="Calibri"/>
                <w:color w:val="000000"/>
                <w:sz w:val="18"/>
                <w:szCs w:val="18"/>
                <w:lang w:eastAsia="cs-CZ"/>
              </w:rPr>
            </w:pPr>
            <w:r w:rsidRPr="004B30BC">
              <w:rPr>
                <w:rFonts w:ascii="Calibri" w:hAnsi="Calibri" w:cs="Calibri"/>
                <w:color w:val="000000"/>
                <w:sz w:val="18"/>
                <w:szCs w:val="18"/>
                <w:lang w:eastAsia="cs-CZ"/>
              </w:rPr>
              <w:t>N</w:t>
            </w:r>
          </w:p>
        </w:tc>
        <w:tc>
          <w:tcPr>
            <w:tcW w:w="841" w:type="dxa"/>
            <w:tcBorders>
              <w:top w:val="nil"/>
              <w:left w:val="nil"/>
              <w:bottom w:val="nil"/>
              <w:right w:val="nil"/>
            </w:tcBorders>
            <w:noWrap/>
            <w:vAlign w:val="center"/>
          </w:tcPr>
          <w:p w:rsidR="009D46E6" w:rsidRPr="004B30BC" w:rsidRDefault="009D46E6" w:rsidP="00866283">
            <w:pPr>
              <w:spacing w:after="0" w:line="240" w:lineRule="auto"/>
              <w:ind w:left="-272"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117</w:t>
            </w:r>
          </w:p>
        </w:tc>
        <w:tc>
          <w:tcPr>
            <w:tcW w:w="898" w:type="dxa"/>
            <w:tcBorders>
              <w:top w:val="nil"/>
              <w:left w:val="nil"/>
              <w:bottom w:val="nil"/>
              <w:right w:val="nil"/>
            </w:tcBorders>
            <w:noWrap/>
            <w:vAlign w:val="center"/>
          </w:tcPr>
          <w:p w:rsidR="009D46E6" w:rsidRPr="004B30BC" w:rsidRDefault="009D46E6" w:rsidP="00866283">
            <w:pPr>
              <w:spacing w:after="0" w:line="240" w:lineRule="auto"/>
              <w:ind w:left="-361"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510</w:t>
            </w:r>
          </w:p>
        </w:tc>
        <w:tc>
          <w:tcPr>
            <w:tcW w:w="897"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949</w:t>
            </w:r>
          </w:p>
        </w:tc>
        <w:tc>
          <w:tcPr>
            <w:tcW w:w="898"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1 036</w:t>
            </w:r>
          </w:p>
        </w:tc>
        <w:tc>
          <w:tcPr>
            <w:tcW w:w="897"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1 648</w:t>
            </w:r>
          </w:p>
        </w:tc>
        <w:tc>
          <w:tcPr>
            <w:tcW w:w="741"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2 280</w:t>
            </w:r>
          </w:p>
        </w:tc>
      </w:tr>
      <w:tr w:rsidR="009D46E6" w:rsidRPr="00DB1559" w:rsidTr="00786253">
        <w:trPr>
          <w:trHeight w:val="276"/>
          <w:jc w:val="center"/>
        </w:trPr>
        <w:tc>
          <w:tcPr>
            <w:tcW w:w="3963" w:type="dxa"/>
            <w:tcBorders>
              <w:top w:val="nil"/>
              <w:left w:val="nil"/>
              <w:bottom w:val="nil"/>
              <w:right w:val="nil"/>
            </w:tcBorders>
            <w:vAlign w:val="center"/>
          </w:tcPr>
          <w:p w:rsidR="009D46E6" w:rsidRPr="004B30BC" w:rsidRDefault="009D46E6" w:rsidP="00866283">
            <w:pPr>
              <w:spacing w:after="0" w:line="240" w:lineRule="auto"/>
              <w:ind w:left="229"/>
              <w:jc w:val="left"/>
              <w:rPr>
                <w:rFonts w:ascii="Calibri" w:hAnsi="Calibri" w:cs="Calibri"/>
                <w:color w:val="000000"/>
                <w:sz w:val="18"/>
                <w:szCs w:val="18"/>
                <w:lang w:eastAsia="cs-CZ"/>
              </w:rPr>
            </w:pPr>
            <w:r w:rsidRPr="004B30BC">
              <w:rPr>
                <w:rFonts w:ascii="Calibri" w:hAnsi="Calibri" w:cs="Calibri"/>
                <w:color w:val="000000"/>
                <w:sz w:val="18"/>
                <w:szCs w:val="18"/>
                <w:lang w:eastAsia="cs-CZ"/>
              </w:rPr>
              <w:t>Software</w:t>
            </w:r>
          </w:p>
        </w:tc>
        <w:tc>
          <w:tcPr>
            <w:tcW w:w="504" w:type="dxa"/>
            <w:tcBorders>
              <w:top w:val="nil"/>
              <w:left w:val="nil"/>
              <w:bottom w:val="nil"/>
              <w:right w:val="nil"/>
            </w:tcBorders>
            <w:vAlign w:val="center"/>
          </w:tcPr>
          <w:p w:rsidR="009D46E6" w:rsidRPr="004B30BC" w:rsidRDefault="009D46E6" w:rsidP="00866283">
            <w:pPr>
              <w:spacing w:after="0" w:line="240" w:lineRule="auto"/>
              <w:jc w:val="center"/>
              <w:rPr>
                <w:rFonts w:ascii="Calibri" w:hAnsi="Calibri" w:cs="Calibri"/>
                <w:color w:val="000000"/>
                <w:sz w:val="18"/>
                <w:szCs w:val="18"/>
                <w:lang w:eastAsia="cs-CZ"/>
              </w:rPr>
            </w:pPr>
            <w:r w:rsidRPr="004B30BC">
              <w:rPr>
                <w:rFonts w:ascii="Calibri" w:hAnsi="Calibri" w:cs="Calibri"/>
                <w:color w:val="000000"/>
                <w:sz w:val="18"/>
                <w:szCs w:val="18"/>
                <w:lang w:eastAsia="cs-CZ"/>
              </w:rPr>
              <w:t>R</w:t>
            </w:r>
          </w:p>
        </w:tc>
        <w:tc>
          <w:tcPr>
            <w:tcW w:w="841" w:type="dxa"/>
            <w:tcBorders>
              <w:top w:val="nil"/>
              <w:left w:val="nil"/>
              <w:bottom w:val="nil"/>
              <w:right w:val="nil"/>
            </w:tcBorders>
            <w:noWrap/>
            <w:vAlign w:val="center"/>
          </w:tcPr>
          <w:p w:rsidR="009D46E6" w:rsidRPr="004B30BC" w:rsidRDefault="009D46E6" w:rsidP="00866283">
            <w:pPr>
              <w:spacing w:after="0" w:line="240" w:lineRule="auto"/>
              <w:ind w:left="-272"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89</w:t>
            </w:r>
          </w:p>
        </w:tc>
        <w:tc>
          <w:tcPr>
            <w:tcW w:w="898" w:type="dxa"/>
            <w:tcBorders>
              <w:top w:val="nil"/>
              <w:left w:val="nil"/>
              <w:bottom w:val="nil"/>
              <w:right w:val="nil"/>
            </w:tcBorders>
            <w:noWrap/>
            <w:vAlign w:val="center"/>
          </w:tcPr>
          <w:p w:rsidR="009D46E6" w:rsidRPr="004B30BC" w:rsidRDefault="009D46E6" w:rsidP="00866283">
            <w:pPr>
              <w:spacing w:after="0" w:line="240" w:lineRule="auto"/>
              <w:ind w:left="-361"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716</w:t>
            </w:r>
          </w:p>
        </w:tc>
        <w:tc>
          <w:tcPr>
            <w:tcW w:w="897"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1 088</w:t>
            </w:r>
          </w:p>
        </w:tc>
        <w:tc>
          <w:tcPr>
            <w:tcW w:w="898"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1 280</w:t>
            </w:r>
          </w:p>
        </w:tc>
        <w:tc>
          <w:tcPr>
            <w:tcW w:w="897"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830</w:t>
            </w:r>
          </w:p>
        </w:tc>
        <w:tc>
          <w:tcPr>
            <w:tcW w:w="741" w:type="dxa"/>
            <w:tcBorders>
              <w:top w:val="nil"/>
              <w:left w:val="nil"/>
              <w:bottom w:val="nil"/>
              <w:right w:val="nil"/>
            </w:tcBorders>
            <w:noWrap/>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1 070</w:t>
            </w:r>
          </w:p>
        </w:tc>
      </w:tr>
      <w:tr w:rsidR="009D46E6" w:rsidRPr="00DB1559" w:rsidTr="00786253">
        <w:trPr>
          <w:trHeight w:val="276"/>
          <w:jc w:val="center"/>
        </w:trPr>
        <w:tc>
          <w:tcPr>
            <w:tcW w:w="3963" w:type="dxa"/>
            <w:tcBorders>
              <w:top w:val="nil"/>
              <w:left w:val="nil"/>
              <w:bottom w:val="nil"/>
              <w:right w:val="nil"/>
            </w:tcBorders>
            <w:shd w:val="clear" w:color="000000" w:fill="CC99FF"/>
            <w:noWrap/>
            <w:vAlign w:val="center"/>
          </w:tcPr>
          <w:p w:rsidR="009D46E6" w:rsidRPr="004B30BC" w:rsidRDefault="009D46E6" w:rsidP="00866283">
            <w:pPr>
              <w:spacing w:after="0" w:line="240" w:lineRule="auto"/>
              <w:jc w:val="lef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 xml:space="preserve">Ostatní výsledky celkem </w:t>
            </w:r>
            <w:r w:rsidRPr="004B30BC">
              <w:rPr>
                <w:rFonts w:ascii="Calibri" w:hAnsi="Calibri" w:cs="Calibri"/>
                <w:b/>
                <w:bCs/>
                <w:color w:val="000000"/>
                <w:sz w:val="18"/>
                <w:szCs w:val="18"/>
                <w:lang w:eastAsia="cs-CZ"/>
              </w:rPr>
              <w:br/>
              <w:t xml:space="preserve">(A + E + H + M + O + V + W) </w:t>
            </w:r>
          </w:p>
        </w:tc>
        <w:tc>
          <w:tcPr>
            <w:tcW w:w="504" w:type="dxa"/>
            <w:tcBorders>
              <w:top w:val="nil"/>
              <w:left w:val="nil"/>
              <w:bottom w:val="nil"/>
              <w:right w:val="nil"/>
            </w:tcBorders>
            <w:shd w:val="clear" w:color="000000" w:fill="CC99FF"/>
            <w:noWrap/>
            <w:vAlign w:val="center"/>
          </w:tcPr>
          <w:p w:rsidR="009D46E6" w:rsidRPr="004B30BC" w:rsidRDefault="009D46E6" w:rsidP="00866283">
            <w:pPr>
              <w:spacing w:after="0" w:line="240" w:lineRule="auto"/>
              <w:jc w:val="lef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 </w:t>
            </w:r>
          </w:p>
        </w:tc>
        <w:tc>
          <w:tcPr>
            <w:tcW w:w="841" w:type="dxa"/>
            <w:tcBorders>
              <w:top w:val="nil"/>
              <w:left w:val="nil"/>
              <w:bottom w:val="nil"/>
              <w:right w:val="nil"/>
            </w:tcBorders>
            <w:shd w:val="clear" w:color="000000" w:fill="CC99FF"/>
            <w:noWrap/>
            <w:vAlign w:val="center"/>
          </w:tcPr>
          <w:p w:rsidR="009D46E6" w:rsidRPr="004B30BC" w:rsidRDefault="009D46E6" w:rsidP="00866283">
            <w:pPr>
              <w:spacing w:after="0" w:line="240" w:lineRule="auto"/>
              <w:ind w:left="-272"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4 126</w:t>
            </w:r>
          </w:p>
        </w:tc>
        <w:tc>
          <w:tcPr>
            <w:tcW w:w="898" w:type="dxa"/>
            <w:tcBorders>
              <w:top w:val="nil"/>
              <w:left w:val="nil"/>
              <w:bottom w:val="nil"/>
              <w:right w:val="nil"/>
            </w:tcBorders>
            <w:shd w:val="clear" w:color="000000" w:fill="CC99FF"/>
            <w:noWrap/>
            <w:vAlign w:val="center"/>
          </w:tcPr>
          <w:p w:rsidR="009D46E6" w:rsidRPr="004B30BC" w:rsidRDefault="009D46E6" w:rsidP="00866283">
            <w:pPr>
              <w:spacing w:after="0" w:line="240" w:lineRule="auto"/>
              <w:ind w:left="-361"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4 471</w:t>
            </w:r>
          </w:p>
        </w:tc>
        <w:tc>
          <w:tcPr>
            <w:tcW w:w="897" w:type="dxa"/>
            <w:tcBorders>
              <w:top w:val="nil"/>
              <w:left w:val="nil"/>
              <w:bottom w:val="nil"/>
              <w:right w:val="nil"/>
            </w:tcBorders>
            <w:shd w:val="clear" w:color="000000" w:fill="CC99FF"/>
            <w:noWrap/>
            <w:vAlign w:val="center"/>
          </w:tcPr>
          <w:p w:rsidR="009D46E6" w:rsidRPr="004B30BC" w:rsidRDefault="009D46E6" w:rsidP="00866283">
            <w:pPr>
              <w:spacing w:after="0" w:line="240" w:lineRule="auto"/>
              <w:ind w:left="-219"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4 765</w:t>
            </w:r>
          </w:p>
        </w:tc>
        <w:tc>
          <w:tcPr>
            <w:tcW w:w="898" w:type="dxa"/>
            <w:tcBorders>
              <w:top w:val="nil"/>
              <w:left w:val="nil"/>
              <w:bottom w:val="nil"/>
              <w:right w:val="nil"/>
            </w:tcBorders>
            <w:shd w:val="clear" w:color="000000" w:fill="CC99FF"/>
            <w:noWrap/>
            <w:vAlign w:val="center"/>
          </w:tcPr>
          <w:p w:rsidR="009D46E6" w:rsidRPr="004B30BC" w:rsidRDefault="009D46E6" w:rsidP="00866283">
            <w:pPr>
              <w:spacing w:after="0" w:line="240" w:lineRule="auto"/>
              <w:ind w:left="-219"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5 686</w:t>
            </w:r>
          </w:p>
        </w:tc>
        <w:tc>
          <w:tcPr>
            <w:tcW w:w="897" w:type="dxa"/>
            <w:tcBorders>
              <w:top w:val="nil"/>
              <w:left w:val="nil"/>
              <w:bottom w:val="nil"/>
              <w:right w:val="nil"/>
            </w:tcBorders>
            <w:shd w:val="clear" w:color="000000" w:fill="CC99FF"/>
            <w:noWrap/>
            <w:vAlign w:val="center"/>
          </w:tcPr>
          <w:p w:rsidR="009D46E6" w:rsidRPr="004B30BC" w:rsidRDefault="009D46E6" w:rsidP="00866283">
            <w:pPr>
              <w:spacing w:after="0" w:line="240" w:lineRule="auto"/>
              <w:ind w:left="-219"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7 244</w:t>
            </w:r>
          </w:p>
        </w:tc>
        <w:tc>
          <w:tcPr>
            <w:tcW w:w="741" w:type="dxa"/>
            <w:tcBorders>
              <w:top w:val="nil"/>
              <w:left w:val="nil"/>
              <w:bottom w:val="nil"/>
              <w:right w:val="nil"/>
            </w:tcBorders>
            <w:shd w:val="clear" w:color="000000" w:fill="CC99FF"/>
            <w:noWrap/>
            <w:vAlign w:val="center"/>
          </w:tcPr>
          <w:p w:rsidR="009D46E6" w:rsidRPr="004B30BC" w:rsidRDefault="009D46E6" w:rsidP="00866283">
            <w:pPr>
              <w:spacing w:after="0" w:line="240" w:lineRule="auto"/>
              <w:ind w:left="-219" w:right="79"/>
              <w:jc w:val="right"/>
              <w:rPr>
                <w:rFonts w:ascii="Calibri" w:hAnsi="Calibri" w:cs="Calibri"/>
                <w:b/>
                <w:bCs/>
                <w:color w:val="000000"/>
                <w:sz w:val="18"/>
                <w:szCs w:val="18"/>
                <w:lang w:eastAsia="cs-CZ"/>
              </w:rPr>
            </w:pPr>
            <w:r w:rsidRPr="004B30BC">
              <w:rPr>
                <w:rFonts w:ascii="Calibri" w:hAnsi="Calibri" w:cs="Calibri"/>
                <w:b/>
                <w:bCs/>
                <w:color w:val="000000"/>
                <w:sz w:val="18"/>
                <w:szCs w:val="18"/>
                <w:lang w:eastAsia="cs-CZ"/>
              </w:rPr>
              <w:t>7 296</w:t>
            </w:r>
          </w:p>
        </w:tc>
      </w:tr>
      <w:tr w:rsidR="009D46E6" w:rsidRPr="00DB1559" w:rsidTr="00786253">
        <w:trPr>
          <w:trHeight w:val="276"/>
          <w:jc w:val="center"/>
        </w:trPr>
        <w:tc>
          <w:tcPr>
            <w:tcW w:w="3963" w:type="dxa"/>
            <w:tcBorders>
              <w:top w:val="nil"/>
              <w:left w:val="nil"/>
              <w:bottom w:val="nil"/>
              <w:right w:val="nil"/>
            </w:tcBorders>
            <w:noWrap/>
            <w:vAlign w:val="center"/>
          </w:tcPr>
          <w:p w:rsidR="009D46E6" w:rsidRPr="004B30BC" w:rsidRDefault="009D46E6" w:rsidP="00866283">
            <w:pPr>
              <w:spacing w:after="0" w:line="240" w:lineRule="auto"/>
              <w:jc w:val="left"/>
              <w:rPr>
                <w:rFonts w:ascii="Calibri" w:hAnsi="Calibri" w:cs="Calibri"/>
                <w:i/>
                <w:iCs/>
                <w:color w:val="000000"/>
                <w:sz w:val="18"/>
                <w:szCs w:val="18"/>
                <w:lang w:eastAsia="cs-CZ"/>
              </w:rPr>
            </w:pPr>
            <w:r w:rsidRPr="004B30BC">
              <w:rPr>
                <w:rFonts w:ascii="Calibri" w:hAnsi="Calibri" w:cs="Calibri"/>
                <w:i/>
                <w:iCs/>
                <w:color w:val="000000"/>
                <w:sz w:val="18"/>
                <w:szCs w:val="18"/>
                <w:lang w:eastAsia="cs-CZ"/>
              </w:rPr>
              <w:t>Z toho:</w:t>
            </w:r>
          </w:p>
        </w:tc>
        <w:tc>
          <w:tcPr>
            <w:tcW w:w="504" w:type="dxa"/>
            <w:tcBorders>
              <w:top w:val="nil"/>
              <w:left w:val="nil"/>
              <w:bottom w:val="nil"/>
              <w:right w:val="nil"/>
            </w:tcBorders>
            <w:noWrap/>
            <w:vAlign w:val="bottom"/>
          </w:tcPr>
          <w:p w:rsidR="009D46E6" w:rsidRPr="004B30BC" w:rsidRDefault="009D46E6" w:rsidP="00866283">
            <w:pPr>
              <w:spacing w:after="0" w:line="240" w:lineRule="auto"/>
              <w:jc w:val="center"/>
              <w:rPr>
                <w:rFonts w:ascii="Calibri" w:hAnsi="Calibri" w:cs="Calibri"/>
                <w:color w:val="000000"/>
                <w:sz w:val="18"/>
                <w:szCs w:val="18"/>
                <w:lang w:eastAsia="cs-CZ"/>
              </w:rPr>
            </w:pPr>
          </w:p>
        </w:tc>
        <w:tc>
          <w:tcPr>
            <w:tcW w:w="841" w:type="dxa"/>
            <w:tcBorders>
              <w:top w:val="nil"/>
              <w:left w:val="nil"/>
              <w:bottom w:val="nil"/>
              <w:right w:val="nil"/>
            </w:tcBorders>
            <w:noWrap/>
            <w:vAlign w:val="bottom"/>
          </w:tcPr>
          <w:p w:rsidR="009D46E6" w:rsidRPr="004B30BC" w:rsidRDefault="009D46E6" w:rsidP="00866283">
            <w:pPr>
              <w:spacing w:after="0" w:line="240" w:lineRule="auto"/>
              <w:ind w:left="-272" w:right="79"/>
              <w:jc w:val="left"/>
              <w:rPr>
                <w:rFonts w:ascii="Calibri" w:hAnsi="Calibri" w:cs="Calibri"/>
                <w:color w:val="000000"/>
                <w:sz w:val="18"/>
                <w:szCs w:val="18"/>
                <w:lang w:eastAsia="cs-CZ"/>
              </w:rPr>
            </w:pPr>
          </w:p>
        </w:tc>
        <w:tc>
          <w:tcPr>
            <w:tcW w:w="898" w:type="dxa"/>
            <w:tcBorders>
              <w:top w:val="nil"/>
              <w:left w:val="nil"/>
              <w:bottom w:val="nil"/>
              <w:right w:val="nil"/>
            </w:tcBorders>
            <w:noWrap/>
            <w:vAlign w:val="bottom"/>
          </w:tcPr>
          <w:p w:rsidR="009D46E6" w:rsidRPr="004B30BC" w:rsidRDefault="009D46E6" w:rsidP="00866283">
            <w:pPr>
              <w:spacing w:after="0" w:line="240" w:lineRule="auto"/>
              <w:ind w:left="-361" w:right="79"/>
              <w:jc w:val="left"/>
              <w:rPr>
                <w:rFonts w:ascii="Calibri" w:hAnsi="Calibri" w:cs="Calibri"/>
                <w:color w:val="000000"/>
                <w:sz w:val="18"/>
                <w:szCs w:val="18"/>
                <w:lang w:eastAsia="cs-CZ"/>
              </w:rPr>
            </w:pPr>
          </w:p>
        </w:tc>
        <w:tc>
          <w:tcPr>
            <w:tcW w:w="897" w:type="dxa"/>
            <w:tcBorders>
              <w:top w:val="nil"/>
              <w:left w:val="nil"/>
              <w:bottom w:val="nil"/>
              <w:right w:val="nil"/>
            </w:tcBorders>
            <w:noWrap/>
            <w:vAlign w:val="bottom"/>
          </w:tcPr>
          <w:p w:rsidR="009D46E6" w:rsidRPr="004B30BC" w:rsidRDefault="009D46E6" w:rsidP="00866283">
            <w:pPr>
              <w:spacing w:after="0" w:line="240" w:lineRule="auto"/>
              <w:ind w:left="-219" w:right="79"/>
              <w:jc w:val="left"/>
              <w:rPr>
                <w:rFonts w:ascii="Calibri" w:hAnsi="Calibri" w:cs="Calibri"/>
                <w:color w:val="000000"/>
                <w:sz w:val="18"/>
                <w:szCs w:val="18"/>
                <w:lang w:eastAsia="cs-CZ"/>
              </w:rPr>
            </w:pPr>
          </w:p>
        </w:tc>
        <w:tc>
          <w:tcPr>
            <w:tcW w:w="898" w:type="dxa"/>
            <w:tcBorders>
              <w:top w:val="nil"/>
              <w:left w:val="nil"/>
              <w:bottom w:val="nil"/>
              <w:right w:val="nil"/>
            </w:tcBorders>
            <w:noWrap/>
            <w:vAlign w:val="bottom"/>
          </w:tcPr>
          <w:p w:rsidR="009D46E6" w:rsidRPr="004B30BC" w:rsidRDefault="009D46E6" w:rsidP="00866283">
            <w:pPr>
              <w:spacing w:after="0" w:line="240" w:lineRule="auto"/>
              <w:ind w:left="-219" w:right="79"/>
              <w:jc w:val="left"/>
              <w:rPr>
                <w:rFonts w:ascii="Calibri" w:hAnsi="Calibri" w:cs="Calibri"/>
                <w:color w:val="000000"/>
                <w:sz w:val="18"/>
                <w:szCs w:val="18"/>
                <w:lang w:eastAsia="cs-CZ"/>
              </w:rPr>
            </w:pPr>
          </w:p>
        </w:tc>
        <w:tc>
          <w:tcPr>
            <w:tcW w:w="897" w:type="dxa"/>
            <w:tcBorders>
              <w:top w:val="nil"/>
              <w:left w:val="nil"/>
              <w:bottom w:val="nil"/>
              <w:right w:val="nil"/>
            </w:tcBorders>
            <w:noWrap/>
            <w:vAlign w:val="bottom"/>
          </w:tcPr>
          <w:p w:rsidR="009D46E6" w:rsidRPr="004B30BC" w:rsidRDefault="009D46E6" w:rsidP="00866283">
            <w:pPr>
              <w:spacing w:after="0" w:line="240" w:lineRule="auto"/>
              <w:ind w:left="-219" w:right="79"/>
              <w:jc w:val="left"/>
              <w:rPr>
                <w:rFonts w:ascii="Calibri" w:hAnsi="Calibri" w:cs="Calibri"/>
                <w:color w:val="000000"/>
                <w:sz w:val="18"/>
                <w:szCs w:val="18"/>
                <w:lang w:eastAsia="cs-CZ"/>
              </w:rPr>
            </w:pPr>
          </w:p>
        </w:tc>
        <w:tc>
          <w:tcPr>
            <w:tcW w:w="741" w:type="dxa"/>
            <w:tcBorders>
              <w:top w:val="nil"/>
              <w:left w:val="nil"/>
              <w:bottom w:val="nil"/>
              <w:right w:val="nil"/>
            </w:tcBorders>
            <w:noWrap/>
            <w:vAlign w:val="bottom"/>
          </w:tcPr>
          <w:p w:rsidR="009D46E6" w:rsidRPr="004B30BC" w:rsidRDefault="009D46E6" w:rsidP="00866283">
            <w:pPr>
              <w:spacing w:after="0" w:line="240" w:lineRule="auto"/>
              <w:ind w:left="-219" w:right="79"/>
              <w:jc w:val="left"/>
              <w:rPr>
                <w:rFonts w:ascii="Calibri" w:hAnsi="Calibri" w:cs="Calibri"/>
                <w:color w:val="000000"/>
                <w:sz w:val="18"/>
                <w:szCs w:val="18"/>
                <w:lang w:eastAsia="cs-CZ"/>
              </w:rPr>
            </w:pPr>
          </w:p>
        </w:tc>
      </w:tr>
      <w:tr w:rsidR="009D46E6" w:rsidRPr="00DB1559" w:rsidTr="00786253">
        <w:trPr>
          <w:trHeight w:val="276"/>
          <w:jc w:val="center"/>
        </w:trPr>
        <w:tc>
          <w:tcPr>
            <w:tcW w:w="3963" w:type="dxa"/>
            <w:tcBorders>
              <w:top w:val="nil"/>
              <w:left w:val="nil"/>
              <w:bottom w:val="nil"/>
              <w:right w:val="nil"/>
            </w:tcBorders>
            <w:vAlign w:val="center"/>
          </w:tcPr>
          <w:p w:rsidR="009D46E6" w:rsidRPr="004B30BC" w:rsidRDefault="009D46E6" w:rsidP="00866283">
            <w:pPr>
              <w:spacing w:after="0" w:line="240" w:lineRule="auto"/>
              <w:ind w:firstLine="220"/>
              <w:jc w:val="left"/>
              <w:rPr>
                <w:rFonts w:ascii="Calibri" w:hAnsi="Calibri" w:cs="Calibri"/>
                <w:color w:val="000000"/>
                <w:sz w:val="18"/>
                <w:szCs w:val="18"/>
                <w:lang w:eastAsia="cs-CZ"/>
              </w:rPr>
            </w:pPr>
            <w:r w:rsidRPr="004B30BC">
              <w:rPr>
                <w:rFonts w:ascii="Calibri" w:hAnsi="Calibri" w:cs="Calibri"/>
                <w:color w:val="000000"/>
                <w:sz w:val="18"/>
                <w:szCs w:val="18"/>
                <w:lang w:eastAsia="cs-CZ"/>
              </w:rPr>
              <w:t>Audiovizuální tvorba, elektronické dokumenty</w:t>
            </w:r>
          </w:p>
        </w:tc>
        <w:tc>
          <w:tcPr>
            <w:tcW w:w="504" w:type="dxa"/>
            <w:tcBorders>
              <w:top w:val="nil"/>
              <w:left w:val="nil"/>
              <w:bottom w:val="nil"/>
              <w:right w:val="nil"/>
            </w:tcBorders>
            <w:vAlign w:val="center"/>
          </w:tcPr>
          <w:p w:rsidR="009D46E6" w:rsidRPr="004B30BC" w:rsidRDefault="009D46E6" w:rsidP="00866283">
            <w:pPr>
              <w:spacing w:after="0" w:line="240" w:lineRule="auto"/>
              <w:jc w:val="center"/>
              <w:rPr>
                <w:rFonts w:ascii="Calibri" w:hAnsi="Calibri" w:cs="Calibri"/>
                <w:color w:val="000000"/>
                <w:sz w:val="18"/>
                <w:szCs w:val="18"/>
                <w:lang w:eastAsia="cs-CZ"/>
              </w:rPr>
            </w:pPr>
            <w:r w:rsidRPr="004B30BC">
              <w:rPr>
                <w:rFonts w:ascii="Calibri" w:hAnsi="Calibri" w:cs="Calibri"/>
                <w:color w:val="000000"/>
                <w:sz w:val="18"/>
                <w:szCs w:val="18"/>
                <w:lang w:eastAsia="cs-CZ"/>
              </w:rPr>
              <w:t>A</w:t>
            </w:r>
          </w:p>
        </w:tc>
        <w:tc>
          <w:tcPr>
            <w:tcW w:w="841" w:type="dxa"/>
            <w:tcBorders>
              <w:top w:val="nil"/>
              <w:left w:val="nil"/>
              <w:bottom w:val="nil"/>
              <w:right w:val="nil"/>
            </w:tcBorders>
            <w:vAlign w:val="center"/>
          </w:tcPr>
          <w:p w:rsidR="009D46E6" w:rsidRPr="004B30BC" w:rsidRDefault="009D46E6" w:rsidP="00866283">
            <w:pPr>
              <w:spacing w:after="0" w:line="240" w:lineRule="auto"/>
              <w:ind w:left="-272"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1 082</w:t>
            </w:r>
          </w:p>
        </w:tc>
        <w:tc>
          <w:tcPr>
            <w:tcW w:w="898" w:type="dxa"/>
            <w:tcBorders>
              <w:top w:val="nil"/>
              <w:left w:val="nil"/>
              <w:bottom w:val="nil"/>
              <w:right w:val="nil"/>
            </w:tcBorders>
            <w:vAlign w:val="center"/>
          </w:tcPr>
          <w:p w:rsidR="009D46E6" w:rsidRPr="004B30BC" w:rsidRDefault="009D46E6" w:rsidP="00866283">
            <w:pPr>
              <w:spacing w:after="0" w:line="240" w:lineRule="auto"/>
              <w:ind w:left="-361"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818</w:t>
            </w:r>
          </w:p>
        </w:tc>
        <w:tc>
          <w:tcPr>
            <w:tcW w:w="897"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581</w:t>
            </w:r>
          </w:p>
        </w:tc>
        <w:tc>
          <w:tcPr>
            <w:tcW w:w="898"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518</w:t>
            </w:r>
          </w:p>
        </w:tc>
        <w:tc>
          <w:tcPr>
            <w:tcW w:w="897"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728</w:t>
            </w:r>
          </w:p>
        </w:tc>
        <w:tc>
          <w:tcPr>
            <w:tcW w:w="741"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797</w:t>
            </w:r>
          </w:p>
        </w:tc>
      </w:tr>
      <w:tr w:rsidR="009D46E6" w:rsidRPr="00DB1559" w:rsidTr="00786253">
        <w:trPr>
          <w:trHeight w:val="276"/>
          <w:jc w:val="center"/>
        </w:trPr>
        <w:tc>
          <w:tcPr>
            <w:tcW w:w="3963" w:type="dxa"/>
            <w:tcBorders>
              <w:top w:val="nil"/>
              <w:left w:val="nil"/>
              <w:bottom w:val="nil"/>
              <w:right w:val="nil"/>
            </w:tcBorders>
            <w:vAlign w:val="center"/>
          </w:tcPr>
          <w:p w:rsidR="009D46E6" w:rsidRPr="004B30BC" w:rsidRDefault="009D46E6" w:rsidP="00866283">
            <w:pPr>
              <w:spacing w:after="0" w:line="240" w:lineRule="auto"/>
              <w:ind w:left="229"/>
              <w:jc w:val="left"/>
              <w:rPr>
                <w:rFonts w:ascii="Calibri" w:hAnsi="Calibri" w:cs="Calibri"/>
                <w:color w:val="000000"/>
                <w:sz w:val="18"/>
                <w:szCs w:val="18"/>
                <w:lang w:eastAsia="cs-CZ"/>
              </w:rPr>
            </w:pPr>
            <w:r w:rsidRPr="004B30BC">
              <w:rPr>
                <w:rFonts w:ascii="Calibri" w:hAnsi="Calibri" w:cs="Calibri"/>
                <w:color w:val="000000"/>
                <w:sz w:val="18"/>
                <w:szCs w:val="18"/>
                <w:lang w:eastAsia="cs-CZ"/>
              </w:rPr>
              <w:t>Uspořádání (zorganizování) výstavy</w:t>
            </w:r>
          </w:p>
        </w:tc>
        <w:tc>
          <w:tcPr>
            <w:tcW w:w="504" w:type="dxa"/>
            <w:tcBorders>
              <w:top w:val="nil"/>
              <w:left w:val="nil"/>
              <w:bottom w:val="nil"/>
              <w:right w:val="nil"/>
            </w:tcBorders>
            <w:vAlign w:val="center"/>
          </w:tcPr>
          <w:p w:rsidR="009D46E6" w:rsidRPr="004B30BC" w:rsidRDefault="009D46E6" w:rsidP="00866283">
            <w:pPr>
              <w:spacing w:after="0" w:line="240" w:lineRule="auto"/>
              <w:jc w:val="center"/>
              <w:rPr>
                <w:rFonts w:ascii="Calibri" w:hAnsi="Calibri" w:cs="Calibri"/>
                <w:color w:val="000000"/>
                <w:sz w:val="18"/>
                <w:szCs w:val="18"/>
                <w:lang w:eastAsia="cs-CZ"/>
              </w:rPr>
            </w:pPr>
            <w:r w:rsidRPr="004B30BC">
              <w:rPr>
                <w:rFonts w:ascii="Calibri" w:hAnsi="Calibri" w:cs="Calibri"/>
                <w:color w:val="000000"/>
                <w:sz w:val="18"/>
                <w:szCs w:val="18"/>
                <w:lang w:eastAsia="cs-CZ"/>
              </w:rPr>
              <w:t>E</w:t>
            </w:r>
          </w:p>
        </w:tc>
        <w:tc>
          <w:tcPr>
            <w:tcW w:w="841" w:type="dxa"/>
            <w:tcBorders>
              <w:top w:val="nil"/>
              <w:left w:val="nil"/>
              <w:bottom w:val="nil"/>
              <w:right w:val="nil"/>
            </w:tcBorders>
            <w:vAlign w:val="center"/>
          </w:tcPr>
          <w:p w:rsidR="009D46E6" w:rsidRPr="004B30BC" w:rsidRDefault="009D46E6" w:rsidP="00866283">
            <w:pPr>
              <w:spacing w:after="0" w:line="240" w:lineRule="auto"/>
              <w:ind w:left="-272"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107</w:t>
            </w:r>
          </w:p>
        </w:tc>
        <w:tc>
          <w:tcPr>
            <w:tcW w:w="898" w:type="dxa"/>
            <w:tcBorders>
              <w:top w:val="nil"/>
              <w:left w:val="nil"/>
              <w:bottom w:val="nil"/>
              <w:right w:val="nil"/>
            </w:tcBorders>
            <w:vAlign w:val="center"/>
          </w:tcPr>
          <w:p w:rsidR="009D46E6" w:rsidRPr="004B30BC" w:rsidRDefault="009D46E6" w:rsidP="00866283">
            <w:pPr>
              <w:spacing w:after="0" w:line="240" w:lineRule="auto"/>
              <w:ind w:left="-361"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145</w:t>
            </w:r>
          </w:p>
        </w:tc>
        <w:tc>
          <w:tcPr>
            <w:tcW w:w="897"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177</w:t>
            </w:r>
          </w:p>
        </w:tc>
        <w:tc>
          <w:tcPr>
            <w:tcW w:w="898"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190</w:t>
            </w:r>
          </w:p>
        </w:tc>
        <w:tc>
          <w:tcPr>
            <w:tcW w:w="897"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161</w:t>
            </w:r>
          </w:p>
        </w:tc>
        <w:tc>
          <w:tcPr>
            <w:tcW w:w="741"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167</w:t>
            </w:r>
          </w:p>
        </w:tc>
      </w:tr>
      <w:tr w:rsidR="009D46E6" w:rsidRPr="00DB1559" w:rsidTr="00786253">
        <w:trPr>
          <w:trHeight w:val="828"/>
          <w:jc w:val="center"/>
        </w:trPr>
        <w:tc>
          <w:tcPr>
            <w:tcW w:w="3963" w:type="dxa"/>
            <w:tcBorders>
              <w:top w:val="nil"/>
              <w:left w:val="nil"/>
              <w:bottom w:val="nil"/>
              <w:right w:val="nil"/>
            </w:tcBorders>
            <w:vAlign w:val="center"/>
          </w:tcPr>
          <w:p w:rsidR="009D46E6" w:rsidRPr="004B30BC" w:rsidRDefault="009D46E6" w:rsidP="00866283">
            <w:pPr>
              <w:spacing w:after="0" w:line="240" w:lineRule="auto"/>
              <w:ind w:left="229"/>
              <w:jc w:val="left"/>
              <w:rPr>
                <w:rFonts w:ascii="Calibri" w:hAnsi="Calibri" w:cs="Calibri"/>
                <w:color w:val="000000"/>
                <w:sz w:val="18"/>
                <w:szCs w:val="18"/>
                <w:lang w:eastAsia="cs-CZ"/>
              </w:rPr>
            </w:pPr>
            <w:r w:rsidRPr="004B30BC">
              <w:rPr>
                <w:rFonts w:ascii="Calibri" w:hAnsi="Calibri" w:cs="Calibri"/>
                <w:color w:val="000000"/>
                <w:sz w:val="18"/>
                <w:szCs w:val="18"/>
                <w:lang w:eastAsia="cs-CZ"/>
              </w:rPr>
              <w:t>Posk</w:t>
            </w:r>
            <w:r>
              <w:rPr>
                <w:rFonts w:ascii="Calibri" w:hAnsi="Calibri" w:cs="Calibri"/>
                <w:color w:val="000000"/>
                <w:sz w:val="18"/>
                <w:szCs w:val="18"/>
                <w:lang w:eastAsia="cs-CZ"/>
              </w:rPr>
              <w:t xml:space="preserve">ytovatelem realizované výsledky </w:t>
            </w:r>
            <w:r w:rsidRPr="004B30BC">
              <w:rPr>
                <w:rFonts w:ascii="Calibri" w:hAnsi="Calibri" w:cs="Calibri"/>
                <w:color w:val="000000"/>
                <w:sz w:val="18"/>
                <w:szCs w:val="18"/>
                <w:lang w:eastAsia="cs-CZ"/>
              </w:rPr>
              <w:t>( výsledky promítnuté do právních předpisů a norem, do směrnic a předpisů nelegislativní povahy závazných v rámci kompetence příslušného poskytovatele)</w:t>
            </w:r>
          </w:p>
        </w:tc>
        <w:tc>
          <w:tcPr>
            <w:tcW w:w="504" w:type="dxa"/>
            <w:tcBorders>
              <w:top w:val="nil"/>
              <w:left w:val="nil"/>
              <w:bottom w:val="nil"/>
              <w:right w:val="nil"/>
            </w:tcBorders>
            <w:vAlign w:val="center"/>
          </w:tcPr>
          <w:p w:rsidR="009D46E6" w:rsidRPr="004B30BC" w:rsidRDefault="009D46E6" w:rsidP="00866283">
            <w:pPr>
              <w:spacing w:after="0" w:line="240" w:lineRule="auto"/>
              <w:jc w:val="center"/>
              <w:rPr>
                <w:rFonts w:ascii="Calibri" w:hAnsi="Calibri" w:cs="Calibri"/>
                <w:color w:val="000000"/>
                <w:sz w:val="18"/>
                <w:szCs w:val="18"/>
                <w:lang w:eastAsia="cs-CZ"/>
              </w:rPr>
            </w:pPr>
            <w:r w:rsidRPr="004B30BC">
              <w:rPr>
                <w:rFonts w:ascii="Calibri" w:hAnsi="Calibri" w:cs="Calibri"/>
                <w:color w:val="000000"/>
                <w:sz w:val="18"/>
                <w:szCs w:val="18"/>
                <w:lang w:eastAsia="cs-CZ"/>
              </w:rPr>
              <w:t>H</w:t>
            </w:r>
          </w:p>
        </w:tc>
        <w:tc>
          <w:tcPr>
            <w:tcW w:w="841" w:type="dxa"/>
            <w:tcBorders>
              <w:top w:val="nil"/>
              <w:left w:val="nil"/>
              <w:bottom w:val="nil"/>
              <w:right w:val="nil"/>
            </w:tcBorders>
            <w:vAlign w:val="center"/>
          </w:tcPr>
          <w:p w:rsidR="009D46E6" w:rsidRPr="004B30BC" w:rsidRDefault="009D46E6" w:rsidP="00866283">
            <w:pPr>
              <w:spacing w:after="0" w:line="240" w:lineRule="auto"/>
              <w:ind w:left="-272"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24</w:t>
            </w:r>
          </w:p>
        </w:tc>
        <w:tc>
          <w:tcPr>
            <w:tcW w:w="898" w:type="dxa"/>
            <w:tcBorders>
              <w:top w:val="nil"/>
              <w:left w:val="nil"/>
              <w:bottom w:val="nil"/>
              <w:right w:val="nil"/>
            </w:tcBorders>
            <w:vAlign w:val="center"/>
          </w:tcPr>
          <w:p w:rsidR="009D46E6" w:rsidRPr="004B30BC" w:rsidRDefault="009D46E6" w:rsidP="00866283">
            <w:pPr>
              <w:spacing w:after="0" w:line="240" w:lineRule="auto"/>
              <w:ind w:left="-361"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52</w:t>
            </w:r>
          </w:p>
        </w:tc>
        <w:tc>
          <w:tcPr>
            <w:tcW w:w="897"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74</w:t>
            </w:r>
          </w:p>
        </w:tc>
        <w:tc>
          <w:tcPr>
            <w:tcW w:w="898"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65</w:t>
            </w:r>
          </w:p>
        </w:tc>
        <w:tc>
          <w:tcPr>
            <w:tcW w:w="897"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131</w:t>
            </w:r>
          </w:p>
        </w:tc>
        <w:tc>
          <w:tcPr>
            <w:tcW w:w="741"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97</w:t>
            </w:r>
          </w:p>
        </w:tc>
      </w:tr>
      <w:tr w:rsidR="009D46E6" w:rsidRPr="00DB1559" w:rsidTr="00786253">
        <w:trPr>
          <w:trHeight w:val="276"/>
          <w:jc w:val="center"/>
        </w:trPr>
        <w:tc>
          <w:tcPr>
            <w:tcW w:w="3963" w:type="dxa"/>
            <w:tcBorders>
              <w:top w:val="nil"/>
              <w:left w:val="nil"/>
              <w:bottom w:val="nil"/>
              <w:right w:val="nil"/>
            </w:tcBorders>
            <w:vAlign w:val="center"/>
          </w:tcPr>
          <w:p w:rsidR="009D46E6" w:rsidRPr="004B30BC" w:rsidRDefault="009D46E6" w:rsidP="00866283">
            <w:pPr>
              <w:spacing w:after="0" w:line="240" w:lineRule="auto"/>
              <w:ind w:left="229"/>
              <w:jc w:val="left"/>
              <w:rPr>
                <w:rFonts w:ascii="Calibri" w:hAnsi="Calibri" w:cs="Calibri"/>
                <w:color w:val="000000"/>
                <w:sz w:val="18"/>
                <w:szCs w:val="18"/>
                <w:lang w:eastAsia="cs-CZ"/>
              </w:rPr>
            </w:pPr>
            <w:r w:rsidRPr="004B30BC">
              <w:rPr>
                <w:rFonts w:ascii="Calibri" w:hAnsi="Calibri" w:cs="Calibri"/>
                <w:color w:val="000000"/>
                <w:sz w:val="18"/>
                <w:szCs w:val="18"/>
                <w:lang w:eastAsia="cs-CZ"/>
              </w:rPr>
              <w:t>Uspořádání (zorganizování) konference</w:t>
            </w:r>
          </w:p>
        </w:tc>
        <w:tc>
          <w:tcPr>
            <w:tcW w:w="504" w:type="dxa"/>
            <w:tcBorders>
              <w:top w:val="nil"/>
              <w:left w:val="nil"/>
              <w:bottom w:val="nil"/>
              <w:right w:val="nil"/>
            </w:tcBorders>
            <w:vAlign w:val="center"/>
          </w:tcPr>
          <w:p w:rsidR="009D46E6" w:rsidRPr="004B30BC" w:rsidRDefault="009D46E6" w:rsidP="00866283">
            <w:pPr>
              <w:spacing w:after="0" w:line="240" w:lineRule="auto"/>
              <w:jc w:val="center"/>
              <w:rPr>
                <w:rFonts w:ascii="Calibri" w:hAnsi="Calibri" w:cs="Calibri"/>
                <w:color w:val="000000"/>
                <w:sz w:val="18"/>
                <w:szCs w:val="18"/>
                <w:lang w:eastAsia="cs-CZ"/>
              </w:rPr>
            </w:pPr>
            <w:r w:rsidRPr="004B30BC">
              <w:rPr>
                <w:rFonts w:ascii="Calibri" w:hAnsi="Calibri" w:cs="Calibri"/>
                <w:color w:val="000000"/>
                <w:sz w:val="18"/>
                <w:szCs w:val="18"/>
                <w:lang w:eastAsia="cs-CZ"/>
              </w:rPr>
              <w:t>M</w:t>
            </w:r>
          </w:p>
        </w:tc>
        <w:tc>
          <w:tcPr>
            <w:tcW w:w="841" w:type="dxa"/>
            <w:tcBorders>
              <w:top w:val="nil"/>
              <w:left w:val="nil"/>
              <w:bottom w:val="nil"/>
              <w:right w:val="nil"/>
            </w:tcBorders>
            <w:vAlign w:val="center"/>
          </w:tcPr>
          <w:p w:rsidR="009D46E6" w:rsidRPr="004B30BC" w:rsidRDefault="009D46E6" w:rsidP="00866283">
            <w:pPr>
              <w:spacing w:after="0" w:line="240" w:lineRule="auto"/>
              <w:ind w:left="-272"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586</w:t>
            </w:r>
          </w:p>
        </w:tc>
        <w:tc>
          <w:tcPr>
            <w:tcW w:w="898" w:type="dxa"/>
            <w:tcBorders>
              <w:top w:val="nil"/>
              <w:left w:val="nil"/>
              <w:bottom w:val="nil"/>
              <w:right w:val="nil"/>
            </w:tcBorders>
            <w:vAlign w:val="center"/>
          </w:tcPr>
          <w:p w:rsidR="009D46E6" w:rsidRPr="004B30BC" w:rsidRDefault="009D46E6" w:rsidP="00866283">
            <w:pPr>
              <w:spacing w:after="0" w:line="240" w:lineRule="auto"/>
              <w:ind w:left="-361"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685</w:t>
            </w:r>
          </w:p>
        </w:tc>
        <w:tc>
          <w:tcPr>
            <w:tcW w:w="897"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542</w:t>
            </w:r>
          </w:p>
        </w:tc>
        <w:tc>
          <w:tcPr>
            <w:tcW w:w="898"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532</w:t>
            </w:r>
          </w:p>
        </w:tc>
        <w:tc>
          <w:tcPr>
            <w:tcW w:w="897"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573</w:t>
            </w:r>
          </w:p>
        </w:tc>
        <w:tc>
          <w:tcPr>
            <w:tcW w:w="741"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501</w:t>
            </w:r>
          </w:p>
        </w:tc>
      </w:tr>
      <w:tr w:rsidR="009D46E6" w:rsidRPr="00DB1559" w:rsidTr="00786253">
        <w:trPr>
          <w:trHeight w:val="435"/>
          <w:jc w:val="center"/>
        </w:trPr>
        <w:tc>
          <w:tcPr>
            <w:tcW w:w="3963" w:type="dxa"/>
            <w:tcBorders>
              <w:top w:val="nil"/>
              <w:left w:val="nil"/>
              <w:bottom w:val="nil"/>
              <w:right w:val="nil"/>
            </w:tcBorders>
            <w:vAlign w:val="center"/>
          </w:tcPr>
          <w:p w:rsidR="009D46E6" w:rsidRPr="004B30BC" w:rsidRDefault="009D46E6" w:rsidP="00866283">
            <w:pPr>
              <w:spacing w:after="0" w:line="240" w:lineRule="auto"/>
              <w:ind w:left="229"/>
              <w:jc w:val="left"/>
              <w:rPr>
                <w:rFonts w:ascii="Calibri" w:hAnsi="Calibri" w:cs="Calibri"/>
                <w:color w:val="000000"/>
                <w:sz w:val="18"/>
                <w:szCs w:val="18"/>
                <w:lang w:eastAsia="cs-CZ"/>
              </w:rPr>
            </w:pPr>
            <w:r w:rsidRPr="004B30BC">
              <w:rPr>
                <w:rFonts w:ascii="Calibri" w:hAnsi="Calibri" w:cs="Calibri"/>
                <w:color w:val="000000"/>
                <w:sz w:val="18"/>
                <w:szCs w:val="18"/>
                <w:lang w:eastAsia="cs-CZ"/>
              </w:rPr>
              <w:t>Ostatní výsledky, které nelze zařadit do žádného z výše uvedených druhů výsledku</w:t>
            </w:r>
          </w:p>
        </w:tc>
        <w:tc>
          <w:tcPr>
            <w:tcW w:w="504" w:type="dxa"/>
            <w:tcBorders>
              <w:top w:val="nil"/>
              <w:left w:val="nil"/>
              <w:bottom w:val="nil"/>
              <w:right w:val="nil"/>
            </w:tcBorders>
            <w:vAlign w:val="center"/>
          </w:tcPr>
          <w:p w:rsidR="009D46E6" w:rsidRPr="004B30BC" w:rsidRDefault="009D46E6" w:rsidP="00866283">
            <w:pPr>
              <w:spacing w:after="0" w:line="240" w:lineRule="auto"/>
              <w:jc w:val="center"/>
              <w:rPr>
                <w:rFonts w:ascii="Calibri" w:hAnsi="Calibri" w:cs="Calibri"/>
                <w:color w:val="000000"/>
                <w:sz w:val="18"/>
                <w:szCs w:val="18"/>
                <w:lang w:eastAsia="cs-CZ"/>
              </w:rPr>
            </w:pPr>
            <w:r w:rsidRPr="004B30BC">
              <w:rPr>
                <w:rFonts w:ascii="Calibri" w:hAnsi="Calibri" w:cs="Calibri"/>
                <w:color w:val="000000"/>
                <w:sz w:val="18"/>
                <w:szCs w:val="18"/>
                <w:lang w:eastAsia="cs-CZ"/>
              </w:rPr>
              <w:t>O</w:t>
            </w:r>
          </w:p>
        </w:tc>
        <w:tc>
          <w:tcPr>
            <w:tcW w:w="841" w:type="dxa"/>
            <w:tcBorders>
              <w:top w:val="nil"/>
              <w:left w:val="nil"/>
              <w:bottom w:val="nil"/>
              <w:right w:val="nil"/>
            </w:tcBorders>
            <w:vAlign w:val="center"/>
          </w:tcPr>
          <w:p w:rsidR="009D46E6" w:rsidRPr="004B30BC" w:rsidRDefault="009D46E6" w:rsidP="00866283">
            <w:pPr>
              <w:spacing w:after="0" w:line="240" w:lineRule="auto"/>
              <w:ind w:left="-272"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1 877</w:t>
            </w:r>
          </w:p>
        </w:tc>
        <w:tc>
          <w:tcPr>
            <w:tcW w:w="898" w:type="dxa"/>
            <w:tcBorders>
              <w:top w:val="nil"/>
              <w:left w:val="nil"/>
              <w:bottom w:val="nil"/>
              <w:right w:val="nil"/>
            </w:tcBorders>
            <w:vAlign w:val="center"/>
          </w:tcPr>
          <w:p w:rsidR="009D46E6" w:rsidRPr="004B30BC" w:rsidRDefault="009D46E6" w:rsidP="00866283">
            <w:pPr>
              <w:spacing w:after="0" w:line="240" w:lineRule="auto"/>
              <w:ind w:left="-361"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2 260</w:t>
            </w:r>
          </w:p>
        </w:tc>
        <w:tc>
          <w:tcPr>
            <w:tcW w:w="897"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2 953</w:t>
            </w:r>
          </w:p>
        </w:tc>
        <w:tc>
          <w:tcPr>
            <w:tcW w:w="898"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3 743</w:t>
            </w:r>
          </w:p>
        </w:tc>
        <w:tc>
          <w:tcPr>
            <w:tcW w:w="897"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4 920</w:t>
            </w:r>
          </w:p>
        </w:tc>
        <w:tc>
          <w:tcPr>
            <w:tcW w:w="741"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5 132</w:t>
            </w:r>
          </w:p>
        </w:tc>
      </w:tr>
      <w:tr w:rsidR="009D46E6" w:rsidRPr="00DB1559" w:rsidTr="00786253">
        <w:trPr>
          <w:trHeight w:val="278"/>
          <w:jc w:val="center"/>
        </w:trPr>
        <w:tc>
          <w:tcPr>
            <w:tcW w:w="3963" w:type="dxa"/>
            <w:tcBorders>
              <w:top w:val="nil"/>
              <w:left w:val="nil"/>
              <w:bottom w:val="nil"/>
              <w:right w:val="nil"/>
            </w:tcBorders>
            <w:vAlign w:val="center"/>
          </w:tcPr>
          <w:p w:rsidR="009D46E6" w:rsidRPr="004B30BC" w:rsidRDefault="009D46E6" w:rsidP="00866283">
            <w:pPr>
              <w:spacing w:after="0" w:line="240" w:lineRule="auto"/>
              <w:ind w:left="229"/>
              <w:jc w:val="left"/>
              <w:rPr>
                <w:rFonts w:ascii="Calibri" w:hAnsi="Calibri" w:cs="Calibri"/>
                <w:color w:val="000000"/>
                <w:sz w:val="18"/>
                <w:szCs w:val="18"/>
                <w:lang w:eastAsia="cs-CZ"/>
              </w:rPr>
            </w:pPr>
            <w:r w:rsidRPr="004B30BC">
              <w:rPr>
                <w:rFonts w:ascii="Calibri" w:hAnsi="Calibri" w:cs="Calibri"/>
                <w:color w:val="000000"/>
                <w:sz w:val="18"/>
                <w:szCs w:val="18"/>
                <w:lang w:eastAsia="cs-CZ"/>
              </w:rPr>
              <w:t>Výzkumná zpráva obsahující utajované informace</w:t>
            </w:r>
          </w:p>
        </w:tc>
        <w:tc>
          <w:tcPr>
            <w:tcW w:w="504" w:type="dxa"/>
            <w:tcBorders>
              <w:top w:val="nil"/>
              <w:left w:val="nil"/>
              <w:bottom w:val="nil"/>
              <w:right w:val="nil"/>
            </w:tcBorders>
            <w:vAlign w:val="center"/>
          </w:tcPr>
          <w:p w:rsidR="009D46E6" w:rsidRPr="004B30BC" w:rsidRDefault="009D46E6" w:rsidP="00866283">
            <w:pPr>
              <w:spacing w:after="0" w:line="240" w:lineRule="auto"/>
              <w:jc w:val="center"/>
              <w:rPr>
                <w:rFonts w:ascii="Calibri" w:hAnsi="Calibri" w:cs="Calibri"/>
                <w:color w:val="000000"/>
                <w:sz w:val="18"/>
                <w:szCs w:val="18"/>
                <w:lang w:eastAsia="cs-CZ"/>
              </w:rPr>
            </w:pPr>
            <w:r w:rsidRPr="004B30BC">
              <w:rPr>
                <w:rFonts w:ascii="Calibri" w:hAnsi="Calibri" w:cs="Calibri"/>
                <w:color w:val="000000"/>
                <w:sz w:val="18"/>
                <w:szCs w:val="18"/>
                <w:lang w:eastAsia="cs-CZ"/>
              </w:rPr>
              <w:t>V</w:t>
            </w:r>
          </w:p>
        </w:tc>
        <w:tc>
          <w:tcPr>
            <w:tcW w:w="841" w:type="dxa"/>
            <w:tcBorders>
              <w:top w:val="nil"/>
              <w:left w:val="nil"/>
              <w:bottom w:val="nil"/>
              <w:right w:val="nil"/>
            </w:tcBorders>
            <w:vAlign w:val="center"/>
          </w:tcPr>
          <w:p w:rsidR="009D46E6" w:rsidRPr="004B30BC" w:rsidRDefault="009D46E6" w:rsidP="00866283">
            <w:pPr>
              <w:spacing w:after="0" w:line="240" w:lineRule="auto"/>
              <w:ind w:left="-272"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3</w:t>
            </w:r>
          </w:p>
        </w:tc>
        <w:tc>
          <w:tcPr>
            <w:tcW w:w="898" w:type="dxa"/>
            <w:tcBorders>
              <w:top w:val="nil"/>
              <w:left w:val="nil"/>
              <w:bottom w:val="nil"/>
              <w:right w:val="nil"/>
            </w:tcBorders>
            <w:vAlign w:val="center"/>
          </w:tcPr>
          <w:p w:rsidR="009D46E6" w:rsidRPr="004B30BC" w:rsidRDefault="009D46E6" w:rsidP="00866283">
            <w:pPr>
              <w:spacing w:after="0" w:line="240" w:lineRule="auto"/>
              <w:ind w:left="-361"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7</w:t>
            </w:r>
          </w:p>
        </w:tc>
        <w:tc>
          <w:tcPr>
            <w:tcW w:w="897"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3</w:t>
            </w:r>
          </w:p>
        </w:tc>
        <w:tc>
          <w:tcPr>
            <w:tcW w:w="898"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3</w:t>
            </w:r>
          </w:p>
        </w:tc>
        <w:tc>
          <w:tcPr>
            <w:tcW w:w="897"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11</w:t>
            </w:r>
          </w:p>
        </w:tc>
        <w:tc>
          <w:tcPr>
            <w:tcW w:w="741" w:type="dxa"/>
            <w:tcBorders>
              <w:top w:val="nil"/>
              <w:left w:val="nil"/>
              <w:bottom w:val="nil"/>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17</w:t>
            </w:r>
          </w:p>
        </w:tc>
      </w:tr>
      <w:tr w:rsidR="009D46E6" w:rsidRPr="00DB1559" w:rsidTr="00786253">
        <w:trPr>
          <w:trHeight w:val="278"/>
          <w:jc w:val="center"/>
        </w:trPr>
        <w:tc>
          <w:tcPr>
            <w:tcW w:w="3963" w:type="dxa"/>
            <w:tcBorders>
              <w:top w:val="nil"/>
              <w:left w:val="nil"/>
              <w:bottom w:val="single" w:sz="8" w:space="0" w:color="auto"/>
              <w:right w:val="nil"/>
            </w:tcBorders>
            <w:vAlign w:val="center"/>
          </w:tcPr>
          <w:p w:rsidR="009D46E6" w:rsidRPr="004B30BC" w:rsidRDefault="009D46E6" w:rsidP="00866283">
            <w:pPr>
              <w:spacing w:after="0" w:line="240" w:lineRule="auto"/>
              <w:ind w:left="229"/>
              <w:jc w:val="left"/>
              <w:rPr>
                <w:rFonts w:ascii="Calibri" w:hAnsi="Calibri" w:cs="Calibri"/>
                <w:color w:val="000000"/>
                <w:sz w:val="18"/>
                <w:szCs w:val="18"/>
                <w:lang w:eastAsia="cs-CZ"/>
              </w:rPr>
            </w:pPr>
            <w:r w:rsidRPr="004B30BC">
              <w:rPr>
                <w:rFonts w:ascii="Calibri" w:hAnsi="Calibri" w:cs="Calibri"/>
                <w:color w:val="000000"/>
                <w:sz w:val="18"/>
                <w:szCs w:val="18"/>
                <w:lang w:eastAsia="cs-CZ"/>
              </w:rPr>
              <w:t>Uspořádání (zorganizování) workshopu</w:t>
            </w:r>
          </w:p>
        </w:tc>
        <w:tc>
          <w:tcPr>
            <w:tcW w:w="504" w:type="dxa"/>
            <w:tcBorders>
              <w:top w:val="nil"/>
              <w:left w:val="nil"/>
              <w:bottom w:val="single" w:sz="8" w:space="0" w:color="auto"/>
              <w:right w:val="nil"/>
            </w:tcBorders>
            <w:vAlign w:val="center"/>
          </w:tcPr>
          <w:p w:rsidR="009D46E6" w:rsidRPr="004B30BC" w:rsidRDefault="009D46E6" w:rsidP="00866283">
            <w:pPr>
              <w:spacing w:after="0" w:line="240" w:lineRule="auto"/>
              <w:jc w:val="center"/>
              <w:rPr>
                <w:rFonts w:ascii="Calibri" w:hAnsi="Calibri" w:cs="Calibri"/>
                <w:color w:val="000000"/>
                <w:sz w:val="18"/>
                <w:szCs w:val="18"/>
                <w:lang w:eastAsia="cs-CZ"/>
              </w:rPr>
            </w:pPr>
            <w:r w:rsidRPr="004B30BC">
              <w:rPr>
                <w:rFonts w:ascii="Calibri" w:hAnsi="Calibri" w:cs="Calibri"/>
                <w:color w:val="000000"/>
                <w:sz w:val="18"/>
                <w:szCs w:val="18"/>
                <w:lang w:eastAsia="cs-CZ"/>
              </w:rPr>
              <w:t>W</w:t>
            </w:r>
          </w:p>
        </w:tc>
        <w:tc>
          <w:tcPr>
            <w:tcW w:w="841" w:type="dxa"/>
            <w:tcBorders>
              <w:top w:val="nil"/>
              <w:left w:val="nil"/>
              <w:bottom w:val="single" w:sz="8" w:space="0" w:color="auto"/>
              <w:right w:val="nil"/>
            </w:tcBorders>
            <w:vAlign w:val="center"/>
          </w:tcPr>
          <w:p w:rsidR="009D46E6" w:rsidRPr="004B30BC" w:rsidRDefault="009D46E6" w:rsidP="00866283">
            <w:pPr>
              <w:spacing w:after="0" w:line="240" w:lineRule="auto"/>
              <w:ind w:left="-272"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447</w:t>
            </w:r>
          </w:p>
        </w:tc>
        <w:tc>
          <w:tcPr>
            <w:tcW w:w="898" w:type="dxa"/>
            <w:tcBorders>
              <w:top w:val="nil"/>
              <w:left w:val="nil"/>
              <w:bottom w:val="single" w:sz="8" w:space="0" w:color="auto"/>
              <w:right w:val="nil"/>
            </w:tcBorders>
            <w:vAlign w:val="center"/>
          </w:tcPr>
          <w:p w:rsidR="009D46E6" w:rsidRPr="004B30BC" w:rsidRDefault="009D46E6" w:rsidP="00866283">
            <w:pPr>
              <w:spacing w:after="0" w:line="240" w:lineRule="auto"/>
              <w:ind w:left="-361"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504</w:t>
            </w:r>
          </w:p>
        </w:tc>
        <w:tc>
          <w:tcPr>
            <w:tcW w:w="897" w:type="dxa"/>
            <w:tcBorders>
              <w:top w:val="nil"/>
              <w:left w:val="nil"/>
              <w:bottom w:val="single" w:sz="8" w:space="0" w:color="auto"/>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435</w:t>
            </w:r>
          </w:p>
        </w:tc>
        <w:tc>
          <w:tcPr>
            <w:tcW w:w="898" w:type="dxa"/>
            <w:tcBorders>
              <w:top w:val="nil"/>
              <w:left w:val="nil"/>
              <w:bottom w:val="single" w:sz="8" w:space="0" w:color="auto"/>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635</w:t>
            </w:r>
          </w:p>
        </w:tc>
        <w:tc>
          <w:tcPr>
            <w:tcW w:w="897" w:type="dxa"/>
            <w:tcBorders>
              <w:top w:val="nil"/>
              <w:left w:val="nil"/>
              <w:bottom w:val="single" w:sz="8" w:space="0" w:color="auto"/>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720</w:t>
            </w:r>
          </w:p>
        </w:tc>
        <w:tc>
          <w:tcPr>
            <w:tcW w:w="741" w:type="dxa"/>
            <w:tcBorders>
              <w:top w:val="nil"/>
              <w:left w:val="nil"/>
              <w:bottom w:val="single" w:sz="8" w:space="0" w:color="auto"/>
              <w:right w:val="nil"/>
            </w:tcBorders>
            <w:vAlign w:val="center"/>
          </w:tcPr>
          <w:p w:rsidR="009D46E6" w:rsidRPr="004B30BC" w:rsidRDefault="009D46E6" w:rsidP="00866283">
            <w:pPr>
              <w:spacing w:after="0" w:line="240" w:lineRule="auto"/>
              <w:ind w:left="-219" w:right="79"/>
              <w:jc w:val="right"/>
              <w:rPr>
                <w:rFonts w:ascii="Calibri" w:hAnsi="Calibri" w:cs="Calibri"/>
                <w:color w:val="000000"/>
                <w:sz w:val="18"/>
                <w:szCs w:val="18"/>
                <w:lang w:eastAsia="cs-CZ"/>
              </w:rPr>
            </w:pPr>
            <w:r w:rsidRPr="004B30BC">
              <w:rPr>
                <w:rFonts w:ascii="Calibri" w:hAnsi="Calibri" w:cs="Calibri"/>
                <w:color w:val="000000"/>
                <w:sz w:val="18"/>
                <w:szCs w:val="18"/>
                <w:lang w:eastAsia="cs-CZ"/>
              </w:rPr>
              <w:t>585</w:t>
            </w:r>
          </w:p>
        </w:tc>
      </w:tr>
    </w:tbl>
    <w:p w:rsidR="009D46E6" w:rsidRPr="00864CA4" w:rsidRDefault="009D46E6" w:rsidP="00866283">
      <w:pPr>
        <w:pStyle w:val="Zdroj"/>
      </w:pPr>
      <w:r w:rsidRPr="00864CA4">
        <w:t>Pozn.: Typ výsledků prototyp, uplatněná metodika, funkční vzorek byl v RIV do roku 2008 označován jako kategorie S. Tato kategorie je ve všech výstupech sjednocena se současnou kategorií G. Výsledky typu poloprovoz, ověřená technologie, odrůda, resp. plemeno byly označované do roku 2006 jako kategorie T a jsou sjednocené se současnou kategorií Z.</w:t>
      </w:r>
    </w:p>
    <w:p w:rsidR="009D46E6" w:rsidRDefault="009D46E6" w:rsidP="00866283">
      <w:pPr>
        <w:pStyle w:val="Zdroj"/>
      </w:pPr>
      <w:r w:rsidRPr="00864CA4">
        <w:t>Zdroj: IS VaVaI, Rejstřík informací o výsledcích stav k 31. 12. 2012.</w:t>
      </w:r>
    </w:p>
    <w:p w:rsidR="009D46E6" w:rsidRPr="00864CA4" w:rsidRDefault="009D46E6" w:rsidP="00866283"/>
    <w:p w:rsidR="009D46E6" w:rsidRDefault="009D46E6" w:rsidP="003C6E2E">
      <w:pPr>
        <w:pStyle w:val="Heading3"/>
      </w:pPr>
      <w:bookmarkStart w:id="149" w:name="_Toc369091886"/>
      <w:r>
        <w:t>Oborová struktura výsledků evidovaných v Rejstříku informací o výsledcích IS VaVaI</w:t>
      </w:r>
      <w:bookmarkEnd w:id="149"/>
    </w:p>
    <w:p w:rsidR="009D46E6" w:rsidRDefault="009D46E6" w:rsidP="00866283">
      <w:r>
        <w:t>Metodika hodnoceni výsledků VaVaI  definuje 123 vědních oborů pro kategorizaci výsledků a výzkumných aktivit. Metodika přijatá pro léta 2013-2015 změnila a rozšířila agregaci těchto oborů do oborových skupin z deseti na jedenáct oborových skupin a nově sloučila technické vědy s informatickými, které byly v předcházejících Analýzách VaVaI v jedné skupině s matematickými vědami. Dvě původní skupiny společenských a humanitních oborů jsou v současné metodice rozděleny na tři oborové skupiny. Při posuzování oborové struktury výsledků je nutno mít na zřeteli, že oborovou klasifikace výsledků dodávají do IS VaVaI samotní tvůrci, a proto může být subjektivně ovlivněna.</w:t>
      </w:r>
    </w:p>
    <w:p w:rsidR="009D46E6" w:rsidRDefault="009D46E6" w:rsidP="00786253">
      <w:r>
        <w:t xml:space="preserve">V absolutních počtech je nejvíce výsledků registrováno v nově definované oblasti technických a </w:t>
      </w:r>
      <w:r w:rsidRPr="00067CFB">
        <w:t>informatických věd (</w:t>
      </w:r>
      <w:r>
        <w:t>g</w:t>
      </w:r>
      <w:r w:rsidRPr="00067CFB">
        <w:t>raf C.1). Od roku 2007 nejvíce vzrostl počet výsledků ve společenských vědách (shv-b)</w:t>
      </w:r>
      <w:r>
        <w:t xml:space="preserve"> a společenských, humanitních a uměleckých vědách (shv-a). V ostatních oborových skupinách celkové počty výsledků ve srovnání s rokem 2007 stagnovaly nebo vzrostly o jednotky procent.</w:t>
      </w:r>
    </w:p>
    <w:p w:rsidR="009D46E6" w:rsidRDefault="009D46E6" w:rsidP="00786253">
      <w:r>
        <w:t>Ve všech oborových skupinách převažují publikační výstupy (B, C, J, D). Jejich relativní zastoupení je však odlišné v jednotlivých oborových skupinách důsledkem rozdílných publikačních zvyklostí a dynamiky šíření znalosti v oborech. Oborové skupiny se především odlišují v míře využití konferencí a produkci knižních výstupů (jak celé odborné knihy, tak jednotlivé kapitoly). S výjimkou společenských věd došlo ve všech oborech k poklesu příspěvků ve sbornících. Tento pokles byl ve většině oborů kompenzován nárůsty počtu článků v odborných periodikách.</w:t>
      </w:r>
    </w:p>
    <w:p w:rsidR="009D46E6" w:rsidRDefault="009D46E6" w:rsidP="00786253">
      <w:r>
        <w:t>Technické a informatické vědy jsou jediné, kde počet konferenčních příspěvků dlouhodobě převyšuje počet článků v periodikách. V roce 2008 byl tento poměr přibližně 3:1 a do roku 2012 poklesl na 37 %:25 %. Technické a informatické vědy jsou hlavním tvůrcem patentů (typ P) a software (R). Meziroční růst patentů v roce 2012 v této skupině byl 33 %.</w:t>
      </w:r>
    </w:p>
    <w:p w:rsidR="009D46E6" w:rsidRDefault="009D46E6" w:rsidP="00866283"/>
    <w:p w:rsidR="009D46E6" w:rsidRPr="00BD5EC7" w:rsidRDefault="009D46E6" w:rsidP="00750D9B">
      <w:pPr>
        <w:pStyle w:val="Caption"/>
        <w:tabs>
          <w:tab w:val="clear" w:pos="1276"/>
        </w:tabs>
        <w:ind w:left="993" w:hanging="993"/>
      </w:pPr>
      <w:bookmarkStart w:id="150" w:name="_Toc369092040"/>
      <w:r>
        <w:t xml:space="preserve">Graf </w:t>
      </w:r>
      <w:fldSimple w:instr=" STYLEREF 1 \s ">
        <w:r>
          <w:rPr>
            <w:noProof/>
          </w:rPr>
          <w:t>C</w:t>
        </w:r>
      </w:fldSimple>
      <w:r>
        <w:t>.</w:t>
      </w:r>
      <w:fldSimple w:instr=" SEQ Graf \* ARABIC \s 1 ">
        <w:r>
          <w:rPr>
            <w:noProof/>
          </w:rPr>
          <w:t>1</w:t>
        </w:r>
      </w:fldSimple>
      <w:r w:rsidRPr="00BD5EC7">
        <w:t xml:space="preserve">: </w:t>
      </w:r>
      <w:r w:rsidRPr="00864CA4">
        <w:t>Počty výsledků evidovaných v RIV v širších vědních oborech v letech 2007 - 2012 a vztažené k roku 2007</w:t>
      </w:r>
      <w:bookmarkEnd w:id="150"/>
    </w:p>
    <w:p w:rsidR="009D46E6" w:rsidRDefault="009D46E6" w:rsidP="001D7F37">
      <w:pPr>
        <w:pStyle w:val="Objekt"/>
      </w:pPr>
      <w:r w:rsidRPr="001D1D98">
        <w:object w:dxaOrig="9102" w:dyaOrig="5405">
          <v:shape id="Graf 91" o:spid="_x0000_i1165" type="#_x0000_t75" style="width:455.4pt;height:270pt;visibility:visible" o:ole="">
            <v:imagedata r:id="rId156" o:title=""/>
            <o:lock v:ext="edit" aspectratio="f"/>
          </v:shape>
          <o:OLEObject Type="Embed" ProgID="Excel.Chart.8" ShapeID="Graf 91" DrawAspect="Content" ObjectID="_1443504521" r:id="rId157"/>
        </w:object>
      </w:r>
    </w:p>
    <w:p w:rsidR="009D46E6" w:rsidRPr="003C579C" w:rsidRDefault="009D46E6" w:rsidP="001D7F37">
      <w:pPr>
        <w:pStyle w:val="Objekt"/>
      </w:pPr>
    </w:p>
    <w:p w:rsidR="009D46E6" w:rsidRPr="00BD5EC7" w:rsidRDefault="009D46E6" w:rsidP="00866283">
      <w:pPr>
        <w:pStyle w:val="Zdroj"/>
      </w:pPr>
      <w:r w:rsidRPr="00BD5EC7">
        <w:t xml:space="preserve">Zdroj: </w:t>
      </w:r>
      <w:r w:rsidRPr="002D6D7D">
        <w:t xml:space="preserve">IS VaVaI, Rejstřík informací </w:t>
      </w:r>
      <w:r>
        <w:t>o výsledcích stav k 31. 12. 2012</w:t>
      </w:r>
    </w:p>
    <w:p w:rsidR="009D46E6" w:rsidRDefault="009D46E6" w:rsidP="00866283"/>
    <w:p w:rsidR="009D46E6" w:rsidRDefault="009D46E6" w:rsidP="00866283">
      <w:r>
        <w:t xml:space="preserve">Společenské vědy ve využívání konferenčního publikování následují za technickými a informatickými vědami. V roce 2012 byl poměr časopiseckých a konferenčních publikací ve společenských vědách (souhrn shva, shvb, shvc) celkově 34 %:20 %. Pro společenské vědy je charakteristické vysoké zastoupení knižních výstupů. Ve skupině společenských, humanitních a uměleckých věd (shva) a společenských věd (shvc) je zastoupení knižních publikací (souhrn monografii a kapitol v odborných knihách: typ B + C) přibližně rovno podílu časopiseckých publikací (32-35 % v roce 2012). </w:t>
      </w:r>
    </w:p>
    <w:p w:rsidR="009D46E6" w:rsidRDefault="009D46E6" w:rsidP="00866283">
      <w:r>
        <w:t xml:space="preserve">V matematických vědách se přes mírný pokles o přibližně 9 procentní bodů v průběhu pěti let udrželo vysoké zastoupení konferenčních příspěvků na úrovni přibližně 30 % v roce 2012, což je nejvíce mezi fyzikálními a přírodními vědami. </w:t>
      </w:r>
    </w:p>
    <w:p w:rsidR="009D46E6" w:rsidRDefault="009D46E6" w:rsidP="00866283">
      <w:r>
        <w:t>Lékařské vědy vykazují ve srovnání s ostatními obory jedinečnou strukturu výstupů: 84 % výstupů (rok 2012) tvoří články v časopisech a ostatní typy výsledků přispívají nejvýše jednotkami procent. Překvapivý je nízký počet výsledků typu N (c</w:t>
      </w:r>
      <w:r w:rsidRPr="003E34A4">
        <w:t>ertifik</w:t>
      </w:r>
      <w:r>
        <w:t xml:space="preserve">ované metodiky, léčebné postupy...), který byl s výjimkou roku 2009 (14 výsledků) na úrovni několika výsledků/rok. </w:t>
      </w:r>
    </w:p>
    <w:p w:rsidR="009D46E6" w:rsidRDefault="009D46E6" w:rsidP="00866283">
      <w:r w:rsidRPr="005A5DE5">
        <w:t xml:space="preserve">Ve fyzikálních vědách </w:t>
      </w:r>
      <w:r>
        <w:t xml:space="preserve">jsou hlavním </w:t>
      </w:r>
      <w:r w:rsidRPr="005A5DE5">
        <w:t>výsledkem články v odborných periodikách</w:t>
      </w:r>
      <w:r>
        <w:t>, které</w:t>
      </w:r>
      <w:r w:rsidRPr="005A5DE5">
        <w:t xml:space="preserve"> </w:t>
      </w:r>
      <w:r>
        <w:t>tvořily 62</w:t>
      </w:r>
      <w:r w:rsidRPr="005A5DE5">
        <w:t xml:space="preserve"> % všech výsledků </w:t>
      </w:r>
      <w:r>
        <w:t xml:space="preserve">(rok 2012). </w:t>
      </w:r>
      <w:r w:rsidRPr="005A5DE5">
        <w:t>D</w:t>
      </w:r>
      <w:r>
        <w:t>ruhým nej</w:t>
      </w:r>
      <w:r w:rsidRPr="005A5DE5">
        <w:t>významn</w:t>
      </w:r>
      <w:r>
        <w:t>ějším</w:t>
      </w:r>
      <w:r w:rsidRPr="005A5DE5">
        <w:t xml:space="preserve"> prostředkem šíření výsledků fyzikálního výzkumu jsou přísp</w:t>
      </w:r>
      <w:r>
        <w:t>ěvky v konferenčních sbornících.</w:t>
      </w:r>
    </w:p>
    <w:p w:rsidR="009D46E6" w:rsidRDefault="009D46E6" w:rsidP="00866283">
      <w:r>
        <w:t>V</w:t>
      </w:r>
      <w:r w:rsidRPr="00336CC9">
        <w:t xml:space="preserve"> chemických vědách</w:t>
      </w:r>
      <w:r>
        <w:t xml:space="preserve"> je struktura výsledků velmi podobná fyzikálním oborům. R</w:t>
      </w:r>
      <w:r w:rsidRPr="00336CC9">
        <w:t xml:space="preserve">ychlý nárůst byl v chemických vědách zaznamenán v případě udělených patentů, </w:t>
      </w:r>
      <w:r>
        <w:t>kde došlo od roku 2009 do současnosti k více než dvojnásobnému nárůstu. Chemické vědy jsou po technických a informatických vědách druhým nejvýznamnějším tvůrcem patentů.</w:t>
      </w:r>
    </w:p>
    <w:p w:rsidR="009D46E6" w:rsidRPr="008C150D" w:rsidRDefault="009D46E6" w:rsidP="00866283">
      <w:pPr>
        <w:rPr>
          <w:rFonts w:cs="Arial"/>
          <w:color w:val="000000"/>
          <w:lang w:eastAsia="cs-CZ"/>
        </w:rPr>
      </w:pPr>
      <w:r w:rsidRPr="008C150D">
        <w:t xml:space="preserve">Vědy o Zemi a zemědělské vědy jsou hlavními tvůrci výsledků typu N - </w:t>
      </w:r>
      <w:r>
        <w:rPr>
          <w:rFonts w:cs="Arial"/>
          <w:color w:val="000000"/>
          <w:lang w:eastAsia="cs-CZ"/>
        </w:rPr>
        <w:t>c</w:t>
      </w:r>
      <w:r w:rsidRPr="008C150D">
        <w:rPr>
          <w:rFonts w:cs="Arial"/>
          <w:color w:val="000000"/>
          <w:lang w:eastAsia="cs-CZ"/>
        </w:rPr>
        <w:t>ertifikované metodiky, léčebné postupy, památkové postupy, specializované mapy s odborným obsahem</w:t>
      </w:r>
      <w:r>
        <w:rPr>
          <w:rFonts w:cs="Arial"/>
          <w:color w:val="000000"/>
          <w:lang w:eastAsia="cs-CZ"/>
        </w:rPr>
        <w:t>. V obou oborech je v roce 2012 zastoupení na celkovém počtu výsledků v oboru přibližně 22 %, přestože ve vědách o zemi došlo k meziročnímu poklesu o 25%. V zemědělských vědách naproti tomu počet těchto výsledků meziročně vzrostl o 98 %. V zemědělských vědách došlo v uplynulých 5 letech k největšímu poklesu publikování v konferenčních sbornících. V roce 2007 byl počet konferenčních příspěvků prakticky totožný s publikacemi v periodikách. V roce 2012 tvořily pouze třetinu publikací v periodikách.</w:t>
      </w:r>
    </w:p>
    <w:p w:rsidR="009D46E6" w:rsidRDefault="009D46E6" w:rsidP="00866283">
      <w:r w:rsidRPr="007126F9">
        <w:t xml:space="preserve">Biologické vědy </w:t>
      </w:r>
      <w:r>
        <w:t xml:space="preserve">vykazují druhý nejvyšší podíl </w:t>
      </w:r>
      <w:r w:rsidRPr="007126F9">
        <w:t>článků v odborných periodikách</w:t>
      </w:r>
      <w:r>
        <w:t xml:space="preserve"> na celkovém výstupu oboru (70 % v roce 2012</w:t>
      </w:r>
      <w:r w:rsidRPr="007126F9">
        <w:t xml:space="preserve">). Počet výsledků tohoto typu </w:t>
      </w:r>
      <w:r>
        <w:t>meziročně vzrostl o přibližně 13 %</w:t>
      </w:r>
      <w:r w:rsidRPr="007126F9">
        <w:t>. Nejrychleji rostly v</w:t>
      </w:r>
      <w:r>
        <w:t> předcházejících letech v</w:t>
      </w:r>
      <w:r w:rsidRPr="007126F9">
        <w:t xml:space="preserve"> biologických vědách výsledky typu udělený patent</w:t>
      </w:r>
      <w:r>
        <w:t>. V roce 2012 vzrostl počet udělených patentů o přibližně polovinu ve srovnání s rokem 2011.</w:t>
      </w:r>
      <w:r w:rsidRPr="007126F9">
        <w:t xml:space="preserve"> V porovnání s ostatními skupinami věd nepatří články ve sbornících mezi významný prostředek šíření informací o výsledcích</w:t>
      </w:r>
      <w:r>
        <w:t xml:space="preserve"> a v roce 2012 tvořily pouze přibližně 5 % všech výstupů v oboru.</w:t>
      </w:r>
    </w:p>
    <w:p w:rsidR="009D46E6" w:rsidRDefault="009D46E6" w:rsidP="00866283">
      <w:r>
        <w:t>Počty výsledky s aplikačním potenciálem (typy F, G, R, N) ve většině oborů od roku 2007 několikanásobně vzrostly. K oborům, kde byl tento růst největší, patří zemědělské vědy (téměř sedminásobný nárůst od roku 2007) a vědy o Zemi, kde došlo k téměř trojnásobnému růstu od roku 2007.</w:t>
      </w:r>
    </w:p>
    <w:p w:rsidR="009D46E6" w:rsidRDefault="009D46E6" w:rsidP="00866283"/>
    <w:p w:rsidR="009D46E6" w:rsidRDefault="009D46E6" w:rsidP="003C6E2E">
      <w:pPr>
        <w:pStyle w:val="Heading3"/>
      </w:pPr>
      <w:bookmarkStart w:id="151" w:name="_Toc369091887"/>
      <w:r>
        <w:t>Institucionální struktura výsledků evidovaných v Rejstříku informací o výsledcích IS VaVaI</w:t>
      </w:r>
      <w:bookmarkEnd w:id="151"/>
    </w:p>
    <w:p w:rsidR="009D46E6" w:rsidRDefault="009D46E6" w:rsidP="00866283">
      <w:r>
        <w:t>Institucionální rozdělení výsledků sleduje klasifikaci sektorů provádění VaV užívanou ČSÚ. ČSÚ rozděluje pracoviště VaV do čtyř sektorů: Podnikatelský, vládní, vysokoškolský a soukromý neziskový, které jsou dále rozděleny do celkem 11 skupin</w:t>
      </w:r>
      <w:r>
        <w:rPr>
          <w:rStyle w:val="FootnoteReference"/>
          <w:rFonts w:cs="MetaPro-Normal"/>
        </w:rPr>
        <w:footnoteReference w:id="23"/>
      </w:r>
      <w:r>
        <w:t>. Pro účely Analýzy je toto třídění zjednodušeno sloučením všech podnikatelských subjektů do jedné třídy. Tvůrci výsledků jsou v této kapitole agregování do devíti skupin</w:t>
      </w:r>
      <w:r>
        <w:rPr>
          <w:rStyle w:val="FootnoteReference"/>
          <w:rFonts w:cs="MetaPro-Normal"/>
        </w:rPr>
        <w:footnoteReference w:id="24"/>
      </w:r>
      <w:r>
        <w:t xml:space="preserve">: </w:t>
      </w:r>
    </w:p>
    <w:p w:rsidR="009D46E6" w:rsidRDefault="009D46E6" w:rsidP="000E3106">
      <w:pPr>
        <w:pStyle w:val="Odrky"/>
      </w:pPr>
      <w:r>
        <w:t>Podnikatelský sektor</w:t>
      </w:r>
    </w:p>
    <w:p w:rsidR="009D46E6" w:rsidRDefault="009D46E6" w:rsidP="000E3106">
      <w:pPr>
        <w:pStyle w:val="Odrky"/>
      </w:pPr>
      <w:r>
        <w:t>Vládní sektor - pracoviště AV ČR</w:t>
      </w:r>
    </w:p>
    <w:p w:rsidR="009D46E6" w:rsidRDefault="009D46E6" w:rsidP="000E3106">
      <w:pPr>
        <w:pStyle w:val="Odrky"/>
      </w:pPr>
      <w:r>
        <w:t>Vládní sektor - rezortní výzkumná pracoviště</w:t>
      </w:r>
    </w:p>
    <w:p w:rsidR="009D46E6" w:rsidRDefault="009D46E6" w:rsidP="000E3106">
      <w:pPr>
        <w:pStyle w:val="Odrky"/>
      </w:pPr>
      <w:r>
        <w:t>Vládní sektor - knihovny , archivy, muzea</w:t>
      </w:r>
    </w:p>
    <w:p w:rsidR="009D46E6" w:rsidRDefault="009D46E6" w:rsidP="000E3106">
      <w:pPr>
        <w:pStyle w:val="Odrky"/>
      </w:pPr>
      <w:r>
        <w:t>Vládní sektor - ostatní</w:t>
      </w:r>
    </w:p>
    <w:p w:rsidR="009D46E6" w:rsidRDefault="009D46E6" w:rsidP="000E3106">
      <w:pPr>
        <w:pStyle w:val="Odrky"/>
      </w:pPr>
      <w:r>
        <w:t>Vysokoškolský sektor - veřejné a státní vysoké školy</w:t>
      </w:r>
    </w:p>
    <w:p w:rsidR="009D46E6" w:rsidRDefault="009D46E6" w:rsidP="000E3106">
      <w:pPr>
        <w:pStyle w:val="Odrky"/>
      </w:pPr>
      <w:r>
        <w:t>Vysokoškolský sektor - fakultní nemocnice</w:t>
      </w:r>
    </w:p>
    <w:p w:rsidR="009D46E6" w:rsidRDefault="009D46E6" w:rsidP="000E3106">
      <w:pPr>
        <w:pStyle w:val="Odrky"/>
      </w:pPr>
      <w:r>
        <w:t>Vysokoškolský sektor - soukromé vysoké školy</w:t>
      </w:r>
    </w:p>
    <w:p w:rsidR="009D46E6" w:rsidRDefault="009D46E6" w:rsidP="000E3106">
      <w:pPr>
        <w:pStyle w:val="Odrky"/>
      </w:pPr>
      <w:r>
        <w:t>Soukromý neziskový sektor</w:t>
      </w:r>
    </w:p>
    <w:p w:rsidR="009D46E6" w:rsidRDefault="009D46E6" w:rsidP="00866283"/>
    <w:p w:rsidR="009D46E6" w:rsidRDefault="009D46E6" w:rsidP="00866283">
      <w:r>
        <w:t>Jak bylo ukázáno v předcházejícím oddílu, rozdílná oborová struktura sama o sobě vede k rozdílnému zastoupení prostředků pro šíření výsledků VaV. Proto je potřeba při interpretaci údajů o výsledcích v jednotlivých skupinách tvůrců zohlednit jejich rozdílné oborové struktury a zastoupeni jednotlivých oborových skupin v institucionálním výzkumném portfoliu.</w:t>
      </w:r>
    </w:p>
    <w:p w:rsidR="009D46E6" w:rsidRDefault="009D46E6" w:rsidP="00866283">
      <w:r>
        <w:t xml:space="preserve">Dominantním typem výsledků v podnikatelském sektoru jsou výsledky s aplikačním potenciálem: </w:t>
      </w:r>
      <w:r w:rsidRPr="00870FD1">
        <w:t>Metodiky, prototyp, funkční vzorek, užitný/průmyslový vzor, software</w:t>
      </w:r>
      <w:r>
        <w:t xml:space="preserve"> (F, G, H, N, R, Z). Ve srovnání s ostatními sektory mají tyto výsledky v podnikatelském sektoru největší podíl. Přesto i v podnikatelském sektoru jsou významnými typy výsledků článek v periodiku (J) a články ve sbornících (D), které v souhrnu převyšují </w:t>
      </w:r>
      <w:r w:rsidRPr="00067CFB">
        <w:t>zastoupení aplikačních výstupů (Graf C.2).</w:t>
      </w:r>
    </w:p>
    <w:p w:rsidR="009D46E6" w:rsidRDefault="009D46E6" w:rsidP="00786253">
      <w:r w:rsidRPr="00A1397E">
        <w:t xml:space="preserve">Oborové rozdělní výsledků VaV evidovaných v RIV prokazuje rozdílnou formu šíření znalostí </w:t>
      </w:r>
      <w:r>
        <w:t>v jednotlivých vědních oborech.</w:t>
      </w:r>
    </w:p>
    <w:p w:rsidR="009D46E6" w:rsidRPr="004C22D7" w:rsidRDefault="009D46E6" w:rsidP="00786253">
      <w:r w:rsidRPr="004C22D7">
        <w:t>Ve vládním výzkumném sektoru jednoznačně převažují publikace v odborných periodikách, přičemž tento typ má nadpoloviční podíl na pracovištích AV ČR a ve vládním sektoru nespadajícím do uvedených třech specifických skupin. Publikace v</w:t>
      </w:r>
      <w:r>
        <w:t xml:space="preserve"> </w:t>
      </w:r>
      <w:r w:rsidRPr="004C22D7">
        <w:t xml:space="preserve">konferenčních sbornících v rámci vládního sektoru jsou relativně k časopiseckým publikacím podstatně méně zastoupeny ve srovnání s podnikatelským sektorem. Důvodem je pravděpodobně převaha technických věd, v nichž převažuje publikování ve sbornících nad články v odborných periodikách ve VaV podnikatelských subjektů. Knihovny, muzea a archivy mají ze všech sektorů VaV nejvyšší podíl knižních publikaci (přibližně 30 %). </w:t>
      </w:r>
    </w:p>
    <w:p w:rsidR="009D46E6" w:rsidRDefault="009D46E6" w:rsidP="00786253">
      <w:r>
        <w:t xml:space="preserve">Nejvyšší podíl výstupů ve vysokoškolském sektoru tvoří rovněž publikace v odborných časopisech, avšak ve veřejné a státní VŠ (majorita VŠ sektoru) 31 % výstupů zaujímají příspěvky v konferenčních sbornících, což je nejvyšší podíl ze všech VaV sektorů. Struktura výsledků fakultních nemocnic je značně ve srovnání s ostatními sektory VaV značně rozdílná. Téměř 90 % výsledků tvoří publikace v odborných časopisech a celkově jiné než publikační výstupy (J, B, C, D) tvoří necelé 2 % všech výstupů. Struktura výsledků ostatní VŠ, jejichž podíl na VŠ sektoru je relativně malý, je podobná veřejným VŠ s tím, že knižní publikace zaujímají přibližně 2krát větší podíl. </w:t>
      </w:r>
    </w:p>
    <w:p w:rsidR="009D46E6" w:rsidRDefault="009D46E6" w:rsidP="00866283"/>
    <w:p w:rsidR="009D46E6" w:rsidRPr="00BD5EC7" w:rsidRDefault="009D46E6" w:rsidP="00750D9B">
      <w:pPr>
        <w:pStyle w:val="Caption"/>
      </w:pPr>
      <w:bookmarkStart w:id="152" w:name="_Toc369092041"/>
      <w:r>
        <w:t xml:space="preserve">Graf </w:t>
      </w:r>
      <w:fldSimple w:instr=" STYLEREF 1 \s ">
        <w:r>
          <w:rPr>
            <w:noProof/>
          </w:rPr>
          <w:t>C</w:t>
        </w:r>
      </w:fldSimple>
      <w:r>
        <w:t>.</w:t>
      </w:r>
      <w:fldSimple w:instr=" SEQ Graf \* ARABIC \s 1 ">
        <w:r>
          <w:rPr>
            <w:noProof/>
          </w:rPr>
          <w:t>2</w:t>
        </w:r>
      </w:fldSimple>
      <w:r w:rsidRPr="00BD5EC7">
        <w:t xml:space="preserve">: </w:t>
      </w:r>
      <w:r w:rsidRPr="00564B23">
        <w:t>Celkové počty výsledků v kategoriích v letech 2008 - 2012 podle sektorů</w:t>
      </w:r>
      <w:bookmarkEnd w:id="152"/>
    </w:p>
    <w:p w:rsidR="009D46E6" w:rsidRPr="001362DB" w:rsidRDefault="009D46E6" w:rsidP="001D7F37">
      <w:pPr>
        <w:pStyle w:val="Objekt"/>
      </w:pPr>
      <w:r w:rsidRPr="001D1D98">
        <w:object w:dxaOrig="9505" w:dyaOrig="7834">
          <v:shape id="Graf 92" o:spid="_x0000_i1166" type="#_x0000_t75" style="width:481.8pt;height:394.2pt;visibility:visible" o:ole="">
            <v:imagedata r:id="rId158" o:title="" croptop="-887f" cropbottom="-945f" cropleft="-131f" cropright="-793f"/>
            <o:lock v:ext="edit" aspectratio="f"/>
          </v:shape>
          <o:OLEObject Type="Embed" ProgID="Excel.Chart.8" ShapeID="Graf 92" DrawAspect="Content" ObjectID="_1443504522" r:id="rId159"/>
        </w:object>
      </w:r>
    </w:p>
    <w:p w:rsidR="009D46E6" w:rsidRDefault="009D46E6" w:rsidP="00866283">
      <w:pPr>
        <w:pStyle w:val="Zdroj"/>
      </w:pPr>
      <w:r w:rsidRPr="00564B23">
        <w:t>Zdroj: IS VaVaI, Rejstřík informací o výsledcích stav k 31. 12. 2012</w:t>
      </w:r>
    </w:p>
    <w:p w:rsidR="009D46E6" w:rsidRDefault="009D46E6" w:rsidP="00866283"/>
    <w:p w:rsidR="009D46E6" w:rsidRDefault="009D46E6" w:rsidP="00866283">
      <w:r>
        <w:t>Struktura publikačních výstupů soukromého neziskového sektoru je na přibližně stejné úrovni jako v podnikatelském sektoru. Ve výsledcích soukromého neziskového sektoru převažují výsledky zařazené do skupiny ostatních (</w:t>
      </w:r>
      <w:r w:rsidRPr="004157C7">
        <w:t>(A</w:t>
      </w:r>
      <w:r>
        <w:t>,</w:t>
      </w:r>
      <w:r w:rsidRPr="004157C7">
        <w:t xml:space="preserve"> E</w:t>
      </w:r>
      <w:r>
        <w:t>,</w:t>
      </w:r>
      <w:r w:rsidRPr="004157C7">
        <w:t xml:space="preserve"> H</w:t>
      </w:r>
      <w:r>
        <w:t>,</w:t>
      </w:r>
      <w:r w:rsidRPr="004157C7">
        <w:t xml:space="preserve"> M</w:t>
      </w:r>
      <w:r>
        <w:t>,</w:t>
      </w:r>
      <w:r w:rsidRPr="004157C7">
        <w:t xml:space="preserve"> O</w:t>
      </w:r>
      <w:r>
        <w:t>,</w:t>
      </w:r>
      <w:r w:rsidRPr="004157C7">
        <w:t xml:space="preserve"> V</w:t>
      </w:r>
      <w:r>
        <w:t>,</w:t>
      </w:r>
      <w:r w:rsidRPr="004157C7">
        <w:t xml:space="preserve"> W</w:t>
      </w:r>
      <w:r>
        <w:t>).</w:t>
      </w:r>
    </w:p>
    <w:p w:rsidR="009D46E6" w:rsidRDefault="009D46E6" w:rsidP="00866283">
      <w:r>
        <w:t>Podíl jednotlivých sektorů VaV na výsledcích je uveden v grafu C.3. Hlavním producentem výsledků, je, jak vyplývá z celkové velikosti sektorů, vysokoškolský sektor. V publikačních výstupech je struktura výsledků VŠ sektoru srovnatelná s vládním sektorem, v němž je nejvýznamnějším přispěvatelem AV ČR. V oblasti výsledků s aplikačním potenciálem vládní sektor přispívá podstatně více, než odpovídá jeho podílu na financování i lidských zdrojích. Z vládního sektoru pochází přibližně třetina udělených patentů v uplynulých pěti letech a vládní sektor převyšuje v podílu na patentech podnikatelský sektor přibližně třikrát. Ve skupině sjednocující další výsledky s aplikačním potenciálem (F, G, N, R, Z) je podíl vládního sektoru na stejné úrovni jako podíl podnikatelského sektoru. Vládní sektor s dominantní výzkumnou kapacitou AV ČR je významným producentem znalostí a poznatků s aplikačním potenciálem v rámci českého VaV systému.</w:t>
      </w:r>
    </w:p>
    <w:p w:rsidR="009D46E6" w:rsidRPr="00BD5EC7" w:rsidRDefault="009D46E6" w:rsidP="00750D9B">
      <w:pPr>
        <w:pStyle w:val="Caption"/>
        <w:tabs>
          <w:tab w:val="clear" w:pos="1276"/>
          <w:tab w:val="left" w:pos="993"/>
        </w:tabs>
        <w:ind w:left="993" w:hanging="993"/>
      </w:pPr>
      <w:bookmarkStart w:id="153" w:name="_Toc369092042"/>
      <w:r>
        <w:t xml:space="preserve">Graf </w:t>
      </w:r>
      <w:fldSimple w:instr=" STYLEREF 1 \s ">
        <w:r>
          <w:rPr>
            <w:noProof/>
          </w:rPr>
          <w:t>C</w:t>
        </w:r>
      </w:fldSimple>
      <w:r>
        <w:t>.</w:t>
      </w:r>
      <w:fldSimple w:instr=" SEQ Graf \* ARABIC \s 1 ">
        <w:r>
          <w:rPr>
            <w:noProof/>
          </w:rPr>
          <w:t>3</w:t>
        </w:r>
      </w:fldSimple>
      <w:r w:rsidRPr="00BD5EC7">
        <w:t xml:space="preserve">: </w:t>
      </w:r>
      <w:r w:rsidRPr="00564B23">
        <w:t>Celkové počty výsledků v kategoriích v letech 2008 - 2012 podle hlavních sektorů prováděni VaV</w:t>
      </w:r>
      <w:bookmarkEnd w:id="153"/>
    </w:p>
    <w:p w:rsidR="009D46E6" w:rsidRDefault="009D46E6" w:rsidP="001D7F37">
      <w:pPr>
        <w:pStyle w:val="Objekt"/>
      </w:pPr>
      <w:r w:rsidRPr="001D1D98">
        <w:object w:dxaOrig="9063" w:dyaOrig="3466">
          <v:shape id="Graf 93" o:spid="_x0000_i1167" type="#_x0000_t75" style="width:480.6pt;height:180.6pt;visibility:visible" o:ole="">
            <v:imagedata r:id="rId160" o:title="" croptop="-1267f" cropbottom="-1550f" cropleft="-3124f" cropright="-875f"/>
            <o:lock v:ext="edit" aspectratio="f"/>
          </v:shape>
          <o:OLEObject Type="Embed" ProgID="Excel.Chart.8" ShapeID="Graf 93" DrawAspect="Content" ObjectID="_1443504523" r:id="rId161"/>
        </w:object>
      </w:r>
    </w:p>
    <w:p w:rsidR="009D46E6" w:rsidRDefault="009D46E6" w:rsidP="00866283">
      <w:pPr>
        <w:pStyle w:val="Zdroj"/>
      </w:pPr>
      <w:r w:rsidRPr="00564B23">
        <w:t>Zdroj: IS VaVaI, Rejstřík informací o výsledcích stav k 31. 12. 2012</w:t>
      </w:r>
    </w:p>
    <w:p w:rsidR="009D46E6" w:rsidRDefault="009D46E6" w:rsidP="00866283"/>
    <w:p w:rsidR="009D46E6" w:rsidRDefault="009D46E6" w:rsidP="00866283">
      <w:r>
        <w:t>V grafu C.4 je znázorněna oborová dynamika výzkumných aktivit ve veřejných a státních VŠ a AVČR jak se projevuje v produkci převažujících výsledků - časopiseckých článků a konferenčních příspěvku. Ve skupině veřejných výzkumných institucí zřízených AV ČR došlo v uplynulých pěti letech k výraznému růstu článků v odborných časopisech na úrovni přibližně 10 % v technických a informatických vědách, fyzikálních vědách, biologických vědách a lékařských vědách. K výraznému poklesu publikování došlo v AV ČR ve dvou oblastech společenských a humanitních věd (shva, shvc). Produkce publikací v ostatních oborech spíše stagnovala a ve sledovaném období se změnila jen o několik procent. K největšímu poklesu publikování v konferenčních sbornících došlo ve vědách o Zemi, biologických vědách a chemii. Výjimku tvoří matematické vědy, kde nárůst publikací v konferenčních sbornících předstihl časopisecké články.</w:t>
      </w:r>
    </w:p>
    <w:p w:rsidR="009D46E6" w:rsidRDefault="009D46E6" w:rsidP="00866283">
      <w:r>
        <w:t>Ve vysokoškolské sféře došlo ve sledovaném období k růstu v oblasti společenských věd (shvb) o přibližně 80 %. S výjimkou společenských věd (shvc) a zemědělských věd počet článků v odborných časopisech ve sledovaném období vzrostl o 10-30 %. Zemědělské vědy jsou jediným oborem, kde došlo k výraznému, téměř 20% poklesu. Pokles publikování v konferenčních sbornících byl ve VŠ sféře celkově méně výrazný než v AV ČR.</w:t>
      </w:r>
    </w:p>
    <w:p w:rsidR="009D46E6" w:rsidRPr="00BD5EC7" w:rsidRDefault="009D46E6" w:rsidP="00750D9B">
      <w:pPr>
        <w:pStyle w:val="Caption"/>
        <w:tabs>
          <w:tab w:val="clear" w:pos="1276"/>
          <w:tab w:val="left" w:pos="993"/>
        </w:tabs>
        <w:ind w:left="993" w:hanging="993"/>
      </w:pPr>
      <w:bookmarkStart w:id="154" w:name="_Toc369092043"/>
      <w:r>
        <w:t xml:space="preserve">Graf </w:t>
      </w:r>
      <w:fldSimple w:instr=" STYLEREF 1 \s ">
        <w:r>
          <w:rPr>
            <w:noProof/>
          </w:rPr>
          <w:t>C</w:t>
        </w:r>
      </w:fldSimple>
      <w:r>
        <w:t>.</w:t>
      </w:r>
      <w:fldSimple w:instr=" SEQ Graf \* ARABIC \s 1 ">
        <w:r>
          <w:rPr>
            <w:noProof/>
          </w:rPr>
          <w:t>4</w:t>
        </w:r>
      </w:fldSimple>
      <w:r w:rsidRPr="00BD5EC7">
        <w:t xml:space="preserve">: </w:t>
      </w:r>
      <w:r w:rsidRPr="00564B23">
        <w:t>Oborově rozdělené výsledky v kategorii publikace v odborných periodikách (J) a články ve sbornících z akcí (D) vytvořené v AV ČR a veřejnými a státními vysokými školami (VVŠ) vztažené k roku 2008</w:t>
      </w:r>
      <w:bookmarkEnd w:id="154"/>
    </w:p>
    <w:p w:rsidR="009D46E6" w:rsidRDefault="009D46E6" w:rsidP="001D7F37">
      <w:pPr>
        <w:pStyle w:val="Objekt"/>
      </w:pPr>
      <w:r w:rsidRPr="001D1D98">
        <w:object w:dxaOrig="8708" w:dyaOrig="4733">
          <v:shape id="Graf 94" o:spid="_x0000_i1168" type="#_x0000_t75" style="width:453.6pt;height:240.6pt;visibility:visible" o:ole="">
            <v:imagedata r:id="rId162" o:title="" croptop="-1731f" cropbottom="-651f" cropleft="-1227f" cropright="-1543f"/>
            <o:lock v:ext="edit" aspectratio="f"/>
          </v:shape>
          <o:OLEObject Type="Embed" ProgID="Excel.Chart.8" ShapeID="Graf 94" DrawAspect="Content" ObjectID="_1443504524" r:id="rId163"/>
        </w:object>
      </w:r>
    </w:p>
    <w:p w:rsidR="009D46E6" w:rsidRDefault="009D46E6" w:rsidP="00866283">
      <w:pPr>
        <w:pStyle w:val="Zdroj"/>
      </w:pPr>
      <w:r w:rsidRPr="00564B23">
        <w:t>Zdroj: IS VaVaI, Rejstřík informací o výsledcích stav k 31. 12. 2012</w:t>
      </w:r>
    </w:p>
    <w:p w:rsidR="009D46E6" w:rsidRDefault="009D46E6" w:rsidP="00866283">
      <w:r>
        <w:t xml:space="preserve">Ve skupině výsledků s aplikačním potenciálem došlo jak v AV ČR, tak ve vysokoškolské sféře k vysokému nárůstu výsledků v zemědělských vědách. Druhým oborem s velkým nárůstem těchto výsledků v AV ČR byly fyzikální vědy. S výjimkou chemických věd, kde došlo k malému růstu, v ostatních oborech došlo v AV ČR k poklesu tvorby těchto výsledků </w:t>
      </w:r>
      <w:r w:rsidRPr="00067CFB">
        <w:t>(viz graf C</w:t>
      </w:r>
      <w:r>
        <w:t>.</w:t>
      </w:r>
      <w:r w:rsidRPr="00067CFB">
        <w:t>5).</w:t>
      </w:r>
    </w:p>
    <w:p w:rsidR="009D46E6" w:rsidRDefault="009D46E6" w:rsidP="00866283">
      <w:r>
        <w:t>Vysoké školy vykázaly vysoký růst těchto výsledků ve většině oborů. V zemědělských vědách dokonce patnáctinásobný a v biologických oborech osminásobný. Podstatný nárůst výsledků s aplikačním potenciálem může svědčit orientaci výzkumných kapacit směrem k a aplikovanému výzkumu. Bez detailnější analýzy nelze však vyhodnotit finanční přínos, ani úspěšnost absorpce nových poznatků v podnikatelské sféře. Je nutno také vzít v úvahu</w:t>
      </w:r>
      <w:r w:rsidRPr="004C22D7">
        <w:t>, že tyto výsledky nepodléhají rigoróznímu posuzováni</w:t>
      </w:r>
      <w:r>
        <w:t>,</w:t>
      </w:r>
      <w:r w:rsidRPr="004C22D7">
        <w:t xml:space="preserve"> jako je patentové řízení či peer-review v případě publikací</w:t>
      </w:r>
      <w:r>
        <w:t>,</w:t>
      </w:r>
      <w:r w:rsidRPr="004C22D7">
        <w:t xml:space="preserve"> a k</w:t>
      </w:r>
      <w:r>
        <w:t xml:space="preserve"> jejich nárůstu může být přispět i účelová reakce na Metodiky hodnocení VaV užívané v uplynulých letech.</w:t>
      </w:r>
    </w:p>
    <w:p w:rsidR="009D46E6" w:rsidRPr="00BD5EC7" w:rsidRDefault="009D46E6" w:rsidP="00750D9B">
      <w:pPr>
        <w:pStyle w:val="Caption"/>
        <w:tabs>
          <w:tab w:val="clear" w:pos="1276"/>
          <w:tab w:val="left" w:pos="993"/>
        </w:tabs>
        <w:ind w:left="993" w:hanging="993"/>
      </w:pPr>
      <w:bookmarkStart w:id="155" w:name="_Toc369092044"/>
      <w:r>
        <w:t xml:space="preserve">Graf </w:t>
      </w:r>
      <w:fldSimple w:instr=" STYLEREF 1 \s ">
        <w:r>
          <w:rPr>
            <w:noProof/>
          </w:rPr>
          <w:t>C</w:t>
        </w:r>
      </w:fldSimple>
      <w:r>
        <w:t>.</w:t>
      </w:r>
      <w:fldSimple w:instr=" SEQ Graf \* ARABIC \s 1 ">
        <w:r>
          <w:rPr>
            <w:noProof/>
          </w:rPr>
          <w:t>5</w:t>
        </w:r>
      </w:fldSimple>
      <w:r w:rsidRPr="00BD5EC7">
        <w:t xml:space="preserve">: </w:t>
      </w:r>
      <w:r w:rsidRPr="00564B23">
        <w:t>Oborově rozdělené výsledky aplikovaného charakteru (F, G, N, R, Z), vytvořené v.v.i</w:t>
      </w:r>
      <w:r>
        <w:t>.</w:t>
      </w:r>
      <w:r w:rsidRPr="00564B23">
        <w:t xml:space="preserve"> AV ČR a veřejnými a státními vysokými školami (VVŠ) vztažené k roku 2008</w:t>
      </w:r>
      <w:bookmarkEnd w:id="155"/>
    </w:p>
    <w:p w:rsidR="009D46E6" w:rsidRDefault="009D46E6" w:rsidP="001D7F37">
      <w:pPr>
        <w:pStyle w:val="Objekt"/>
      </w:pPr>
      <w:r w:rsidRPr="001D1D98">
        <w:pict>
          <v:shape id="Graf 95" o:spid="_x0000_i1169" type="#_x0000_t75" style="width:449.4pt;height:230.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BaGmx3QAAAAUBAAAPAAAAZHJzL2Rvd25y&#10;ZXYueG1sTI9PS8NAEMXvgt9hGcGL2N2mpbYxmyKC9Cb0j4K3bXbMBrOzITtN47d39VIvA4/3eO83&#10;xXr0rRiwj00gDdOJAoFUBdtQreGwf7lfgohsyJo2EGr4xgjr8vqqMLkNZ9risONapBKKudHgmLtc&#10;ylg59CZOQoeUvM/Qe8NJ9rW0vTmnct/KTKmF9KahtOBMh88Oq6/dyWv42L9uhnG+zd5X0+zNbe5m&#10;B6aZ1rc349MjCMaRL2H4xU/oUCamYziRjaLVkB7hv5u8lXrIQBw1zBdqCbIs5H/68gc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">
            <v:imagedata r:id="rId164" o:title="" croptop="-711f" cropbottom="-2029f" cropleft="-1185f" cropright="-3101f"/>
            <o:lock v:ext="edit" aspectratio="f"/>
          </v:shape>
        </w:pict>
      </w:r>
    </w:p>
    <w:p w:rsidR="009D46E6" w:rsidRPr="00564B23" w:rsidRDefault="009D46E6" w:rsidP="00866283">
      <w:pPr>
        <w:pStyle w:val="Zdroj"/>
      </w:pPr>
      <w:r w:rsidRPr="00564B23">
        <w:t>Pozn: součet kategorií F,G ,N, R a Z</w:t>
      </w:r>
    </w:p>
    <w:p w:rsidR="009D46E6" w:rsidRPr="00564B23" w:rsidRDefault="009D46E6" w:rsidP="00866283">
      <w:pPr>
        <w:pStyle w:val="Zdroj"/>
      </w:pPr>
      <w:r w:rsidRPr="00564B23">
        <w:t>Zdroj: IS VaVaI, Rejstřík informací o výsledcích stav k 31. 12. 2012</w:t>
      </w:r>
    </w:p>
    <w:p w:rsidR="009D46E6" w:rsidRDefault="009D46E6" w:rsidP="00866283"/>
    <w:p w:rsidR="009D46E6" w:rsidRDefault="009D46E6" w:rsidP="00866283">
      <w:r>
        <w:t>Počty patentů udělených institucí AV ČR a veřejným vysokým školám jsou uvedeny v </w:t>
      </w:r>
      <w:r w:rsidRPr="00067CFB">
        <w:t>tabulce</w:t>
      </w:r>
      <w:r>
        <w:t xml:space="preserve"> C.2. Jak v AV ČR, tak na vysokých školách došlo ve většině oborů k velkému nárůstu udělených patentů. S výjimkou technických a informatických věd, kde AV ČR má velmi malé výzkumné kapacity, jsou počty udělených patentů velmi vyrovnané. S ohledem na celkově menší výzkumnou kapacitu AV ČR ve srovnání s vysokoškolským systémem to ukazuje na podstatně vyšší péči o duševní vlastnictví a větší potenciál VaV generovat patentovatelné výsledky. Bez hlubšího a především finančního hodnocení přínosu patentů je však nemožné detailněji ohodnotit skutečný efekt patentových aktivit.</w:t>
      </w:r>
    </w:p>
    <w:p w:rsidR="009D46E6" w:rsidRDefault="009D46E6" w:rsidP="00750D9B">
      <w:pPr>
        <w:pStyle w:val="Caption"/>
      </w:pPr>
      <w:bookmarkStart w:id="156" w:name="_Toc369091931"/>
      <w:r>
        <w:t xml:space="preserve">Tabulka </w:t>
      </w:r>
      <w:fldSimple w:instr=" STYLEREF 1 \s ">
        <w:r>
          <w:rPr>
            <w:noProof/>
          </w:rPr>
          <w:t>C</w:t>
        </w:r>
      </w:fldSimple>
      <w:r>
        <w:t>.</w:t>
      </w:r>
      <w:fldSimple w:instr=" SEQ Tabulka \* ARABIC \s 1 ">
        <w:r>
          <w:rPr>
            <w:noProof/>
          </w:rPr>
          <w:t>2</w:t>
        </w:r>
      </w:fldSimple>
      <w:r w:rsidRPr="00BC1D05">
        <w:t xml:space="preserve">: </w:t>
      </w:r>
      <w:r w:rsidRPr="00564B23">
        <w:t>Oborově rozdělené počty patentů registrovaných AV ČR a veřejnými a státními vysokými školami (VVŠ) v letech 2008 - 2012</w:t>
      </w:r>
      <w:bookmarkEnd w:id="156"/>
    </w:p>
    <w:p w:rsidR="009D46E6" w:rsidRPr="00564B23" w:rsidRDefault="009D46E6" w:rsidP="001D7F37">
      <w:pPr>
        <w:pStyle w:val="Objekt"/>
      </w:pPr>
      <w:r w:rsidRPr="001D1D98">
        <w:pict>
          <v:shape id="Obrázek 320" o:spid="_x0000_i1170" type="#_x0000_t75" style="width:479.4pt;height:279pt;visibility:visible">
            <v:imagedata r:id="rId165" o:title=""/>
          </v:shape>
        </w:pict>
      </w:r>
    </w:p>
    <w:p w:rsidR="009D46E6" w:rsidRPr="00564B23" w:rsidRDefault="009D46E6" w:rsidP="00866283">
      <w:pPr>
        <w:pStyle w:val="Zdroj"/>
      </w:pPr>
      <w:r w:rsidRPr="00564B23">
        <w:t>Pozn.: Obory, v nichž nebyl udělen patent, nejsou v tabulce uvedeny – společenské vědy shvb a matematické vědy</w:t>
      </w:r>
    </w:p>
    <w:p w:rsidR="009D46E6" w:rsidRDefault="009D46E6" w:rsidP="00866283">
      <w:pPr>
        <w:pStyle w:val="Zdroj"/>
      </w:pPr>
      <w:r w:rsidRPr="00564B23">
        <w:t>Zdroj: IS VaVaI, Rejstřík informací o výsledcích stav k 31. 12. 2012</w:t>
      </w:r>
    </w:p>
    <w:p w:rsidR="009D46E6" w:rsidRPr="00786253" w:rsidRDefault="009D46E6" w:rsidP="00786253"/>
    <w:p w:rsidR="009D46E6" w:rsidRDefault="009D46E6" w:rsidP="003C6E2E">
      <w:pPr>
        <w:pStyle w:val="Heading3"/>
      </w:pPr>
      <w:bookmarkStart w:id="157" w:name="_Toc369091888"/>
      <w:r>
        <w:t>Rozdělení výsledků evidovaných v Rejstříku informací o výsledcích IS VaVaI podle poskytovatelů finanční podpory</w:t>
      </w:r>
      <w:bookmarkEnd w:id="157"/>
    </w:p>
    <w:p w:rsidR="009D46E6" w:rsidRDefault="009D46E6" w:rsidP="00866283">
      <w:r>
        <w:t>Celkově největší počet výsledků vznikl za podpory MŠMT, GA ČR a AV ČR. Ze státních orgánů po MŠMT nejvíce výsledků vzniklo v resortech Ministerstva zdravotnictví, Ministerstva průmyslu a obchodu a Ministerstva zemědělství (t</w:t>
      </w:r>
      <w:r w:rsidRPr="00067CFB">
        <w:t>abulka C.3</w:t>
      </w:r>
      <w:r>
        <w:t>). S výjimkou Českého úřadu zeměměřičského a katastrálního, Ministerstva zahraničních věcí a Technologické agentury většinu výsledků tvoří výsledky publikačního typu (B, C, D, J).</w:t>
      </w:r>
    </w:p>
    <w:p w:rsidR="009D46E6" w:rsidRDefault="009D46E6" w:rsidP="00866283">
      <w:r>
        <w:t>Na absolutní škále nejvíce patentů vzniklo v rámci podpory MŠMT a AV ČR. Relativně k celkovým počtům výsledků největší podíl patentů vznikl v rámci VaV podporovaného Ministerstvem průmyslu a obchodu (1,0 %), Ministerstva zemědělství (0,8 %) a AV ČR (0,6 %). V podílu aplikovaných výsledků vede Bezpečnostní a informační služba (40 %) a Národní bezpečnostní úřad (100 %). V případě těchto dvou institucí je však statistika pravděpodobně zkreslena v důsledku utajení části výzkumných aktivit, jejichž výsledky nejsou specifikovány v RIV. V podílu aplikovaných výsledků převažují Ministerstvo dopravy (24 %), Technologická agentura (36 %), Ministerstvo životního prostředí (34 %), Státní úřad pro jadernou bezpečnost (32 %) a Ministerstvo průmyslu a obchodu (28 %). Oproti období let 2007-2011 vzrostl počet aplikovaných výsledků vzniklých v rámci výzkumu financovanému TA ČR o 12 procentních bodů.</w:t>
      </w:r>
    </w:p>
    <w:p w:rsidR="009D46E6" w:rsidRDefault="009D46E6">
      <w:pPr>
        <w:spacing w:before="200" w:after="200" w:line="276" w:lineRule="auto"/>
        <w:jc w:val="left"/>
        <w:rPr>
          <w:rFonts w:cs="Tahoma"/>
          <w:b/>
          <w:bCs/>
          <w:i/>
          <w:color w:val="595959"/>
          <w:szCs w:val="18"/>
        </w:rPr>
      </w:pPr>
      <w:r>
        <w:br w:type="page"/>
      </w:r>
    </w:p>
    <w:p w:rsidR="009D46E6" w:rsidRDefault="009D46E6" w:rsidP="00750D9B">
      <w:pPr>
        <w:pStyle w:val="Caption"/>
      </w:pPr>
      <w:bookmarkStart w:id="158" w:name="_Toc369091932"/>
      <w:r>
        <w:t xml:space="preserve">Tabulka </w:t>
      </w:r>
      <w:fldSimple w:instr=" STYLEREF 1 \s ">
        <w:r>
          <w:rPr>
            <w:noProof/>
          </w:rPr>
          <w:t>C</w:t>
        </w:r>
      </w:fldSimple>
      <w:r>
        <w:t>.</w:t>
      </w:r>
      <w:fldSimple w:instr=" SEQ Tabulka \* ARABIC \s 1 ">
        <w:r>
          <w:rPr>
            <w:noProof/>
          </w:rPr>
          <w:t>3</w:t>
        </w:r>
      </w:fldSimple>
      <w:r w:rsidRPr="00BC1D05">
        <w:t xml:space="preserve">: </w:t>
      </w:r>
      <w:r w:rsidRPr="00564B23">
        <w:t>Celkové počty výsledků v letech 2008 - 2012 podle poskytovatelů veřejných prostředků na VaVaI</w:t>
      </w:r>
      <w:bookmarkEnd w:id="158"/>
    </w:p>
    <w:tbl>
      <w:tblPr>
        <w:tblW w:w="9654" w:type="dxa"/>
        <w:tblInd w:w="55" w:type="dxa"/>
        <w:tblLayout w:type="fixed"/>
        <w:tblCellMar>
          <w:left w:w="70" w:type="dxa"/>
          <w:right w:w="70" w:type="dxa"/>
        </w:tblCellMar>
        <w:tblLook w:val="00A0"/>
      </w:tblPr>
      <w:tblGrid>
        <w:gridCol w:w="2280"/>
        <w:gridCol w:w="1278"/>
        <w:gridCol w:w="993"/>
        <w:gridCol w:w="852"/>
        <w:gridCol w:w="1134"/>
        <w:gridCol w:w="1134"/>
        <w:gridCol w:w="39"/>
        <w:gridCol w:w="1944"/>
      </w:tblGrid>
      <w:tr w:rsidR="009D46E6" w:rsidRPr="00DB1559" w:rsidTr="00E9600C">
        <w:trPr>
          <w:trHeight w:val="790"/>
        </w:trPr>
        <w:tc>
          <w:tcPr>
            <w:tcW w:w="2281" w:type="dxa"/>
            <w:tcBorders>
              <w:top w:val="single" w:sz="4" w:space="0" w:color="auto"/>
              <w:left w:val="nil"/>
              <w:bottom w:val="nil"/>
              <w:right w:val="nil"/>
            </w:tcBorders>
            <w:shd w:val="clear" w:color="000000" w:fill="CC99FF"/>
            <w:vAlign w:val="center"/>
          </w:tcPr>
          <w:p w:rsidR="009D46E6" w:rsidRPr="00965109" w:rsidRDefault="009D46E6" w:rsidP="00866283">
            <w:pPr>
              <w:spacing w:after="0" w:line="240" w:lineRule="auto"/>
              <w:jc w:val="center"/>
              <w:rPr>
                <w:rFonts w:cs="Arial"/>
                <w:b/>
                <w:bCs/>
                <w:sz w:val="16"/>
                <w:szCs w:val="16"/>
                <w:lang w:eastAsia="cs-CZ"/>
              </w:rPr>
            </w:pPr>
            <w:r w:rsidRPr="00965109">
              <w:rPr>
                <w:rFonts w:cs="Arial"/>
                <w:b/>
                <w:bCs/>
                <w:sz w:val="16"/>
                <w:szCs w:val="16"/>
                <w:lang w:eastAsia="cs-CZ"/>
              </w:rPr>
              <w:t>poskytovatel</w:t>
            </w:r>
          </w:p>
        </w:tc>
        <w:tc>
          <w:tcPr>
            <w:tcW w:w="1278" w:type="dxa"/>
            <w:tcBorders>
              <w:top w:val="single" w:sz="4" w:space="0" w:color="auto"/>
              <w:left w:val="nil"/>
              <w:bottom w:val="nil"/>
              <w:right w:val="nil"/>
            </w:tcBorders>
            <w:shd w:val="clear" w:color="000000" w:fill="CC99FF"/>
            <w:vAlign w:val="center"/>
          </w:tcPr>
          <w:p w:rsidR="009D46E6" w:rsidRPr="00965109" w:rsidRDefault="009D46E6" w:rsidP="00866283">
            <w:pPr>
              <w:spacing w:after="0" w:line="240" w:lineRule="auto"/>
              <w:jc w:val="center"/>
              <w:rPr>
                <w:rFonts w:cs="Arial"/>
                <w:b/>
                <w:bCs/>
                <w:sz w:val="16"/>
                <w:szCs w:val="16"/>
                <w:lang w:eastAsia="cs-CZ"/>
              </w:rPr>
            </w:pPr>
            <w:r w:rsidRPr="00965109">
              <w:rPr>
                <w:rFonts w:cs="Arial"/>
                <w:b/>
                <w:bCs/>
                <w:sz w:val="16"/>
                <w:szCs w:val="16"/>
                <w:lang w:eastAsia="cs-CZ"/>
              </w:rPr>
              <w:t>celkový počet záznamů v RIV</w:t>
            </w:r>
          </w:p>
        </w:tc>
        <w:tc>
          <w:tcPr>
            <w:tcW w:w="992" w:type="dxa"/>
            <w:tcBorders>
              <w:top w:val="single" w:sz="4" w:space="0" w:color="auto"/>
              <w:left w:val="nil"/>
              <w:bottom w:val="nil"/>
              <w:right w:val="nil"/>
            </w:tcBorders>
            <w:shd w:val="clear" w:color="000000" w:fill="CC99FF"/>
            <w:vAlign w:val="center"/>
          </w:tcPr>
          <w:p w:rsidR="009D46E6" w:rsidRPr="00965109" w:rsidRDefault="009D46E6" w:rsidP="00866283">
            <w:pPr>
              <w:spacing w:after="0" w:line="240" w:lineRule="auto"/>
              <w:jc w:val="center"/>
              <w:rPr>
                <w:rFonts w:cs="Arial"/>
                <w:b/>
                <w:bCs/>
                <w:sz w:val="16"/>
                <w:szCs w:val="16"/>
                <w:lang w:eastAsia="cs-CZ"/>
              </w:rPr>
            </w:pPr>
            <w:r>
              <w:rPr>
                <w:rFonts w:cs="Arial"/>
                <w:b/>
                <w:bCs/>
                <w:sz w:val="16"/>
                <w:szCs w:val="16"/>
                <w:lang w:eastAsia="cs-CZ"/>
              </w:rPr>
              <w:t xml:space="preserve">publikační výstupy </w:t>
            </w:r>
            <w:r w:rsidRPr="00965109">
              <w:rPr>
                <w:rFonts w:cs="Arial"/>
                <w:b/>
                <w:bCs/>
                <w:sz w:val="16"/>
                <w:szCs w:val="16"/>
                <w:lang w:eastAsia="cs-CZ"/>
              </w:rPr>
              <w:t>(B + C + D + J)</w:t>
            </w:r>
          </w:p>
        </w:tc>
        <w:tc>
          <w:tcPr>
            <w:tcW w:w="852" w:type="dxa"/>
            <w:tcBorders>
              <w:top w:val="single" w:sz="4" w:space="0" w:color="auto"/>
              <w:left w:val="nil"/>
              <w:bottom w:val="nil"/>
              <w:right w:val="nil"/>
            </w:tcBorders>
            <w:shd w:val="clear" w:color="000000" w:fill="CC99FF"/>
            <w:vAlign w:val="center"/>
          </w:tcPr>
          <w:p w:rsidR="009D46E6" w:rsidRPr="00965109" w:rsidRDefault="009D46E6" w:rsidP="00866283">
            <w:pPr>
              <w:spacing w:after="0" w:line="240" w:lineRule="auto"/>
              <w:jc w:val="center"/>
              <w:rPr>
                <w:rFonts w:cs="Arial"/>
                <w:b/>
                <w:bCs/>
                <w:sz w:val="16"/>
                <w:szCs w:val="16"/>
                <w:lang w:eastAsia="cs-CZ"/>
              </w:rPr>
            </w:pPr>
            <w:r>
              <w:rPr>
                <w:rFonts w:cs="Arial"/>
                <w:b/>
                <w:bCs/>
                <w:sz w:val="16"/>
                <w:szCs w:val="16"/>
                <w:lang w:eastAsia="cs-CZ"/>
              </w:rPr>
              <w:t>patenty</w:t>
            </w:r>
            <w:r w:rsidRPr="00965109">
              <w:rPr>
                <w:rFonts w:cs="Arial"/>
                <w:b/>
                <w:bCs/>
                <w:sz w:val="16"/>
                <w:szCs w:val="16"/>
                <w:lang w:eastAsia="cs-CZ"/>
              </w:rPr>
              <w:t xml:space="preserve">    (P)</w:t>
            </w:r>
          </w:p>
        </w:tc>
        <w:tc>
          <w:tcPr>
            <w:tcW w:w="1134" w:type="dxa"/>
            <w:tcBorders>
              <w:top w:val="single" w:sz="4" w:space="0" w:color="auto"/>
              <w:left w:val="nil"/>
              <w:bottom w:val="nil"/>
              <w:right w:val="nil"/>
            </w:tcBorders>
            <w:shd w:val="clear" w:color="000000" w:fill="CC99FF"/>
            <w:vAlign w:val="center"/>
          </w:tcPr>
          <w:p w:rsidR="009D46E6" w:rsidRPr="00965109" w:rsidRDefault="009D46E6" w:rsidP="00866283">
            <w:pPr>
              <w:spacing w:after="0" w:line="240" w:lineRule="auto"/>
              <w:jc w:val="center"/>
              <w:rPr>
                <w:rFonts w:cs="Arial"/>
                <w:b/>
                <w:bCs/>
                <w:sz w:val="16"/>
                <w:szCs w:val="16"/>
                <w:lang w:eastAsia="cs-CZ"/>
              </w:rPr>
            </w:pPr>
            <w:r>
              <w:rPr>
                <w:rFonts w:cs="Arial"/>
                <w:b/>
                <w:bCs/>
                <w:sz w:val="16"/>
                <w:szCs w:val="16"/>
                <w:lang w:eastAsia="cs-CZ"/>
              </w:rPr>
              <w:t xml:space="preserve">poloprovoz, </w:t>
            </w:r>
            <w:r w:rsidRPr="00965109">
              <w:rPr>
                <w:rFonts w:cs="Arial"/>
                <w:b/>
                <w:bCs/>
                <w:sz w:val="16"/>
                <w:szCs w:val="16"/>
                <w:lang w:eastAsia="cs-CZ"/>
              </w:rPr>
              <w:t>odrůda, plemeno (Z)</w:t>
            </w:r>
          </w:p>
        </w:tc>
        <w:tc>
          <w:tcPr>
            <w:tcW w:w="1173" w:type="dxa"/>
            <w:gridSpan w:val="2"/>
            <w:tcBorders>
              <w:top w:val="single" w:sz="4" w:space="0" w:color="auto"/>
              <w:left w:val="nil"/>
              <w:bottom w:val="nil"/>
              <w:right w:val="nil"/>
            </w:tcBorders>
            <w:shd w:val="clear" w:color="000000" w:fill="CC99FF"/>
            <w:vAlign w:val="center"/>
          </w:tcPr>
          <w:p w:rsidR="009D46E6" w:rsidRPr="00965109" w:rsidRDefault="009D46E6" w:rsidP="00866283">
            <w:pPr>
              <w:spacing w:after="0" w:line="240" w:lineRule="auto"/>
              <w:jc w:val="center"/>
              <w:rPr>
                <w:rFonts w:cs="Arial"/>
                <w:b/>
                <w:bCs/>
                <w:sz w:val="16"/>
                <w:szCs w:val="16"/>
                <w:lang w:eastAsia="cs-CZ"/>
              </w:rPr>
            </w:pPr>
            <w:r w:rsidRPr="00965109">
              <w:rPr>
                <w:rFonts w:cs="Arial"/>
                <w:b/>
                <w:bCs/>
                <w:sz w:val="16"/>
                <w:szCs w:val="16"/>
                <w:lang w:eastAsia="cs-CZ"/>
              </w:rPr>
              <w:t xml:space="preserve">aplikované výstupy (F + G + N + R) </w:t>
            </w:r>
          </w:p>
        </w:tc>
        <w:tc>
          <w:tcPr>
            <w:tcW w:w="1944" w:type="dxa"/>
            <w:tcBorders>
              <w:top w:val="single" w:sz="4" w:space="0" w:color="auto"/>
              <w:left w:val="nil"/>
              <w:bottom w:val="nil"/>
              <w:right w:val="nil"/>
            </w:tcBorders>
            <w:shd w:val="clear" w:color="000000" w:fill="CC99FF"/>
            <w:vAlign w:val="center"/>
          </w:tcPr>
          <w:p w:rsidR="009D46E6" w:rsidRPr="00965109" w:rsidRDefault="009D46E6" w:rsidP="00866283">
            <w:pPr>
              <w:spacing w:after="0" w:line="240" w:lineRule="auto"/>
              <w:jc w:val="center"/>
              <w:rPr>
                <w:rFonts w:cs="Arial"/>
                <w:b/>
                <w:bCs/>
                <w:sz w:val="16"/>
                <w:szCs w:val="16"/>
                <w:lang w:eastAsia="cs-CZ"/>
              </w:rPr>
            </w:pPr>
            <w:r>
              <w:rPr>
                <w:rFonts w:cs="Arial"/>
                <w:b/>
                <w:bCs/>
                <w:sz w:val="16"/>
                <w:szCs w:val="16"/>
                <w:lang w:eastAsia="cs-CZ"/>
              </w:rPr>
              <w:t>ostatní výsledky (A + E +</w:t>
            </w:r>
            <w:r w:rsidRPr="00965109">
              <w:rPr>
                <w:rFonts w:cs="Arial"/>
                <w:b/>
                <w:bCs/>
                <w:sz w:val="16"/>
                <w:szCs w:val="16"/>
                <w:lang w:eastAsia="cs-CZ"/>
              </w:rPr>
              <w:t xml:space="preserve"> H + M + O + V + W )</w:t>
            </w:r>
          </w:p>
        </w:tc>
      </w:tr>
      <w:tr w:rsidR="009D46E6" w:rsidRPr="00DB1559" w:rsidTr="00E9600C">
        <w:trPr>
          <w:trHeight w:val="288"/>
        </w:trPr>
        <w:tc>
          <w:tcPr>
            <w:tcW w:w="2281" w:type="dxa"/>
            <w:tcBorders>
              <w:top w:val="nil"/>
              <w:left w:val="nil"/>
              <w:bottom w:val="nil"/>
              <w:right w:val="nil"/>
            </w:tcBorders>
            <w:noWrap/>
            <w:vAlign w:val="center"/>
          </w:tcPr>
          <w:p w:rsidR="009D46E6" w:rsidRPr="00965109" w:rsidRDefault="009D46E6" w:rsidP="00866283">
            <w:pPr>
              <w:spacing w:after="0" w:line="240" w:lineRule="auto"/>
              <w:jc w:val="left"/>
              <w:rPr>
                <w:rFonts w:cs="Arial"/>
                <w:color w:val="000000"/>
                <w:sz w:val="16"/>
                <w:szCs w:val="16"/>
                <w:lang w:eastAsia="cs-CZ"/>
              </w:rPr>
            </w:pPr>
            <w:r w:rsidRPr="00965109">
              <w:rPr>
                <w:rFonts w:cs="Arial"/>
                <w:color w:val="000000"/>
                <w:sz w:val="16"/>
                <w:szCs w:val="16"/>
                <w:lang w:eastAsia="cs-CZ"/>
              </w:rPr>
              <w:t>Akademie věd ČR</w:t>
            </w:r>
          </w:p>
        </w:tc>
        <w:tc>
          <w:tcPr>
            <w:tcW w:w="1278" w:type="dxa"/>
            <w:tcBorders>
              <w:top w:val="nil"/>
              <w:left w:val="nil"/>
              <w:bottom w:val="nil"/>
              <w:right w:val="nil"/>
            </w:tcBorders>
            <w:noWrap/>
            <w:vAlign w:val="center"/>
          </w:tcPr>
          <w:p w:rsidR="009D46E6" w:rsidRPr="00965109" w:rsidRDefault="009D46E6" w:rsidP="00866283">
            <w:pPr>
              <w:spacing w:after="0" w:line="240" w:lineRule="auto"/>
              <w:ind w:left="-495" w:right="355"/>
              <w:jc w:val="right"/>
              <w:rPr>
                <w:rFonts w:cs="Arial"/>
                <w:color w:val="000000"/>
                <w:sz w:val="16"/>
                <w:szCs w:val="16"/>
                <w:lang w:eastAsia="cs-CZ"/>
              </w:rPr>
            </w:pPr>
            <w:r w:rsidRPr="00965109">
              <w:rPr>
                <w:rFonts w:cs="Arial"/>
                <w:color w:val="000000"/>
                <w:sz w:val="16"/>
                <w:szCs w:val="16"/>
                <w:lang w:eastAsia="cs-CZ"/>
              </w:rPr>
              <w:t>27 217</w:t>
            </w:r>
          </w:p>
        </w:tc>
        <w:tc>
          <w:tcPr>
            <w:tcW w:w="993" w:type="dxa"/>
            <w:tcBorders>
              <w:top w:val="nil"/>
              <w:left w:val="nil"/>
              <w:bottom w:val="nil"/>
              <w:right w:val="nil"/>
            </w:tcBorders>
            <w:noWrap/>
            <w:vAlign w:val="center"/>
          </w:tcPr>
          <w:p w:rsidR="009D46E6" w:rsidRPr="00965109" w:rsidRDefault="009D46E6" w:rsidP="00866283">
            <w:pPr>
              <w:spacing w:after="0" w:line="240" w:lineRule="auto"/>
              <w:ind w:left="-212" w:right="72"/>
              <w:jc w:val="right"/>
              <w:rPr>
                <w:rFonts w:cs="Arial"/>
                <w:color w:val="000000"/>
                <w:sz w:val="16"/>
                <w:szCs w:val="16"/>
                <w:lang w:eastAsia="cs-CZ"/>
              </w:rPr>
            </w:pPr>
            <w:r w:rsidRPr="00965109">
              <w:rPr>
                <w:rFonts w:cs="Arial"/>
                <w:color w:val="000000"/>
                <w:sz w:val="16"/>
                <w:szCs w:val="16"/>
                <w:lang w:eastAsia="cs-CZ"/>
              </w:rPr>
              <w:t>23 797</w:t>
            </w:r>
          </w:p>
        </w:tc>
        <w:tc>
          <w:tcPr>
            <w:tcW w:w="851" w:type="dxa"/>
            <w:tcBorders>
              <w:top w:val="nil"/>
              <w:left w:val="nil"/>
              <w:bottom w:val="nil"/>
              <w:right w:val="nil"/>
            </w:tcBorders>
            <w:noWrap/>
            <w:vAlign w:val="center"/>
          </w:tcPr>
          <w:p w:rsidR="009D46E6" w:rsidRPr="00965109" w:rsidRDefault="009D46E6" w:rsidP="00866283">
            <w:pPr>
              <w:spacing w:after="0" w:line="240" w:lineRule="auto"/>
              <w:ind w:left="-354" w:right="215"/>
              <w:jc w:val="right"/>
              <w:rPr>
                <w:rFonts w:cs="Arial"/>
                <w:color w:val="000000"/>
                <w:sz w:val="16"/>
                <w:szCs w:val="16"/>
                <w:lang w:eastAsia="cs-CZ"/>
              </w:rPr>
            </w:pPr>
            <w:r w:rsidRPr="00965109">
              <w:rPr>
                <w:rFonts w:cs="Arial"/>
                <w:color w:val="000000"/>
                <w:sz w:val="16"/>
                <w:szCs w:val="16"/>
                <w:lang w:eastAsia="cs-CZ"/>
              </w:rPr>
              <w:t>164</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left="-355" w:right="215"/>
              <w:jc w:val="right"/>
              <w:rPr>
                <w:rFonts w:cs="Arial"/>
                <w:color w:val="000000"/>
                <w:sz w:val="16"/>
                <w:szCs w:val="16"/>
                <w:lang w:eastAsia="cs-CZ"/>
              </w:rPr>
            </w:pPr>
            <w:r w:rsidRPr="00965109">
              <w:rPr>
                <w:rFonts w:cs="Arial"/>
                <w:color w:val="000000"/>
                <w:sz w:val="16"/>
                <w:szCs w:val="16"/>
                <w:lang w:eastAsia="cs-CZ"/>
              </w:rPr>
              <w:t>86</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right="254"/>
              <w:jc w:val="right"/>
              <w:rPr>
                <w:rFonts w:cs="Arial"/>
                <w:color w:val="000000"/>
                <w:sz w:val="16"/>
                <w:szCs w:val="16"/>
                <w:lang w:eastAsia="cs-CZ"/>
              </w:rPr>
            </w:pPr>
            <w:r w:rsidRPr="00965109">
              <w:rPr>
                <w:rFonts w:cs="Arial"/>
                <w:color w:val="000000"/>
                <w:sz w:val="16"/>
                <w:szCs w:val="16"/>
                <w:lang w:eastAsia="cs-CZ"/>
              </w:rPr>
              <w:t>795</w:t>
            </w:r>
          </w:p>
        </w:tc>
        <w:tc>
          <w:tcPr>
            <w:tcW w:w="1983" w:type="dxa"/>
            <w:gridSpan w:val="2"/>
            <w:tcBorders>
              <w:top w:val="nil"/>
              <w:left w:val="nil"/>
              <w:bottom w:val="nil"/>
              <w:right w:val="nil"/>
            </w:tcBorders>
            <w:noWrap/>
            <w:vAlign w:val="center"/>
          </w:tcPr>
          <w:p w:rsidR="009D46E6" w:rsidRPr="00965109" w:rsidRDefault="009D46E6" w:rsidP="00866283">
            <w:pPr>
              <w:spacing w:after="0" w:line="240" w:lineRule="auto"/>
              <w:ind w:right="639"/>
              <w:jc w:val="right"/>
              <w:rPr>
                <w:rFonts w:cs="Arial"/>
                <w:color w:val="000000"/>
                <w:sz w:val="16"/>
                <w:szCs w:val="16"/>
                <w:lang w:eastAsia="cs-CZ"/>
              </w:rPr>
            </w:pPr>
            <w:r w:rsidRPr="00965109">
              <w:rPr>
                <w:rFonts w:cs="Arial"/>
                <w:color w:val="000000"/>
                <w:sz w:val="16"/>
                <w:szCs w:val="16"/>
                <w:lang w:eastAsia="cs-CZ"/>
              </w:rPr>
              <w:t>2 376</w:t>
            </w:r>
          </w:p>
        </w:tc>
      </w:tr>
      <w:tr w:rsidR="009D46E6" w:rsidRPr="00DB1559" w:rsidTr="00E9600C">
        <w:trPr>
          <w:trHeight w:val="288"/>
        </w:trPr>
        <w:tc>
          <w:tcPr>
            <w:tcW w:w="2281" w:type="dxa"/>
            <w:tcBorders>
              <w:top w:val="nil"/>
              <w:left w:val="nil"/>
              <w:bottom w:val="nil"/>
              <w:right w:val="nil"/>
            </w:tcBorders>
            <w:noWrap/>
            <w:vAlign w:val="center"/>
          </w:tcPr>
          <w:p w:rsidR="009D46E6" w:rsidRPr="00965109" w:rsidRDefault="009D46E6" w:rsidP="00866283">
            <w:pPr>
              <w:spacing w:after="0" w:line="240" w:lineRule="auto"/>
              <w:jc w:val="left"/>
              <w:rPr>
                <w:rFonts w:cs="Arial"/>
                <w:color w:val="000000"/>
                <w:sz w:val="16"/>
                <w:szCs w:val="16"/>
                <w:lang w:eastAsia="cs-CZ"/>
              </w:rPr>
            </w:pPr>
            <w:r w:rsidRPr="00965109">
              <w:rPr>
                <w:rFonts w:cs="Arial"/>
                <w:color w:val="000000"/>
                <w:sz w:val="16"/>
                <w:szCs w:val="16"/>
                <w:lang w:eastAsia="cs-CZ"/>
              </w:rPr>
              <w:t>Bezpečnostní a informační služba</w:t>
            </w:r>
          </w:p>
        </w:tc>
        <w:tc>
          <w:tcPr>
            <w:tcW w:w="1278" w:type="dxa"/>
            <w:tcBorders>
              <w:top w:val="nil"/>
              <w:left w:val="nil"/>
              <w:bottom w:val="nil"/>
              <w:right w:val="nil"/>
            </w:tcBorders>
            <w:noWrap/>
            <w:vAlign w:val="center"/>
          </w:tcPr>
          <w:p w:rsidR="009D46E6" w:rsidRPr="00965109" w:rsidRDefault="009D46E6" w:rsidP="00866283">
            <w:pPr>
              <w:spacing w:after="0" w:line="240" w:lineRule="auto"/>
              <w:ind w:left="-495" w:right="355"/>
              <w:jc w:val="right"/>
              <w:rPr>
                <w:rFonts w:cs="Arial"/>
                <w:color w:val="000000"/>
                <w:sz w:val="16"/>
                <w:szCs w:val="16"/>
                <w:lang w:eastAsia="cs-CZ"/>
              </w:rPr>
            </w:pPr>
            <w:r w:rsidRPr="00965109">
              <w:rPr>
                <w:rFonts w:cs="Arial"/>
                <w:color w:val="000000"/>
                <w:sz w:val="16"/>
                <w:szCs w:val="16"/>
                <w:lang w:eastAsia="cs-CZ"/>
              </w:rPr>
              <w:t>15</w:t>
            </w:r>
          </w:p>
        </w:tc>
        <w:tc>
          <w:tcPr>
            <w:tcW w:w="993" w:type="dxa"/>
            <w:tcBorders>
              <w:top w:val="nil"/>
              <w:left w:val="nil"/>
              <w:bottom w:val="nil"/>
              <w:right w:val="nil"/>
            </w:tcBorders>
            <w:noWrap/>
            <w:vAlign w:val="center"/>
          </w:tcPr>
          <w:p w:rsidR="009D46E6" w:rsidRPr="00965109" w:rsidRDefault="009D46E6" w:rsidP="00866283">
            <w:pPr>
              <w:spacing w:after="0" w:line="240" w:lineRule="auto"/>
              <w:ind w:left="-212" w:right="72"/>
              <w:jc w:val="right"/>
              <w:rPr>
                <w:rFonts w:cs="Arial"/>
                <w:color w:val="000000"/>
                <w:sz w:val="16"/>
                <w:szCs w:val="16"/>
                <w:lang w:eastAsia="cs-CZ"/>
              </w:rPr>
            </w:pPr>
            <w:r w:rsidRPr="00965109">
              <w:rPr>
                <w:rFonts w:cs="Arial"/>
                <w:color w:val="000000"/>
                <w:sz w:val="16"/>
                <w:szCs w:val="16"/>
                <w:lang w:eastAsia="cs-CZ"/>
              </w:rPr>
              <w:t>0</w:t>
            </w:r>
          </w:p>
        </w:tc>
        <w:tc>
          <w:tcPr>
            <w:tcW w:w="851" w:type="dxa"/>
            <w:tcBorders>
              <w:top w:val="nil"/>
              <w:left w:val="nil"/>
              <w:bottom w:val="nil"/>
              <w:right w:val="nil"/>
            </w:tcBorders>
            <w:noWrap/>
            <w:vAlign w:val="center"/>
          </w:tcPr>
          <w:p w:rsidR="009D46E6" w:rsidRPr="00965109" w:rsidRDefault="009D46E6" w:rsidP="00866283">
            <w:pPr>
              <w:spacing w:after="0" w:line="240" w:lineRule="auto"/>
              <w:ind w:left="-354" w:right="215"/>
              <w:jc w:val="right"/>
              <w:rPr>
                <w:rFonts w:cs="Arial"/>
                <w:color w:val="000000"/>
                <w:sz w:val="16"/>
                <w:szCs w:val="16"/>
                <w:lang w:eastAsia="cs-CZ"/>
              </w:rPr>
            </w:pPr>
            <w:r w:rsidRPr="00965109">
              <w:rPr>
                <w:rFonts w:cs="Arial"/>
                <w:color w:val="000000"/>
                <w:sz w:val="16"/>
                <w:szCs w:val="16"/>
                <w:lang w:eastAsia="cs-CZ"/>
              </w:rPr>
              <w:t>0</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left="-355" w:right="215"/>
              <w:jc w:val="right"/>
              <w:rPr>
                <w:rFonts w:cs="Arial"/>
                <w:color w:val="000000"/>
                <w:sz w:val="16"/>
                <w:szCs w:val="16"/>
                <w:lang w:eastAsia="cs-CZ"/>
              </w:rPr>
            </w:pPr>
            <w:r w:rsidRPr="00965109">
              <w:rPr>
                <w:rFonts w:cs="Arial"/>
                <w:color w:val="000000"/>
                <w:sz w:val="16"/>
                <w:szCs w:val="16"/>
                <w:lang w:eastAsia="cs-CZ"/>
              </w:rPr>
              <w:t>0</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right="254"/>
              <w:jc w:val="right"/>
              <w:rPr>
                <w:rFonts w:cs="Arial"/>
                <w:color w:val="000000"/>
                <w:sz w:val="16"/>
                <w:szCs w:val="16"/>
                <w:lang w:eastAsia="cs-CZ"/>
              </w:rPr>
            </w:pPr>
            <w:r w:rsidRPr="00965109">
              <w:rPr>
                <w:rFonts w:cs="Arial"/>
                <w:color w:val="000000"/>
                <w:sz w:val="16"/>
                <w:szCs w:val="16"/>
                <w:lang w:eastAsia="cs-CZ"/>
              </w:rPr>
              <w:t>6</w:t>
            </w:r>
          </w:p>
        </w:tc>
        <w:tc>
          <w:tcPr>
            <w:tcW w:w="1983" w:type="dxa"/>
            <w:gridSpan w:val="2"/>
            <w:tcBorders>
              <w:top w:val="nil"/>
              <w:left w:val="nil"/>
              <w:bottom w:val="nil"/>
              <w:right w:val="nil"/>
            </w:tcBorders>
            <w:noWrap/>
            <w:vAlign w:val="center"/>
          </w:tcPr>
          <w:p w:rsidR="009D46E6" w:rsidRPr="00965109" w:rsidRDefault="009D46E6" w:rsidP="00866283">
            <w:pPr>
              <w:spacing w:after="0" w:line="240" w:lineRule="auto"/>
              <w:ind w:right="639"/>
              <w:jc w:val="right"/>
              <w:rPr>
                <w:rFonts w:cs="Arial"/>
                <w:color w:val="000000"/>
                <w:sz w:val="16"/>
                <w:szCs w:val="16"/>
                <w:lang w:eastAsia="cs-CZ"/>
              </w:rPr>
            </w:pPr>
            <w:r w:rsidRPr="00965109">
              <w:rPr>
                <w:rFonts w:cs="Arial"/>
                <w:color w:val="000000"/>
                <w:sz w:val="16"/>
                <w:szCs w:val="16"/>
                <w:lang w:eastAsia="cs-CZ"/>
              </w:rPr>
              <w:t>9</w:t>
            </w:r>
          </w:p>
        </w:tc>
      </w:tr>
      <w:tr w:rsidR="009D46E6" w:rsidRPr="00DB1559" w:rsidTr="00E9600C">
        <w:trPr>
          <w:trHeight w:val="288"/>
        </w:trPr>
        <w:tc>
          <w:tcPr>
            <w:tcW w:w="2281" w:type="dxa"/>
            <w:tcBorders>
              <w:top w:val="nil"/>
              <w:left w:val="nil"/>
              <w:bottom w:val="nil"/>
              <w:right w:val="nil"/>
            </w:tcBorders>
            <w:noWrap/>
            <w:vAlign w:val="center"/>
          </w:tcPr>
          <w:p w:rsidR="009D46E6" w:rsidRPr="00965109" w:rsidRDefault="009D46E6" w:rsidP="00866283">
            <w:pPr>
              <w:spacing w:after="0" w:line="240" w:lineRule="auto"/>
              <w:jc w:val="left"/>
              <w:rPr>
                <w:rFonts w:cs="Arial"/>
                <w:color w:val="000000"/>
                <w:sz w:val="16"/>
                <w:szCs w:val="16"/>
                <w:lang w:eastAsia="cs-CZ"/>
              </w:rPr>
            </w:pPr>
            <w:r w:rsidRPr="00965109">
              <w:rPr>
                <w:rFonts w:cs="Arial"/>
                <w:color w:val="000000"/>
                <w:sz w:val="16"/>
                <w:szCs w:val="16"/>
                <w:lang w:eastAsia="cs-CZ"/>
              </w:rPr>
              <w:t>Český báňský úřad</w:t>
            </w:r>
          </w:p>
        </w:tc>
        <w:tc>
          <w:tcPr>
            <w:tcW w:w="1278" w:type="dxa"/>
            <w:tcBorders>
              <w:top w:val="nil"/>
              <w:left w:val="nil"/>
              <w:bottom w:val="nil"/>
              <w:right w:val="nil"/>
            </w:tcBorders>
            <w:noWrap/>
            <w:vAlign w:val="center"/>
          </w:tcPr>
          <w:p w:rsidR="009D46E6" w:rsidRPr="00965109" w:rsidRDefault="009D46E6" w:rsidP="00866283">
            <w:pPr>
              <w:spacing w:after="0" w:line="240" w:lineRule="auto"/>
              <w:ind w:left="-495" w:right="355"/>
              <w:jc w:val="right"/>
              <w:rPr>
                <w:rFonts w:cs="Arial"/>
                <w:color w:val="000000"/>
                <w:sz w:val="16"/>
                <w:szCs w:val="16"/>
                <w:lang w:eastAsia="cs-CZ"/>
              </w:rPr>
            </w:pPr>
            <w:r w:rsidRPr="00965109">
              <w:rPr>
                <w:rFonts w:cs="Arial"/>
                <w:color w:val="000000"/>
                <w:sz w:val="16"/>
                <w:szCs w:val="16"/>
                <w:lang w:eastAsia="cs-CZ"/>
              </w:rPr>
              <w:t>63</w:t>
            </w:r>
          </w:p>
        </w:tc>
        <w:tc>
          <w:tcPr>
            <w:tcW w:w="993" w:type="dxa"/>
            <w:tcBorders>
              <w:top w:val="nil"/>
              <w:left w:val="nil"/>
              <w:bottom w:val="nil"/>
              <w:right w:val="nil"/>
            </w:tcBorders>
            <w:noWrap/>
            <w:vAlign w:val="center"/>
          </w:tcPr>
          <w:p w:rsidR="009D46E6" w:rsidRPr="00965109" w:rsidRDefault="009D46E6" w:rsidP="00866283">
            <w:pPr>
              <w:spacing w:after="0" w:line="240" w:lineRule="auto"/>
              <w:ind w:left="-212" w:right="72"/>
              <w:jc w:val="right"/>
              <w:rPr>
                <w:rFonts w:cs="Arial"/>
                <w:color w:val="000000"/>
                <w:sz w:val="16"/>
                <w:szCs w:val="16"/>
                <w:lang w:eastAsia="cs-CZ"/>
              </w:rPr>
            </w:pPr>
            <w:r w:rsidRPr="00965109">
              <w:rPr>
                <w:rFonts w:cs="Arial"/>
                <w:color w:val="000000"/>
                <w:sz w:val="16"/>
                <w:szCs w:val="16"/>
                <w:lang w:eastAsia="cs-CZ"/>
              </w:rPr>
              <w:t>50</w:t>
            </w:r>
          </w:p>
        </w:tc>
        <w:tc>
          <w:tcPr>
            <w:tcW w:w="851" w:type="dxa"/>
            <w:tcBorders>
              <w:top w:val="nil"/>
              <w:left w:val="nil"/>
              <w:bottom w:val="nil"/>
              <w:right w:val="nil"/>
            </w:tcBorders>
            <w:noWrap/>
            <w:vAlign w:val="center"/>
          </w:tcPr>
          <w:p w:rsidR="009D46E6" w:rsidRPr="00965109" w:rsidRDefault="009D46E6" w:rsidP="00866283">
            <w:pPr>
              <w:spacing w:after="0" w:line="240" w:lineRule="auto"/>
              <w:ind w:left="-354" w:right="215"/>
              <w:jc w:val="right"/>
              <w:rPr>
                <w:rFonts w:cs="Arial"/>
                <w:color w:val="000000"/>
                <w:sz w:val="16"/>
                <w:szCs w:val="16"/>
                <w:lang w:eastAsia="cs-CZ"/>
              </w:rPr>
            </w:pPr>
            <w:r w:rsidRPr="00965109">
              <w:rPr>
                <w:rFonts w:cs="Arial"/>
                <w:color w:val="000000"/>
                <w:sz w:val="16"/>
                <w:szCs w:val="16"/>
                <w:lang w:eastAsia="cs-CZ"/>
              </w:rPr>
              <w:t>0</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left="-355" w:right="215"/>
              <w:jc w:val="right"/>
              <w:rPr>
                <w:rFonts w:cs="Arial"/>
                <w:color w:val="000000"/>
                <w:sz w:val="16"/>
                <w:szCs w:val="16"/>
                <w:lang w:eastAsia="cs-CZ"/>
              </w:rPr>
            </w:pPr>
            <w:r w:rsidRPr="00965109">
              <w:rPr>
                <w:rFonts w:cs="Arial"/>
                <w:color w:val="000000"/>
                <w:sz w:val="16"/>
                <w:szCs w:val="16"/>
                <w:lang w:eastAsia="cs-CZ"/>
              </w:rPr>
              <w:t>2</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right="254"/>
              <w:jc w:val="right"/>
              <w:rPr>
                <w:rFonts w:cs="Arial"/>
                <w:color w:val="000000"/>
                <w:sz w:val="16"/>
                <w:szCs w:val="16"/>
                <w:lang w:eastAsia="cs-CZ"/>
              </w:rPr>
            </w:pPr>
            <w:r w:rsidRPr="00965109">
              <w:rPr>
                <w:rFonts w:cs="Arial"/>
                <w:color w:val="000000"/>
                <w:sz w:val="16"/>
                <w:szCs w:val="16"/>
                <w:lang w:eastAsia="cs-CZ"/>
              </w:rPr>
              <w:t>3</w:t>
            </w:r>
          </w:p>
        </w:tc>
        <w:tc>
          <w:tcPr>
            <w:tcW w:w="1983" w:type="dxa"/>
            <w:gridSpan w:val="2"/>
            <w:tcBorders>
              <w:top w:val="nil"/>
              <w:left w:val="nil"/>
              <w:bottom w:val="nil"/>
              <w:right w:val="nil"/>
            </w:tcBorders>
            <w:noWrap/>
            <w:vAlign w:val="center"/>
          </w:tcPr>
          <w:p w:rsidR="009D46E6" w:rsidRPr="00965109" w:rsidRDefault="009D46E6" w:rsidP="00866283">
            <w:pPr>
              <w:spacing w:after="0" w:line="240" w:lineRule="auto"/>
              <w:ind w:right="639"/>
              <w:jc w:val="right"/>
              <w:rPr>
                <w:rFonts w:cs="Arial"/>
                <w:color w:val="000000"/>
                <w:sz w:val="16"/>
                <w:szCs w:val="16"/>
                <w:lang w:eastAsia="cs-CZ"/>
              </w:rPr>
            </w:pPr>
            <w:r w:rsidRPr="00965109">
              <w:rPr>
                <w:rFonts w:cs="Arial"/>
                <w:color w:val="000000"/>
                <w:sz w:val="16"/>
                <w:szCs w:val="16"/>
                <w:lang w:eastAsia="cs-CZ"/>
              </w:rPr>
              <w:t>8</w:t>
            </w:r>
          </w:p>
        </w:tc>
      </w:tr>
      <w:tr w:rsidR="009D46E6" w:rsidRPr="00DB1559" w:rsidTr="00E9600C">
        <w:trPr>
          <w:trHeight w:val="288"/>
        </w:trPr>
        <w:tc>
          <w:tcPr>
            <w:tcW w:w="2281" w:type="dxa"/>
            <w:tcBorders>
              <w:top w:val="nil"/>
              <w:left w:val="nil"/>
              <w:bottom w:val="nil"/>
              <w:right w:val="nil"/>
            </w:tcBorders>
            <w:noWrap/>
            <w:vAlign w:val="center"/>
          </w:tcPr>
          <w:p w:rsidR="009D46E6" w:rsidRPr="00965109" w:rsidRDefault="009D46E6" w:rsidP="00866283">
            <w:pPr>
              <w:spacing w:after="0" w:line="240" w:lineRule="auto"/>
              <w:jc w:val="left"/>
              <w:rPr>
                <w:rFonts w:cs="Arial"/>
                <w:color w:val="000000"/>
                <w:sz w:val="16"/>
                <w:szCs w:val="16"/>
                <w:lang w:eastAsia="cs-CZ"/>
              </w:rPr>
            </w:pPr>
            <w:r w:rsidRPr="00965109">
              <w:rPr>
                <w:rFonts w:cs="Arial"/>
                <w:color w:val="000000"/>
                <w:sz w:val="16"/>
                <w:szCs w:val="16"/>
                <w:lang w:eastAsia="cs-CZ"/>
              </w:rPr>
              <w:t>Český úřad zeměměřičský a katastrální</w:t>
            </w:r>
          </w:p>
        </w:tc>
        <w:tc>
          <w:tcPr>
            <w:tcW w:w="1278" w:type="dxa"/>
            <w:tcBorders>
              <w:top w:val="nil"/>
              <w:left w:val="nil"/>
              <w:bottom w:val="nil"/>
              <w:right w:val="nil"/>
            </w:tcBorders>
            <w:noWrap/>
            <w:vAlign w:val="center"/>
          </w:tcPr>
          <w:p w:rsidR="009D46E6" w:rsidRPr="00965109" w:rsidRDefault="009D46E6" w:rsidP="00866283">
            <w:pPr>
              <w:spacing w:after="0" w:line="240" w:lineRule="auto"/>
              <w:ind w:left="-495" w:right="355"/>
              <w:jc w:val="right"/>
              <w:rPr>
                <w:rFonts w:cs="Arial"/>
                <w:color w:val="000000"/>
                <w:sz w:val="16"/>
                <w:szCs w:val="16"/>
                <w:lang w:eastAsia="cs-CZ"/>
              </w:rPr>
            </w:pPr>
            <w:r w:rsidRPr="00965109">
              <w:rPr>
                <w:rFonts w:cs="Arial"/>
                <w:color w:val="000000"/>
                <w:sz w:val="16"/>
                <w:szCs w:val="16"/>
                <w:lang w:eastAsia="cs-CZ"/>
              </w:rPr>
              <w:t>305</w:t>
            </w:r>
          </w:p>
        </w:tc>
        <w:tc>
          <w:tcPr>
            <w:tcW w:w="993" w:type="dxa"/>
            <w:tcBorders>
              <w:top w:val="nil"/>
              <w:left w:val="nil"/>
              <w:bottom w:val="nil"/>
              <w:right w:val="nil"/>
            </w:tcBorders>
            <w:noWrap/>
            <w:vAlign w:val="center"/>
          </w:tcPr>
          <w:p w:rsidR="009D46E6" w:rsidRPr="00965109" w:rsidRDefault="009D46E6" w:rsidP="00866283">
            <w:pPr>
              <w:spacing w:after="0" w:line="240" w:lineRule="auto"/>
              <w:ind w:left="-212" w:right="72"/>
              <w:jc w:val="right"/>
              <w:rPr>
                <w:rFonts w:cs="Arial"/>
                <w:color w:val="000000"/>
                <w:sz w:val="16"/>
                <w:szCs w:val="16"/>
                <w:lang w:eastAsia="cs-CZ"/>
              </w:rPr>
            </w:pPr>
            <w:r w:rsidRPr="00965109">
              <w:rPr>
                <w:rFonts w:cs="Arial"/>
                <w:color w:val="000000"/>
                <w:sz w:val="16"/>
                <w:szCs w:val="16"/>
                <w:lang w:eastAsia="cs-CZ"/>
              </w:rPr>
              <w:t>81</w:t>
            </w:r>
          </w:p>
        </w:tc>
        <w:tc>
          <w:tcPr>
            <w:tcW w:w="851" w:type="dxa"/>
            <w:tcBorders>
              <w:top w:val="nil"/>
              <w:left w:val="nil"/>
              <w:bottom w:val="nil"/>
              <w:right w:val="nil"/>
            </w:tcBorders>
            <w:noWrap/>
            <w:vAlign w:val="center"/>
          </w:tcPr>
          <w:p w:rsidR="009D46E6" w:rsidRPr="00965109" w:rsidRDefault="009D46E6" w:rsidP="00866283">
            <w:pPr>
              <w:spacing w:after="0" w:line="240" w:lineRule="auto"/>
              <w:ind w:left="-354" w:right="215"/>
              <w:jc w:val="right"/>
              <w:rPr>
                <w:rFonts w:cs="Arial"/>
                <w:color w:val="000000"/>
                <w:sz w:val="16"/>
                <w:szCs w:val="16"/>
                <w:lang w:eastAsia="cs-CZ"/>
              </w:rPr>
            </w:pPr>
            <w:r w:rsidRPr="00965109">
              <w:rPr>
                <w:rFonts w:cs="Arial"/>
                <w:color w:val="000000"/>
                <w:sz w:val="16"/>
                <w:szCs w:val="16"/>
                <w:lang w:eastAsia="cs-CZ"/>
              </w:rPr>
              <w:t>0</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left="-355" w:right="215"/>
              <w:jc w:val="right"/>
              <w:rPr>
                <w:rFonts w:cs="Arial"/>
                <w:color w:val="000000"/>
                <w:sz w:val="16"/>
                <w:szCs w:val="16"/>
                <w:lang w:eastAsia="cs-CZ"/>
              </w:rPr>
            </w:pPr>
            <w:r w:rsidRPr="00965109">
              <w:rPr>
                <w:rFonts w:cs="Arial"/>
                <w:color w:val="000000"/>
                <w:sz w:val="16"/>
                <w:szCs w:val="16"/>
                <w:lang w:eastAsia="cs-CZ"/>
              </w:rPr>
              <w:t>71</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right="254"/>
              <w:jc w:val="right"/>
              <w:rPr>
                <w:rFonts w:cs="Arial"/>
                <w:color w:val="000000"/>
                <w:sz w:val="16"/>
                <w:szCs w:val="16"/>
                <w:lang w:eastAsia="cs-CZ"/>
              </w:rPr>
            </w:pPr>
            <w:r w:rsidRPr="00965109">
              <w:rPr>
                <w:rFonts w:cs="Arial"/>
                <w:color w:val="000000"/>
                <w:sz w:val="16"/>
                <w:szCs w:val="16"/>
                <w:lang w:eastAsia="cs-CZ"/>
              </w:rPr>
              <w:t>55</w:t>
            </w:r>
          </w:p>
        </w:tc>
        <w:tc>
          <w:tcPr>
            <w:tcW w:w="1983" w:type="dxa"/>
            <w:gridSpan w:val="2"/>
            <w:tcBorders>
              <w:top w:val="nil"/>
              <w:left w:val="nil"/>
              <w:bottom w:val="nil"/>
              <w:right w:val="nil"/>
            </w:tcBorders>
            <w:noWrap/>
            <w:vAlign w:val="center"/>
          </w:tcPr>
          <w:p w:rsidR="009D46E6" w:rsidRPr="00965109" w:rsidRDefault="009D46E6" w:rsidP="00866283">
            <w:pPr>
              <w:spacing w:after="0" w:line="240" w:lineRule="auto"/>
              <w:ind w:right="639"/>
              <w:jc w:val="right"/>
              <w:rPr>
                <w:rFonts w:cs="Arial"/>
                <w:color w:val="000000"/>
                <w:sz w:val="16"/>
                <w:szCs w:val="16"/>
                <w:lang w:eastAsia="cs-CZ"/>
              </w:rPr>
            </w:pPr>
            <w:r w:rsidRPr="00965109">
              <w:rPr>
                <w:rFonts w:cs="Arial"/>
                <w:color w:val="000000"/>
                <w:sz w:val="16"/>
                <w:szCs w:val="16"/>
                <w:lang w:eastAsia="cs-CZ"/>
              </w:rPr>
              <w:t>98</w:t>
            </w:r>
          </w:p>
        </w:tc>
      </w:tr>
      <w:tr w:rsidR="009D46E6" w:rsidRPr="00DB1559" w:rsidTr="00E9600C">
        <w:trPr>
          <w:trHeight w:val="288"/>
        </w:trPr>
        <w:tc>
          <w:tcPr>
            <w:tcW w:w="2281" w:type="dxa"/>
            <w:tcBorders>
              <w:top w:val="nil"/>
              <w:left w:val="nil"/>
              <w:bottom w:val="nil"/>
              <w:right w:val="nil"/>
            </w:tcBorders>
            <w:noWrap/>
            <w:vAlign w:val="center"/>
          </w:tcPr>
          <w:p w:rsidR="009D46E6" w:rsidRPr="00965109" w:rsidRDefault="009D46E6" w:rsidP="00866283">
            <w:pPr>
              <w:spacing w:after="0" w:line="240" w:lineRule="auto"/>
              <w:jc w:val="left"/>
              <w:rPr>
                <w:rFonts w:cs="Arial"/>
                <w:color w:val="000000"/>
                <w:sz w:val="16"/>
                <w:szCs w:val="16"/>
                <w:lang w:eastAsia="cs-CZ"/>
              </w:rPr>
            </w:pPr>
            <w:r w:rsidRPr="00965109">
              <w:rPr>
                <w:rFonts w:cs="Arial"/>
                <w:color w:val="000000"/>
                <w:sz w:val="16"/>
                <w:szCs w:val="16"/>
                <w:lang w:eastAsia="cs-CZ"/>
              </w:rPr>
              <w:t>Grantová agentura ČR</w:t>
            </w:r>
          </w:p>
        </w:tc>
        <w:tc>
          <w:tcPr>
            <w:tcW w:w="1278" w:type="dxa"/>
            <w:tcBorders>
              <w:top w:val="nil"/>
              <w:left w:val="nil"/>
              <w:bottom w:val="nil"/>
              <w:right w:val="nil"/>
            </w:tcBorders>
            <w:noWrap/>
            <w:vAlign w:val="center"/>
          </w:tcPr>
          <w:p w:rsidR="009D46E6" w:rsidRPr="00965109" w:rsidRDefault="009D46E6" w:rsidP="00866283">
            <w:pPr>
              <w:spacing w:after="0" w:line="240" w:lineRule="auto"/>
              <w:ind w:left="-495" w:right="355"/>
              <w:jc w:val="right"/>
              <w:rPr>
                <w:rFonts w:cs="Arial"/>
                <w:color w:val="000000"/>
                <w:sz w:val="16"/>
                <w:szCs w:val="16"/>
                <w:lang w:eastAsia="cs-CZ"/>
              </w:rPr>
            </w:pPr>
            <w:r w:rsidRPr="00965109">
              <w:rPr>
                <w:rFonts w:cs="Arial"/>
                <w:color w:val="000000"/>
                <w:sz w:val="16"/>
                <w:szCs w:val="16"/>
                <w:lang w:eastAsia="cs-CZ"/>
              </w:rPr>
              <w:t>33 593</w:t>
            </w:r>
          </w:p>
        </w:tc>
        <w:tc>
          <w:tcPr>
            <w:tcW w:w="993" w:type="dxa"/>
            <w:tcBorders>
              <w:top w:val="nil"/>
              <w:left w:val="nil"/>
              <w:bottom w:val="nil"/>
              <w:right w:val="nil"/>
            </w:tcBorders>
            <w:noWrap/>
            <w:vAlign w:val="center"/>
          </w:tcPr>
          <w:p w:rsidR="009D46E6" w:rsidRPr="00965109" w:rsidRDefault="009D46E6" w:rsidP="00866283">
            <w:pPr>
              <w:spacing w:after="0" w:line="240" w:lineRule="auto"/>
              <w:ind w:left="-212" w:right="72"/>
              <w:jc w:val="right"/>
              <w:rPr>
                <w:rFonts w:cs="Arial"/>
                <w:color w:val="000000"/>
                <w:sz w:val="16"/>
                <w:szCs w:val="16"/>
                <w:lang w:eastAsia="cs-CZ"/>
              </w:rPr>
            </w:pPr>
            <w:r w:rsidRPr="00965109">
              <w:rPr>
                <w:rFonts w:cs="Arial"/>
                <w:color w:val="000000"/>
                <w:sz w:val="16"/>
                <w:szCs w:val="16"/>
                <w:lang w:eastAsia="cs-CZ"/>
              </w:rPr>
              <w:t>29 806</w:t>
            </w:r>
          </w:p>
        </w:tc>
        <w:tc>
          <w:tcPr>
            <w:tcW w:w="851" w:type="dxa"/>
            <w:tcBorders>
              <w:top w:val="nil"/>
              <w:left w:val="nil"/>
              <w:bottom w:val="nil"/>
              <w:right w:val="nil"/>
            </w:tcBorders>
            <w:noWrap/>
            <w:vAlign w:val="center"/>
          </w:tcPr>
          <w:p w:rsidR="009D46E6" w:rsidRPr="00965109" w:rsidRDefault="009D46E6" w:rsidP="00866283">
            <w:pPr>
              <w:spacing w:after="0" w:line="240" w:lineRule="auto"/>
              <w:ind w:left="-354" w:right="215"/>
              <w:jc w:val="right"/>
              <w:rPr>
                <w:rFonts w:cs="Arial"/>
                <w:color w:val="000000"/>
                <w:sz w:val="16"/>
                <w:szCs w:val="16"/>
                <w:lang w:eastAsia="cs-CZ"/>
              </w:rPr>
            </w:pPr>
            <w:r w:rsidRPr="00965109">
              <w:rPr>
                <w:rFonts w:cs="Arial"/>
                <w:color w:val="000000"/>
                <w:sz w:val="16"/>
                <w:szCs w:val="16"/>
                <w:lang w:eastAsia="cs-CZ"/>
              </w:rPr>
              <w:t>77</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left="-355" w:right="215"/>
              <w:jc w:val="right"/>
              <w:rPr>
                <w:rFonts w:cs="Arial"/>
                <w:color w:val="000000"/>
                <w:sz w:val="16"/>
                <w:szCs w:val="16"/>
                <w:lang w:eastAsia="cs-CZ"/>
              </w:rPr>
            </w:pPr>
            <w:r w:rsidRPr="00965109">
              <w:rPr>
                <w:rFonts w:cs="Arial"/>
                <w:color w:val="000000"/>
                <w:sz w:val="16"/>
                <w:szCs w:val="16"/>
                <w:lang w:eastAsia="cs-CZ"/>
              </w:rPr>
              <w:t>17</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right="254"/>
              <w:jc w:val="right"/>
              <w:rPr>
                <w:rFonts w:cs="Arial"/>
                <w:color w:val="000000"/>
                <w:sz w:val="16"/>
                <w:szCs w:val="16"/>
                <w:lang w:eastAsia="cs-CZ"/>
              </w:rPr>
            </w:pPr>
            <w:r w:rsidRPr="00965109">
              <w:rPr>
                <w:rFonts w:cs="Arial"/>
                <w:color w:val="000000"/>
                <w:sz w:val="16"/>
                <w:szCs w:val="16"/>
                <w:lang w:eastAsia="cs-CZ"/>
              </w:rPr>
              <w:t>1 172</w:t>
            </w:r>
          </w:p>
        </w:tc>
        <w:tc>
          <w:tcPr>
            <w:tcW w:w="1983" w:type="dxa"/>
            <w:gridSpan w:val="2"/>
            <w:tcBorders>
              <w:top w:val="nil"/>
              <w:left w:val="nil"/>
              <w:bottom w:val="nil"/>
              <w:right w:val="nil"/>
            </w:tcBorders>
            <w:noWrap/>
            <w:vAlign w:val="center"/>
          </w:tcPr>
          <w:p w:rsidR="009D46E6" w:rsidRPr="00965109" w:rsidRDefault="009D46E6" w:rsidP="00866283">
            <w:pPr>
              <w:spacing w:after="0" w:line="240" w:lineRule="auto"/>
              <w:ind w:right="639"/>
              <w:jc w:val="right"/>
              <w:rPr>
                <w:rFonts w:cs="Arial"/>
                <w:color w:val="000000"/>
                <w:sz w:val="16"/>
                <w:szCs w:val="16"/>
                <w:lang w:eastAsia="cs-CZ"/>
              </w:rPr>
            </w:pPr>
            <w:r w:rsidRPr="00965109">
              <w:rPr>
                <w:rFonts w:cs="Arial"/>
                <w:color w:val="000000"/>
                <w:sz w:val="16"/>
                <w:szCs w:val="16"/>
                <w:lang w:eastAsia="cs-CZ"/>
              </w:rPr>
              <w:t>2 521</w:t>
            </w:r>
          </w:p>
        </w:tc>
      </w:tr>
      <w:tr w:rsidR="009D46E6" w:rsidRPr="00DB1559" w:rsidTr="00E9600C">
        <w:trPr>
          <w:trHeight w:val="288"/>
        </w:trPr>
        <w:tc>
          <w:tcPr>
            <w:tcW w:w="2281" w:type="dxa"/>
            <w:tcBorders>
              <w:top w:val="nil"/>
              <w:left w:val="nil"/>
              <w:bottom w:val="nil"/>
              <w:right w:val="nil"/>
            </w:tcBorders>
            <w:noWrap/>
            <w:vAlign w:val="center"/>
          </w:tcPr>
          <w:p w:rsidR="009D46E6" w:rsidRPr="00965109" w:rsidRDefault="009D46E6" w:rsidP="00866283">
            <w:pPr>
              <w:spacing w:after="0" w:line="240" w:lineRule="auto"/>
              <w:jc w:val="left"/>
              <w:rPr>
                <w:rFonts w:cs="Arial"/>
                <w:color w:val="000000"/>
                <w:sz w:val="16"/>
                <w:szCs w:val="16"/>
                <w:lang w:eastAsia="cs-CZ"/>
              </w:rPr>
            </w:pPr>
            <w:r w:rsidRPr="00965109">
              <w:rPr>
                <w:rFonts w:cs="Arial"/>
                <w:color w:val="000000"/>
                <w:sz w:val="16"/>
                <w:szCs w:val="16"/>
                <w:lang w:eastAsia="cs-CZ"/>
              </w:rPr>
              <w:t>Jihomoravský kraj</w:t>
            </w:r>
          </w:p>
        </w:tc>
        <w:tc>
          <w:tcPr>
            <w:tcW w:w="1278" w:type="dxa"/>
            <w:tcBorders>
              <w:top w:val="nil"/>
              <w:left w:val="nil"/>
              <w:bottom w:val="nil"/>
              <w:right w:val="nil"/>
            </w:tcBorders>
            <w:noWrap/>
            <w:vAlign w:val="center"/>
          </w:tcPr>
          <w:p w:rsidR="009D46E6" w:rsidRPr="00965109" w:rsidRDefault="009D46E6" w:rsidP="00866283">
            <w:pPr>
              <w:spacing w:after="0" w:line="240" w:lineRule="auto"/>
              <w:ind w:left="-495" w:right="355"/>
              <w:jc w:val="right"/>
              <w:rPr>
                <w:rFonts w:cs="Arial"/>
                <w:color w:val="000000"/>
                <w:sz w:val="16"/>
                <w:szCs w:val="16"/>
                <w:lang w:eastAsia="cs-CZ"/>
              </w:rPr>
            </w:pPr>
            <w:r w:rsidRPr="00965109">
              <w:rPr>
                <w:rFonts w:cs="Arial"/>
                <w:color w:val="000000"/>
                <w:sz w:val="16"/>
                <w:szCs w:val="16"/>
                <w:lang w:eastAsia="cs-CZ"/>
              </w:rPr>
              <w:t>30</w:t>
            </w:r>
          </w:p>
        </w:tc>
        <w:tc>
          <w:tcPr>
            <w:tcW w:w="993" w:type="dxa"/>
            <w:tcBorders>
              <w:top w:val="nil"/>
              <w:left w:val="nil"/>
              <w:bottom w:val="nil"/>
              <w:right w:val="nil"/>
            </w:tcBorders>
            <w:noWrap/>
            <w:vAlign w:val="center"/>
          </w:tcPr>
          <w:p w:rsidR="009D46E6" w:rsidRPr="00965109" w:rsidRDefault="009D46E6" w:rsidP="00866283">
            <w:pPr>
              <w:spacing w:after="0" w:line="240" w:lineRule="auto"/>
              <w:ind w:left="-212" w:right="72"/>
              <w:jc w:val="right"/>
              <w:rPr>
                <w:rFonts w:cs="Arial"/>
                <w:color w:val="000000"/>
                <w:sz w:val="16"/>
                <w:szCs w:val="16"/>
                <w:lang w:eastAsia="cs-CZ"/>
              </w:rPr>
            </w:pPr>
            <w:r w:rsidRPr="00965109">
              <w:rPr>
                <w:rFonts w:cs="Arial"/>
                <w:color w:val="000000"/>
                <w:sz w:val="16"/>
                <w:szCs w:val="16"/>
                <w:lang w:eastAsia="cs-CZ"/>
              </w:rPr>
              <w:t>30</w:t>
            </w:r>
          </w:p>
        </w:tc>
        <w:tc>
          <w:tcPr>
            <w:tcW w:w="851" w:type="dxa"/>
            <w:tcBorders>
              <w:top w:val="nil"/>
              <w:left w:val="nil"/>
              <w:bottom w:val="nil"/>
              <w:right w:val="nil"/>
            </w:tcBorders>
            <w:noWrap/>
            <w:vAlign w:val="center"/>
          </w:tcPr>
          <w:p w:rsidR="009D46E6" w:rsidRPr="00965109" w:rsidRDefault="009D46E6" w:rsidP="00866283">
            <w:pPr>
              <w:spacing w:after="0" w:line="240" w:lineRule="auto"/>
              <w:ind w:left="-354" w:right="215"/>
              <w:jc w:val="right"/>
              <w:rPr>
                <w:rFonts w:cs="Arial"/>
                <w:color w:val="000000"/>
                <w:sz w:val="16"/>
                <w:szCs w:val="16"/>
                <w:lang w:eastAsia="cs-CZ"/>
              </w:rPr>
            </w:pPr>
            <w:r w:rsidRPr="00965109">
              <w:rPr>
                <w:rFonts w:cs="Arial"/>
                <w:color w:val="000000"/>
                <w:sz w:val="16"/>
                <w:szCs w:val="16"/>
                <w:lang w:eastAsia="cs-CZ"/>
              </w:rPr>
              <w:t>0</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left="-355" w:right="215"/>
              <w:jc w:val="right"/>
              <w:rPr>
                <w:rFonts w:cs="Arial"/>
                <w:color w:val="000000"/>
                <w:sz w:val="16"/>
                <w:szCs w:val="16"/>
                <w:lang w:eastAsia="cs-CZ"/>
              </w:rPr>
            </w:pPr>
            <w:r w:rsidRPr="00965109">
              <w:rPr>
                <w:rFonts w:cs="Arial"/>
                <w:color w:val="000000"/>
                <w:sz w:val="16"/>
                <w:szCs w:val="16"/>
                <w:lang w:eastAsia="cs-CZ"/>
              </w:rPr>
              <w:t>0</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right="254"/>
              <w:jc w:val="right"/>
              <w:rPr>
                <w:rFonts w:cs="Arial"/>
                <w:color w:val="000000"/>
                <w:sz w:val="16"/>
                <w:szCs w:val="16"/>
                <w:lang w:eastAsia="cs-CZ"/>
              </w:rPr>
            </w:pPr>
            <w:r w:rsidRPr="00965109">
              <w:rPr>
                <w:rFonts w:cs="Arial"/>
                <w:color w:val="000000"/>
                <w:sz w:val="16"/>
                <w:szCs w:val="16"/>
                <w:lang w:eastAsia="cs-CZ"/>
              </w:rPr>
              <w:t>0</w:t>
            </w:r>
          </w:p>
        </w:tc>
        <w:tc>
          <w:tcPr>
            <w:tcW w:w="1983" w:type="dxa"/>
            <w:gridSpan w:val="2"/>
            <w:tcBorders>
              <w:top w:val="nil"/>
              <w:left w:val="nil"/>
              <w:bottom w:val="nil"/>
              <w:right w:val="nil"/>
            </w:tcBorders>
            <w:noWrap/>
            <w:vAlign w:val="center"/>
          </w:tcPr>
          <w:p w:rsidR="009D46E6" w:rsidRPr="00965109" w:rsidRDefault="009D46E6" w:rsidP="00866283">
            <w:pPr>
              <w:spacing w:after="0" w:line="240" w:lineRule="auto"/>
              <w:ind w:right="639"/>
              <w:jc w:val="right"/>
              <w:rPr>
                <w:rFonts w:cs="Arial"/>
                <w:color w:val="000000"/>
                <w:sz w:val="16"/>
                <w:szCs w:val="16"/>
                <w:lang w:eastAsia="cs-CZ"/>
              </w:rPr>
            </w:pPr>
            <w:r w:rsidRPr="00965109">
              <w:rPr>
                <w:rFonts w:cs="Arial"/>
                <w:color w:val="000000"/>
                <w:sz w:val="16"/>
                <w:szCs w:val="16"/>
                <w:lang w:eastAsia="cs-CZ"/>
              </w:rPr>
              <w:t>0</w:t>
            </w:r>
          </w:p>
        </w:tc>
      </w:tr>
      <w:tr w:rsidR="009D46E6" w:rsidRPr="00DB1559" w:rsidTr="00E9600C">
        <w:trPr>
          <w:trHeight w:val="288"/>
        </w:trPr>
        <w:tc>
          <w:tcPr>
            <w:tcW w:w="2281" w:type="dxa"/>
            <w:tcBorders>
              <w:top w:val="nil"/>
              <w:left w:val="nil"/>
              <w:bottom w:val="nil"/>
              <w:right w:val="nil"/>
            </w:tcBorders>
            <w:noWrap/>
            <w:vAlign w:val="center"/>
          </w:tcPr>
          <w:p w:rsidR="009D46E6" w:rsidRPr="00965109" w:rsidRDefault="009D46E6" w:rsidP="00866283">
            <w:pPr>
              <w:spacing w:after="0" w:line="240" w:lineRule="auto"/>
              <w:jc w:val="left"/>
              <w:rPr>
                <w:rFonts w:cs="Arial"/>
                <w:color w:val="000000"/>
                <w:sz w:val="16"/>
                <w:szCs w:val="16"/>
                <w:lang w:eastAsia="cs-CZ"/>
              </w:rPr>
            </w:pPr>
            <w:r w:rsidRPr="00965109">
              <w:rPr>
                <w:rFonts w:cs="Arial"/>
                <w:color w:val="000000"/>
                <w:sz w:val="16"/>
                <w:szCs w:val="16"/>
                <w:lang w:eastAsia="cs-CZ"/>
              </w:rPr>
              <w:t>Plzeňský kraj</w:t>
            </w:r>
          </w:p>
        </w:tc>
        <w:tc>
          <w:tcPr>
            <w:tcW w:w="1278" w:type="dxa"/>
            <w:tcBorders>
              <w:top w:val="nil"/>
              <w:left w:val="nil"/>
              <w:bottom w:val="nil"/>
              <w:right w:val="nil"/>
            </w:tcBorders>
            <w:noWrap/>
            <w:vAlign w:val="center"/>
          </w:tcPr>
          <w:p w:rsidR="009D46E6" w:rsidRPr="00965109" w:rsidRDefault="009D46E6" w:rsidP="00866283">
            <w:pPr>
              <w:spacing w:after="0" w:line="240" w:lineRule="auto"/>
              <w:ind w:left="-495" w:right="355"/>
              <w:jc w:val="right"/>
              <w:rPr>
                <w:rFonts w:cs="Arial"/>
                <w:color w:val="000000"/>
                <w:sz w:val="16"/>
                <w:szCs w:val="16"/>
                <w:lang w:eastAsia="cs-CZ"/>
              </w:rPr>
            </w:pPr>
            <w:r w:rsidRPr="00965109">
              <w:rPr>
                <w:rFonts w:cs="Arial"/>
                <w:color w:val="000000"/>
                <w:sz w:val="16"/>
                <w:szCs w:val="16"/>
                <w:lang w:eastAsia="cs-CZ"/>
              </w:rPr>
              <w:t>68</w:t>
            </w:r>
          </w:p>
        </w:tc>
        <w:tc>
          <w:tcPr>
            <w:tcW w:w="993" w:type="dxa"/>
            <w:tcBorders>
              <w:top w:val="nil"/>
              <w:left w:val="nil"/>
              <w:bottom w:val="nil"/>
              <w:right w:val="nil"/>
            </w:tcBorders>
            <w:noWrap/>
            <w:vAlign w:val="center"/>
          </w:tcPr>
          <w:p w:rsidR="009D46E6" w:rsidRPr="00965109" w:rsidRDefault="009D46E6" w:rsidP="00866283">
            <w:pPr>
              <w:spacing w:after="0" w:line="240" w:lineRule="auto"/>
              <w:ind w:left="-212" w:right="72"/>
              <w:jc w:val="right"/>
              <w:rPr>
                <w:rFonts w:cs="Arial"/>
                <w:color w:val="000000"/>
                <w:sz w:val="16"/>
                <w:szCs w:val="16"/>
                <w:lang w:eastAsia="cs-CZ"/>
              </w:rPr>
            </w:pPr>
            <w:r w:rsidRPr="00965109">
              <w:rPr>
                <w:rFonts w:cs="Arial"/>
                <w:color w:val="000000"/>
                <w:sz w:val="16"/>
                <w:szCs w:val="16"/>
                <w:lang w:eastAsia="cs-CZ"/>
              </w:rPr>
              <w:t>57</w:t>
            </w:r>
          </w:p>
        </w:tc>
        <w:tc>
          <w:tcPr>
            <w:tcW w:w="851" w:type="dxa"/>
            <w:tcBorders>
              <w:top w:val="nil"/>
              <w:left w:val="nil"/>
              <w:bottom w:val="nil"/>
              <w:right w:val="nil"/>
            </w:tcBorders>
            <w:noWrap/>
            <w:vAlign w:val="center"/>
          </w:tcPr>
          <w:p w:rsidR="009D46E6" w:rsidRPr="00965109" w:rsidRDefault="009D46E6" w:rsidP="00866283">
            <w:pPr>
              <w:spacing w:after="0" w:line="240" w:lineRule="auto"/>
              <w:ind w:left="-354" w:right="215"/>
              <w:jc w:val="right"/>
              <w:rPr>
                <w:rFonts w:cs="Arial"/>
                <w:color w:val="000000"/>
                <w:sz w:val="16"/>
                <w:szCs w:val="16"/>
                <w:lang w:eastAsia="cs-CZ"/>
              </w:rPr>
            </w:pPr>
            <w:r w:rsidRPr="00965109">
              <w:rPr>
                <w:rFonts w:cs="Arial"/>
                <w:color w:val="000000"/>
                <w:sz w:val="16"/>
                <w:szCs w:val="16"/>
                <w:lang w:eastAsia="cs-CZ"/>
              </w:rPr>
              <w:t>0</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left="-355" w:right="215"/>
              <w:jc w:val="right"/>
              <w:rPr>
                <w:rFonts w:cs="Arial"/>
                <w:color w:val="000000"/>
                <w:sz w:val="16"/>
                <w:szCs w:val="16"/>
                <w:lang w:eastAsia="cs-CZ"/>
              </w:rPr>
            </w:pPr>
            <w:r w:rsidRPr="00965109">
              <w:rPr>
                <w:rFonts w:cs="Arial"/>
                <w:color w:val="000000"/>
                <w:sz w:val="16"/>
                <w:szCs w:val="16"/>
                <w:lang w:eastAsia="cs-CZ"/>
              </w:rPr>
              <w:t>0</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right="254"/>
              <w:jc w:val="right"/>
              <w:rPr>
                <w:rFonts w:cs="Arial"/>
                <w:color w:val="000000"/>
                <w:sz w:val="16"/>
                <w:szCs w:val="16"/>
                <w:lang w:eastAsia="cs-CZ"/>
              </w:rPr>
            </w:pPr>
            <w:r w:rsidRPr="00965109">
              <w:rPr>
                <w:rFonts w:cs="Arial"/>
                <w:color w:val="000000"/>
                <w:sz w:val="16"/>
                <w:szCs w:val="16"/>
                <w:lang w:eastAsia="cs-CZ"/>
              </w:rPr>
              <w:t>0</w:t>
            </w:r>
          </w:p>
        </w:tc>
        <w:tc>
          <w:tcPr>
            <w:tcW w:w="1983" w:type="dxa"/>
            <w:gridSpan w:val="2"/>
            <w:tcBorders>
              <w:top w:val="nil"/>
              <w:left w:val="nil"/>
              <w:bottom w:val="nil"/>
              <w:right w:val="nil"/>
            </w:tcBorders>
            <w:noWrap/>
            <w:vAlign w:val="center"/>
          </w:tcPr>
          <w:p w:rsidR="009D46E6" w:rsidRPr="00965109" w:rsidRDefault="009D46E6" w:rsidP="00866283">
            <w:pPr>
              <w:spacing w:after="0" w:line="240" w:lineRule="auto"/>
              <w:ind w:right="639"/>
              <w:jc w:val="right"/>
              <w:rPr>
                <w:rFonts w:cs="Arial"/>
                <w:color w:val="000000"/>
                <w:sz w:val="16"/>
                <w:szCs w:val="16"/>
                <w:lang w:eastAsia="cs-CZ"/>
              </w:rPr>
            </w:pPr>
            <w:r w:rsidRPr="00965109">
              <w:rPr>
                <w:rFonts w:cs="Arial"/>
                <w:color w:val="000000"/>
                <w:sz w:val="16"/>
                <w:szCs w:val="16"/>
                <w:lang w:eastAsia="cs-CZ"/>
              </w:rPr>
              <w:t>11</w:t>
            </w:r>
          </w:p>
        </w:tc>
      </w:tr>
      <w:tr w:rsidR="009D46E6" w:rsidRPr="00DB1559" w:rsidTr="00E9600C">
        <w:trPr>
          <w:trHeight w:val="288"/>
        </w:trPr>
        <w:tc>
          <w:tcPr>
            <w:tcW w:w="2281" w:type="dxa"/>
            <w:tcBorders>
              <w:top w:val="nil"/>
              <w:left w:val="nil"/>
              <w:bottom w:val="nil"/>
              <w:right w:val="nil"/>
            </w:tcBorders>
            <w:noWrap/>
            <w:vAlign w:val="center"/>
          </w:tcPr>
          <w:p w:rsidR="009D46E6" w:rsidRPr="00965109" w:rsidRDefault="009D46E6" w:rsidP="00866283">
            <w:pPr>
              <w:spacing w:after="0" w:line="240" w:lineRule="auto"/>
              <w:jc w:val="left"/>
              <w:rPr>
                <w:rFonts w:cs="Arial"/>
                <w:color w:val="000000"/>
                <w:sz w:val="16"/>
                <w:szCs w:val="16"/>
                <w:lang w:eastAsia="cs-CZ"/>
              </w:rPr>
            </w:pPr>
            <w:r w:rsidRPr="00965109">
              <w:rPr>
                <w:rFonts w:cs="Arial"/>
                <w:color w:val="000000"/>
                <w:sz w:val="16"/>
                <w:szCs w:val="16"/>
                <w:lang w:eastAsia="cs-CZ"/>
              </w:rPr>
              <w:t>Ústecký kraj</w:t>
            </w:r>
          </w:p>
        </w:tc>
        <w:tc>
          <w:tcPr>
            <w:tcW w:w="1278" w:type="dxa"/>
            <w:tcBorders>
              <w:top w:val="nil"/>
              <w:left w:val="nil"/>
              <w:bottom w:val="nil"/>
              <w:right w:val="nil"/>
            </w:tcBorders>
            <w:noWrap/>
            <w:vAlign w:val="center"/>
          </w:tcPr>
          <w:p w:rsidR="009D46E6" w:rsidRPr="00965109" w:rsidRDefault="009D46E6" w:rsidP="00866283">
            <w:pPr>
              <w:spacing w:after="0" w:line="240" w:lineRule="auto"/>
              <w:ind w:left="-495" w:right="355"/>
              <w:jc w:val="right"/>
              <w:rPr>
                <w:rFonts w:cs="Arial"/>
                <w:color w:val="000000"/>
                <w:sz w:val="16"/>
                <w:szCs w:val="16"/>
                <w:lang w:eastAsia="cs-CZ"/>
              </w:rPr>
            </w:pPr>
            <w:r w:rsidRPr="00965109">
              <w:rPr>
                <w:rFonts w:cs="Arial"/>
                <w:color w:val="000000"/>
                <w:sz w:val="16"/>
                <w:szCs w:val="16"/>
                <w:lang w:eastAsia="cs-CZ"/>
              </w:rPr>
              <w:t>31</w:t>
            </w:r>
          </w:p>
        </w:tc>
        <w:tc>
          <w:tcPr>
            <w:tcW w:w="993" w:type="dxa"/>
            <w:tcBorders>
              <w:top w:val="nil"/>
              <w:left w:val="nil"/>
              <w:bottom w:val="nil"/>
              <w:right w:val="nil"/>
            </w:tcBorders>
            <w:noWrap/>
            <w:vAlign w:val="center"/>
          </w:tcPr>
          <w:p w:rsidR="009D46E6" w:rsidRPr="00965109" w:rsidRDefault="009D46E6" w:rsidP="00866283">
            <w:pPr>
              <w:spacing w:after="0" w:line="240" w:lineRule="auto"/>
              <w:ind w:left="-212" w:right="72"/>
              <w:jc w:val="right"/>
              <w:rPr>
                <w:rFonts w:cs="Arial"/>
                <w:color w:val="000000"/>
                <w:sz w:val="16"/>
                <w:szCs w:val="16"/>
                <w:lang w:eastAsia="cs-CZ"/>
              </w:rPr>
            </w:pPr>
            <w:r w:rsidRPr="00965109">
              <w:rPr>
                <w:rFonts w:cs="Arial"/>
                <w:color w:val="000000"/>
                <w:sz w:val="16"/>
                <w:szCs w:val="16"/>
                <w:lang w:eastAsia="cs-CZ"/>
              </w:rPr>
              <w:t>31</w:t>
            </w:r>
          </w:p>
        </w:tc>
        <w:tc>
          <w:tcPr>
            <w:tcW w:w="851" w:type="dxa"/>
            <w:tcBorders>
              <w:top w:val="nil"/>
              <w:left w:val="nil"/>
              <w:bottom w:val="nil"/>
              <w:right w:val="nil"/>
            </w:tcBorders>
            <w:noWrap/>
            <w:vAlign w:val="center"/>
          </w:tcPr>
          <w:p w:rsidR="009D46E6" w:rsidRPr="00965109" w:rsidRDefault="009D46E6" w:rsidP="00866283">
            <w:pPr>
              <w:spacing w:after="0" w:line="240" w:lineRule="auto"/>
              <w:ind w:left="-354" w:right="215"/>
              <w:jc w:val="right"/>
              <w:rPr>
                <w:rFonts w:cs="Arial"/>
                <w:color w:val="000000"/>
                <w:sz w:val="16"/>
                <w:szCs w:val="16"/>
                <w:lang w:eastAsia="cs-CZ"/>
              </w:rPr>
            </w:pPr>
            <w:r w:rsidRPr="00965109">
              <w:rPr>
                <w:rFonts w:cs="Arial"/>
                <w:color w:val="000000"/>
                <w:sz w:val="16"/>
                <w:szCs w:val="16"/>
                <w:lang w:eastAsia="cs-CZ"/>
              </w:rPr>
              <w:t>0</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left="-355" w:right="215"/>
              <w:jc w:val="right"/>
              <w:rPr>
                <w:rFonts w:cs="Arial"/>
                <w:color w:val="000000"/>
                <w:sz w:val="16"/>
                <w:szCs w:val="16"/>
                <w:lang w:eastAsia="cs-CZ"/>
              </w:rPr>
            </w:pPr>
            <w:r w:rsidRPr="00965109">
              <w:rPr>
                <w:rFonts w:cs="Arial"/>
                <w:color w:val="000000"/>
                <w:sz w:val="16"/>
                <w:szCs w:val="16"/>
                <w:lang w:eastAsia="cs-CZ"/>
              </w:rPr>
              <w:t>0</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right="254"/>
              <w:jc w:val="right"/>
              <w:rPr>
                <w:rFonts w:cs="Arial"/>
                <w:color w:val="000000"/>
                <w:sz w:val="16"/>
                <w:szCs w:val="16"/>
                <w:lang w:eastAsia="cs-CZ"/>
              </w:rPr>
            </w:pPr>
            <w:r w:rsidRPr="00965109">
              <w:rPr>
                <w:rFonts w:cs="Arial"/>
                <w:color w:val="000000"/>
                <w:sz w:val="16"/>
                <w:szCs w:val="16"/>
                <w:lang w:eastAsia="cs-CZ"/>
              </w:rPr>
              <w:t>0</w:t>
            </w:r>
          </w:p>
        </w:tc>
        <w:tc>
          <w:tcPr>
            <w:tcW w:w="1983" w:type="dxa"/>
            <w:gridSpan w:val="2"/>
            <w:tcBorders>
              <w:top w:val="nil"/>
              <w:left w:val="nil"/>
              <w:bottom w:val="nil"/>
              <w:right w:val="nil"/>
            </w:tcBorders>
            <w:noWrap/>
            <w:vAlign w:val="center"/>
          </w:tcPr>
          <w:p w:rsidR="009D46E6" w:rsidRPr="00965109" w:rsidRDefault="009D46E6" w:rsidP="00866283">
            <w:pPr>
              <w:spacing w:after="0" w:line="240" w:lineRule="auto"/>
              <w:ind w:right="639"/>
              <w:jc w:val="right"/>
              <w:rPr>
                <w:rFonts w:cs="Arial"/>
                <w:color w:val="000000"/>
                <w:sz w:val="16"/>
                <w:szCs w:val="16"/>
                <w:lang w:eastAsia="cs-CZ"/>
              </w:rPr>
            </w:pPr>
            <w:r w:rsidRPr="00965109">
              <w:rPr>
                <w:rFonts w:cs="Arial"/>
                <w:color w:val="000000"/>
                <w:sz w:val="16"/>
                <w:szCs w:val="16"/>
                <w:lang w:eastAsia="cs-CZ"/>
              </w:rPr>
              <w:t>0</w:t>
            </w:r>
          </w:p>
        </w:tc>
      </w:tr>
      <w:tr w:rsidR="009D46E6" w:rsidRPr="00DB1559" w:rsidTr="00E9600C">
        <w:trPr>
          <w:trHeight w:val="288"/>
        </w:trPr>
        <w:tc>
          <w:tcPr>
            <w:tcW w:w="2281" w:type="dxa"/>
            <w:tcBorders>
              <w:top w:val="nil"/>
              <w:left w:val="nil"/>
              <w:bottom w:val="nil"/>
              <w:right w:val="nil"/>
            </w:tcBorders>
            <w:noWrap/>
            <w:vAlign w:val="center"/>
          </w:tcPr>
          <w:p w:rsidR="009D46E6" w:rsidRPr="00965109" w:rsidRDefault="009D46E6" w:rsidP="00866283">
            <w:pPr>
              <w:spacing w:after="0" w:line="240" w:lineRule="auto"/>
              <w:jc w:val="left"/>
              <w:rPr>
                <w:rFonts w:cs="Arial"/>
                <w:color w:val="000000"/>
                <w:sz w:val="16"/>
                <w:szCs w:val="16"/>
                <w:lang w:eastAsia="cs-CZ"/>
              </w:rPr>
            </w:pPr>
            <w:r w:rsidRPr="00965109">
              <w:rPr>
                <w:rFonts w:cs="Arial"/>
                <w:color w:val="000000"/>
                <w:sz w:val="16"/>
                <w:szCs w:val="16"/>
                <w:lang w:eastAsia="cs-CZ"/>
              </w:rPr>
              <w:t>Ministerstvo dopravy</w:t>
            </w:r>
          </w:p>
        </w:tc>
        <w:tc>
          <w:tcPr>
            <w:tcW w:w="1278" w:type="dxa"/>
            <w:tcBorders>
              <w:top w:val="nil"/>
              <w:left w:val="nil"/>
              <w:bottom w:val="nil"/>
              <w:right w:val="nil"/>
            </w:tcBorders>
            <w:noWrap/>
            <w:vAlign w:val="center"/>
          </w:tcPr>
          <w:p w:rsidR="009D46E6" w:rsidRPr="00965109" w:rsidRDefault="009D46E6" w:rsidP="00866283">
            <w:pPr>
              <w:spacing w:after="0" w:line="240" w:lineRule="auto"/>
              <w:ind w:left="-495" w:right="355"/>
              <w:jc w:val="right"/>
              <w:rPr>
                <w:rFonts w:cs="Arial"/>
                <w:color w:val="000000"/>
                <w:sz w:val="16"/>
                <w:szCs w:val="16"/>
                <w:lang w:eastAsia="cs-CZ"/>
              </w:rPr>
            </w:pPr>
            <w:r w:rsidRPr="00965109">
              <w:rPr>
                <w:rFonts w:cs="Arial"/>
                <w:color w:val="000000"/>
                <w:sz w:val="16"/>
                <w:szCs w:val="16"/>
                <w:lang w:eastAsia="cs-CZ"/>
              </w:rPr>
              <w:t>946</w:t>
            </w:r>
          </w:p>
        </w:tc>
        <w:tc>
          <w:tcPr>
            <w:tcW w:w="993" w:type="dxa"/>
            <w:tcBorders>
              <w:top w:val="nil"/>
              <w:left w:val="nil"/>
              <w:bottom w:val="nil"/>
              <w:right w:val="nil"/>
            </w:tcBorders>
            <w:noWrap/>
            <w:vAlign w:val="center"/>
          </w:tcPr>
          <w:p w:rsidR="009D46E6" w:rsidRPr="00965109" w:rsidRDefault="009D46E6" w:rsidP="00866283">
            <w:pPr>
              <w:spacing w:after="0" w:line="240" w:lineRule="auto"/>
              <w:ind w:left="-212" w:right="72"/>
              <w:jc w:val="right"/>
              <w:rPr>
                <w:rFonts w:cs="Arial"/>
                <w:color w:val="000000"/>
                <w:sz w:val="16"/>
                <w:szCs w:val="16"/>
                <w:lang w:eastAsia="cs-CZ"/>
              </w:rPr>
            </w:pPr>
            <w:r w:rsidRPr="00965109">
              <w:rPr>
                <w:rFonts w:cs="Arial"/>
                <w:color w:val="000000"/>
                <w:sz w:val="16"/>
                <w:szCs w:val="16"/>
                <w:lang w:eastAsia="cs-CZ"/>
              </w:rPr>
              <w:t>556</w:t>
            </w:r>
          </w:p>
        </w:tc>
        <w:tc>
          <w:tcPr>
            <w:tcW w:w="851" w:type="dxa"/>
            <w:tcBorders>
              <w:top w:val="nil"/>
              <w:left w:val="nil"/>
              <w:bottom w:val="nil"/>
              <w:right w:val="nil"/>
            </w:tcBorders>
            <w:noWrap/>
            <w:vAlign w:val="center"/>
          </w:tcPr>
          <w:p w:rsidR="009D46E6" w:rsidRPr="00965109" w:rsidRDefault="009D46E6" w:rsidP="00866283">
            <w:pPr>
              <w:spacing w:after="0" w:line="240" w:lineRule="auto"/>
              <w:ind w:left="-354" w:right="215"/>
              <w:jc w:val="right"/>
              <w:rPr>
                <w:rFonts w:cs="Arial"/>
                <w:color w:val="000000"/>
                <w:sz w:val="16"/>
                <w:szCs w:val="16"/>
                <w:lang w:eastAsia="cs-CZ"/>
              </w:rPr>
            </w:pPr>
            <w:r w:rsidRPr="00965109">
              <w:rPr>
                <w:rFonts w:cs="Arial"/>
                <w:color w:val="000000"/>
                <w:sz w:val="16"/>
                <w:szCs w:val="16"/>
                <w:lang w:eastAsia="cs-CZ"/>
              </w:rPr>
              <w:t>1</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left="-355" w:right="215"/>
              <w:jc w:val="right"/>
              <w:rPr>
                <w:rFonts w:cs="Arial"/>
                <w:color w:val="000000"/>
                <w:sz w:val="16"/>
                <w:szCs w:val="16"/>
                <w:lang w:eastAsia="cs-CZ"/>
              </w:rPr>
            </w:pPr>
            <w:r w:rsidRPr="00965109">
              <w:rPr>
                <w:rFonts w:cs="Arial"/>
                <w:color w:val="000000"/>
                <w:sz w:val="16"/>
                <w:szCs w:val="16"/>
                <w:lang w:eastAsia="cs-CZ"/>
              </w:rPr>
              <w:t>7</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right="254"/>
              <w:jc w:val="right"/>
              <w:rPr>
                <w:rFonts w:cs="Arial"/>
                <w:color w:val="000000"/>
                <w:sz w:val="16"/>
                <w:szCs w:val="16"/>
                <w:lang w:eastAsia="cs-CZ"/>
              </w:rPr>
            </w:pPr>
            <w:r w:rsidRPr="00965109">
              <w:rPr>
                <w:rFonts w:cs="Arial"/>
                <w:color w:val="000000"/>
                <w:sz w:val="16"/>
                <w:szCs w:val="16"/>
                <w:lang w:eastAsia="cs-CZ"/>
              </w:rPr>
              <w:t>232</w:t>
            </w:r>
          </w:p>
        </w:tc>
        <w:tc>
          <w:tcPr>
            <w:tcW w:w="1983" w:type="dxa"/>
            <w:gridSpan w:val="2"/>
            <w:tcBorders>
              <w:top w:val="nil"/>
              <w:left w:val="nil"/>
              <w:bottom w:val="nil"/>
              <w:right w:val="nil"/>
            </w:tcBorders>
            <w:noWrap/>
            <w:vAlign w:val="center"/>
          </w:tcPr>
          <w:p w:rsidR="009D46E6" w:rsidRPr="00965109" w:rsidRDefault="009D46E6" w:rsidP="00866283">
            <w:pPr>
              <w:spacing w:after="0" w:line="240" w:lineRule="auto"/>
              <w:ind w:right="639"/>
              <w:jc w:val="right"/>
              <w:rPr>
                <w:rFonts w:cs="Arial"/>
                <w:color w:val="000000"/>
                <w:sz w:val="16"/>
                <w:szCs w:val="16"/>
                <w:lang w:eastAsia="cs-CZ"/>
              </w:rPr>
            </w:pPr>
            <w:r w:rsidRPr="00965109">
              <w:rPr>
                <w:rFonts w:cs="Arial"/>
                <w:color w:val="000000"/>
                <w:sz w:val="16"/>
                <w:szCs w:val="16"/>
                <w:lang w:eastAsia="cs-CZ"/>
              </w:rPr>
              <w:t>151</w:t>
            </w:r>
          </w:p>
        </w:tc>
      </w:tr>
      <w:tr w:rsidR="009D46E6" w:rsidRPr="00DB1559" w:rsidTr="00E9600C">
        <w:trPr>
          <w:trHeight w:val="288"/>
        </w:trPr>
        <w:tc>
          <w:tcPr>
            <w:tcW w:w="2281" w:type="dxa"/>
            <w:tcBorders>
              <w:top w:val="nil"/>
              <w:left w:val="nil"/>
              <w:bottom w:val="nil"/>
              <w:right w:val="nil"/>
            </w:tcBorders>
            <w:noWrap/>
            <w:vAlign w:val="center"/>
          </w:tcPr>
          <w:p w:rsidR="009D46E6" w:rsidRPr="00965109" w:rsidRDefault="009D46E6" w:rsidP="00866283">
            <w:pPr>
              <w:spacing w:after="0" w:line="240" w:lineRule="auto"/>
              <w:jc w:val="left"/>
              <w:rPr>
                <w:rFonts w:cs="Arial"/>
                <w:color w:val="000000"/>
                <w:sz w:val="16"/>
                <w:szCs w:val="16"/>
                <w:lang w:eastAsia="cs-CZ"/>
              </w:rPr>
            </w:pPr>
            <w:r w:rsidRPr="00965109">
              <w:rPr>
                <w:rFonts w:cs="Arial"/>
                <w:color w:val="000000"/>
                <w:sz w:val="16"/>
                <w:szCs w:val="16"/>
                <w:lang w:eastAsia="cs-CZ"/>
              </w:rPr>
              <w:t>Ministerstvo kultury</w:t>
            </w:r>
          </w:p>
        </w:tc>
        <w:tc>
          <w:tcPr>
            <w:tcW w:w="1278" w:type="dxa"/>
            <w:tcBorders>
              <w:top w:val="nil"/>
              <w:left w:val="nil"/>
              <w:bottom w:val="nil"/>
              <w:right w:val="nil"/>
            </w:tcBorders>
            <w:noWrap/>
            <w:vAlign w:val="center"/>
          </w:tcPr>
          <w:p w:rsidR="009D46E6" w:rsidRPr="00965109" w:rsidRDefault="009D46E6" w:rsidP="00866283">
            <w:pPr>
              <w:spacing w:after="0" w:line="240" w:lineRule="auto"/>
              <w:ind w:left="-495" w:right="355"/>
              <w:jc w:val="right"/>
              <w:rPr>
                <w:rFonts w:cs="Arial"/>
                <w:color w:val="000000"/>
                <w:sz w:val="16"/>
                <w:szCs w:val="16"/>
                <w:lang w:eastAsia="cs-CZ"/>
              </w:rPr>
            </w:pPr>
            <w:r w:rsidRPr="00965109">
              <w:rPr>
                <w:rFonts w:cs="Arial"/>
                <w:color w:val="000000"/>
                <w:sz w:val="16"/>
                <w:szCs w:val="16"/>
                <w:lang w:eastAsia="cs-CZ"/>
              </w:rPr>
              <w:t>3 621</w:t>
            </w:r>
          </w:p>
        </w:tc>
        <w:tc>
          <w:tcPr>
            <w:tcW w:w="993" w:type="dxa"/>
            <w:tcBorders>
              <w:top w:val="nil"/>
              <w:left w:val="nil"/>
              <w:bottom w:val="nil"/>
              <w:right w:val="nil"/>
            </w:tcBorders>
            <w:noWrap/>
            <w:vAlign w:val="center"/>
          </w:tcPr>
          <w:p w:rsidR="009D46E6" w:rsidRPr="00965109" w:rsidRDefault="009D46E6" w:rsidP="00866283">
            <w:pPr>
              <w:spacing w:after="0" w:line="240" w:lineRule="auto"/>
              <w:ind w:left="-212" w:right="72"/>
              <w:jc w:val="right"/>
              <w:rPr>
                <w:rFonts w:cs="Arial"/>
                <w:color w:val="000000"/>
                <w:sz w:val="16"/>
                <w:szCs w:val="16"/>
                <w:lang w:eastAsia="cs-CZ"/>
              </w:rPr>
            </w:pPr>
            <w:r w:rsidRPr="00965109">
              <w:rPr>
                <w:rFonts w:cs="Arial"/>
                <w:color w:val="000000"/>
                <w:sz w:val="16"/>
                <w:szCs w:val="16"/>
                <w:lang w:eastAsia="cs-CZ"/>
              </w:rPr>
              <w:t>2 949</w:t>
            </w:r>
          </w:p>
        </w:tc>
        <w:tc>
          <w:tcPr>
            <w:tcW w:w="851" w:type="dxa"/>
            <w:tcBorders>
              <w:top w:val="nil"/>
              <w:left w:val="nil"/>
              <w:bottom w:val="nil"/>
              <w:right w:val="nil"/>
            </w:tcBorders>
            <w:noWrap/>
            <w:vAlign w:val="center"/>
          </w:tcPr>
          <w:p w:rsidR="009D46E6" w:rsidRPr="00965109" w:rsidRDefault="009D46E6" w:rsidP="00866283">
            <w:pPr>
              <w:spacing w:after="0" w:line="240" w:lineRule="auto"/>
              <w:ind w:left="-354" w:right="215"/>
              <w:jc w:val="right"/>
              <w:rPr>
                <w:rFonts w:cs="Arial"/>
                <w:color w:val="000000"/>
                <w:sz w:val="16"/>
                <w:szCs w:val="16"/>
                <w:lang w:eastAsia="cs-CZ"/>
              </w:rPr>
            </w:pPr>
            <w:r w:rsidRPr="00965109">
              <w:rPr>
                <w:rFonts w:cs="Arial"/>
                <w:color w:val="000000"/>
                <w:sz w:val="16"/>
                <w:szCs w:val="16"/>
                <w:lang w:eastAsia="cs-CZ"/>
              </w:rPr>
              <w:t>0</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left="-355" w:right="215"/>
              <w:jc w:val="right"/>
              <w:rPr>
                <w:rFonts w:cs="Arial"/>
                <w:color w:val="000000"/>
                <w:sz w:val="16"/>
                <w:szCs w:val="16"/>
                <w:lang w:eastAsia="cs-CZ"/>
              </w:rPr>
            </w:pPr>
            <w:r w:rsidRPr="00965109">
              <w:rPr>
                <w:rFonts w:cs="Arial"/>
                <w:color w:val="000000"/>
                <w:sz w:val="16"/>
                <w:szCs w:val="16"/>
                <w:lang w:eastAsia="cs-CZ"/>
              </w:rPr>
              <w:t>21</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right="254"/>
              <w:jc w:val="right"/>
              <w:rPr>
                <w:rFonts w:cs="Arial"/>
                <w:color w:val="000000"/>
                <w:sz w:val="16"/>
                <w:szCs w:val="16"/>
                <w:lang w:eastAsia="cs-CZ"/>
              </w:rPr>
            </w:pPr>
            <w:r w:rsidRPr="00965109">
              <w:rPr>
                <w:rFonts w:cs="Arial"/>
                <w:color w:val="000000"/>
                <w:sz w:val="16"/>
                <w:szCs w:val="16"/>
                <w:lang w:eastAsia="cs-CZ"/>
              </w:rPr>
              <w:t>122</w:t>
            </w:r>
          </w:p>
        </w:tc>
        <w:tc>
          <w:tcPr>
            <w:tcW w:w="1983" w:type="dxa"/>
            <w:gridSpan w:val="2"/>
            <w:tcBorders>
              <w:top w:val="nil"/>
              <w:left w:val="nil"/>
              <w:bottom w:val="nil"/>
              <w:right w:val="nil"/>
            </w:tcBorders>
            <w:noWrap/>
            <w:vAlign w:val="center"/>
          </w:tcPr>
          <w:p w:rsidR="009D46E6" w:rsidRPr="00965109" w:rsidRDefault="009D46E6" w:rsidP="00866283">
            <w:pPr>
              <w:spacing w:after="0" w:line="240" w:lineRule="auto"/>
              <w:ind w:right="639"/>
              <w:jc w:val="right"/>
              <w:rPr>
                <w:rFonts w:cs="Arial"/>
                <w:color w:val="000000"/>
                <w:sz w:val="16"/>
                <w:szCs w:val="16"/>
                <w:lang w:eastAsia="cs-CZ"/>
              </w:rPr>
            </w:pPr>
            <w:r w:rsidRPr="00965109">
              <w:rPr>
                <w:rFonts w:cs="Arial"/>
                <w:color w:val="000000"/>
                <w:sz w:val="16"/>
                <w:szCs w:val="16"/>
                <w:lang w:eastAsia="cs-CZ"/>
              </w:rPr>
              <w:t>529</w:t>
            </w:r>
          </w:p>
        </w:tc>
      </w:tr>
      <w:tr w:rsidR="009D46E6" w:rsidRPr="00DB1559" w:rsidTr="00E9600C">
        <w:trPr>
          <w:trHeight w:val="288"/>
        </w:trPr>
        <w:tc>
          <w:tcPr>
            <w:tcW w:w="2281" w:type="dxa"/>
            <w:tcBorders>
              <w:top w:val="nil"/>
              <w:left w:val="nil"/>
              <w:bottom w:val="nil"/>
              <w:right w:val="nil"/>
            </w:tcBorders>
            <w:noWrap/>
            <w:vAlign w:val="center"/>
          </w:tcPr>
          <w:p w:rsidR="009D46E6" w:rsidRPr="00965109" w:rsidRDefault="009D46E6" w:rsidP="00866283">
            <w:pPr>
              <w:spacing w:after="0" w:line="240" w:lineRule="auto"/>
              <w:jc w:val="left"/>
              <w:rPr>
                <w:rFonts w:cs="Arial"/>
                <w:color w:val="000000"/>
                <w:sz w:val="16"/>
                <w:szCs w:val="16"/>
                <w:lang w:eastAsia="cs-CZ"/>
              </w:rPr>
            </w:pPr>
            <w:r w:rsidRPr="00965109">
              <w:rPr>
                <w:rFonts w:cs="Arial"/>
                <w:color w:val="000000"/>
                <w:sz w:val="16"/>
                <w:szCs w:val="16"/>
                <w:lang w:eastAsia="cs-CZ"/>
              </w:rPr>
              <w:t>Ministerstvo pro místní rozvoj</w:t>
            </w:r>
          </w:p>
        </w:tc>
        <w:tc>
          <w:tcPr>
            <w:tcW w:w="1278" w:type="dxa"/>
            <w:tcBorders>
              <w:top w:val="nil"/>
              <w:left w:val="nil"/>
              <w:bottom w:val="nil"/>
              <w:right w:val="nil"/>
            </w:tcBorders>
            <w:noWrap/>
            <w:vAlign w:val="center"/>
          </w:tcPr>
          <w:p w:rsidR="009D46E6" w:rsidRPr="00965109" w:rsidRDefault="009D46E6" w:rsidP="00866283">
            <w:pPr>
              <w:spacing w:after="0" w:line="240" w:lineRule="auto"/>
              <w:ind w:left="-495" w:right="355"/>
              <w:jc w:val="right"/>
              <w:rPr>
                <w:rFonts w:cs="Arial"/>
                <w:color w:val="000000"/>
                <w:sz w:val="16"/>
                <w:szCs w:val="16"/>
                <w:lang w:eastAsia="cs-CZ"/>
              </w:rPr>
            </w:pPr>
            <w:r w:rsidRPr="00965109">
              <w:rPr>
                <w:rFonts w:cs="Arial"/>
                <w:color w:val="000000"/>
                <w:sz w:val="16"/>
                <w:szCs w:val="16"/>
                <w:lang w:eastAsia="cs-CZ"/>
              </w:rPr>
              <w:t>620</w:t>
            </w:r>
          </w:p>
        </w:tc>
        <w:tc>
          <w:tcPr>
            <w:tcW w:w="993" w:type="dxa"/>
            <w:tcBorders>
              <w:top w:val="nil"/>
              <w:left w:val="nil"/>
              <w:bottom w:val="nil"/>
              <w:right w:val="nil"/>
            </w:tcBorders>
            <w:noWrap/>
            <w:vAlign w:val="center"/>
          </w:tcPr>
          <w:p w:rsidR="009D46E6" w:rsidRPr="00965109" w:rsidRDefault="009D46E6" w:rsidP="00866283">
            <w:pPr>
              <w:spacing w:after="0" w:line="240" w:lineRule="auto"/>
              <w:ind w:left="-212" w:right="72"/>
              <w:jc w:val="right"/>
              <w:rPr>
                <w:rFonts w:cs="Arial"/>
                <w:color w:val="000000"/>
                <w:sz w:val="16"/>
                <w:szCs w:val="16"/>
                <w:lang w:eastAsia="cs-CZ"/>
              </w:rPr>
            </w:pPr>
            <w:r w:rsidRPr="00965109">
              <w:rPr>
                <w:rFonts w:cs="Arial"/>
                <w:color w:val="000000"/>
                <w:sz w:val="16"/>
                <w:szCs w:val="16"/>
                <w:lang w:eastAsia="cs-CZ"/>
              </w:rPr>
              <w:t>499</w:t>
            </w:r>
          </w:p>
        </w:tc>
        <w:tc>
          <w:tcPr>
            <w:tcW w:w="851" w:type="dxa"/>
            <w:tcBorders>
              <w:top w:val="nil"/>
              <w:left w:val="nil"/>
              <w:bottom w:val="nil"/>
              <w:right w:val="nil"/>
            </w:tcBorders>
            <w:noWrap/>
            <w:vAlign w:val="center"/>
          </w:tcPr>
          <w:p w:rsidR="009D46E6" w:rsidRPr="00965109" w:rsidRDefault="009D46E6" w:rsidP="00866283">
            <w:pPr>
              <w:spacing w:after="0" w:line="240" w:lineRule="auto"/>
              <w:ind w:left="-354" w:right="215"/>
              <w:jc w:val="right"/>
              <w:rPr>
                <w:rFonts w:cs="Arial"/>
                <w:color w:val="000000"/>
                <w:sz w:val="16"/>
                <w:szCs w:val="16"/>
                <w:lang w:eastAsia="cs-CZ"/>
              </w:rPr>
            </w:pPr>
            <w:r w:rsidRPr="00965109">
              <w:rPr>
                <w:rFonts w:cs="Arial"/>
                <w:color w:val="000000"/>
                <w:sz w:val="16"/>
                <w:szCs w:val="16"/>
                <w:lang w:eastAsia="cs-CZ"/>
              </w:rPr>
              <w:t>0</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left="-355" w:right="215"/>
              <w:jc w:val="right"/>
              <w:rPr>
                <w:rFonts w:cs="Arial"/>
                <w:color w:val="000000"/>
                <w:sz w:val="16"/>
                <w:szCs w:val="16"/>
                <w:lang w:eastAsia="cs-CZ"/>
              </w:rPr>
            </w:pPr>
            <w:r w:rsidRPr="00965109">
              <w:rPr>
                <w:rFonts w:cs="Arial"/>
                <w:color w:val="000000"/>
                <w:sz w:val="16"/>
                <w:szCs w:val="16"/>
                <w:lang w:eastAsia="cs-CZ"/>
              </w:rPr>
              <w:t>0</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right="254"/>
              <w:jc w:val="right"/>
              <w:rPr>
                <w:rFonts w:cs="Arial"/>
                <w:color w:val="000000"/>
                <w:sz w:val="16"/>
                <w:szCs w:val="16"/>
                <w:lang w:eastAsia="cs-CZ"/>
              </w:rPr>
            </w:pPr>
            <w:r w:rsidRPr="00965109">
              <w:rPr>
                <w:rFonts w:cs="Arial"/>
                <w:color w:val="000000"/>
                <w:sz w:val="16"/>
                <w:szCs w:val="16"/>
                <w:lang w:eastAsia="cs-CZ"/>
              </w:rPr>
              <w:t>57</w:t>
            </w:r>
          </w:p>
        </w:tc>
        <w:tc>
          <w:tcPr>
            <w:tcW w:w="1983" w:type="dxa"/>
            <w:gridSpan w:val="2"/>
            <w:tcBorders>
              <w:top w:val="nil"/>
              <w:left w:val="nil"/>
              <w:bottom w:val="nil"/>
              <w:right w:val="nil"/>
            </w:tcBorders>
            <w:noWrap/>
            <w:vAlign w:val="center"/>
          </w:tcPr>
          <w:p w:rsidR="009D46E6" w:rsidRPr="00965109" w:rsidRDefault="009D46E6" w:rsidP="00866283">
            <w:pPr>
              <w:spacing w:after="0" w:line="240" w:lineRule="auto"/>
              <w:ind w:right="639"/>
              <w:jc w:val="right"/>
              <w:rPr>
                <w:rFonts w:cs="Arial"/>
                <w:color w:val="000000"/>
                <w:sz w:val="16"/>
                <w:szCs w:val="16"/>
                <w:lang w:eastAsia="cs-CZ"/>
              </w:rPr>
            </w:pPr>
            <w:r w:rsidRPr="00965109">
              <w:rPr>
                <w:rFonts w:cs="Arial"/>
                <w:color w:val="000000"/>
                <w:sz w:val="16"/>
                <w:szCs w:val="16"/>
                <w:lang w:eastAsia="cs-CZ"/>
              </w:rPr>
              <w:t>64</w:t>
            </w:r>
          </w:p>
        </w:tc>
      </w:tr>
      <w:tr w:rsidR="009D46E6" w:rsidRPr="00DB1559" w:rsidTr="00E9600C">
        <w:trPr>
          <w:trHeight w:val="288"/>
        </w:trPr>
        <w:tc>
          <w:tcPr>
            <w:tcW w:w="2281" w:type="dxa"/>
            <w:tcBorders>
              <w:top w:val="nil"/>
              <w:left w:val="nil"/>
              <w:bottom w:val="nil"/>
              <w:right w:val="nil"/>
            </w:tcBorders>
            <w:noWrap/>
            <w:vAlign w:val="center"/>
          </w:tcPr>
          <w:p w:rsidR="009D46E6" w:rsidRPr="00965109" w:rsidRDefault="009D46E6" w:rsidP="00866283">
            <w:pPr>
              <w:spacing w:after="0" w:line="240" w:lineRule="auto"/>
              <w:jc w:val="left"/>
              <w:rPr>
                <w:rFonts w:cs="Arial"/>
                <w:color w:val="000000"/>
                <w:sz w:val="16"/>
                <w:szCs w:val="16"/>
                <w:lang w:eastAsia="cs-CZ"/>
              </w:rPr>
            </w:pPr>
            <w:r w:rsidRPr="00965109">
              <w:rPr>
                <w:rFonts w:cs="Arial"/>
                <w:color w:val="000000"/>
                <w:sz w:val="16"/>
                <w:szCs w:val="16"/>
                <w:lang w:eastAsia="cs-CZ"/>
              </w:rPr>
              <w:t>Ministerstvo obrany</w:t>
            </w:r>
          </w:p>
        </w:tc>
        <w:tc>
          <w:tcPr>
            <w:tcW w:w="1278" w:type="dxa"/>
            <w:tcBorders>
              <w:top w:val="nil"/>
              <w:left w:val="nil"/>
              <w:bottom w:val="nil"/>
              <w:right w:val="nil"/>
            </w:tcBorders>
            <w:noWrap/>
            <w:vAlign w:val="center"/>
          </w:tcPr>
          <w:p w:rsidR="009D46E6" w:rsidRPr="00965109" w:rsidRDefault="009D46E6" w:rsidP="00866283">
            <w:pPr>
              <w:spacing w:after="0" w:line="240" w:lineRule="auto"/>
              <w:ind w:left="-495" w:right="355"/>
              <w:jc w:val="right"/>
              <w:rPr>
                <w:rFonts w:cs="Arial"/>
                <w:color w:val="000000"/>
                <w:sz w:val="16"/>
                <w:szCs w:val="16"/>
                <w:lang w:eastAsia="cs-CZ"/>
              </w:rPr>
            </w:pPr>
            <w:r w:rsidRPr="00965109">
              <w:rPr>
                <w:rFonts w:cs="Arial"/>
                <w:color w:val="000000"/>
                <w:sz w:val="16"/>
                <w:szCs w:val="16"/>
                <w:lang w:eastAsia="cs-CZ"/>
              </w:rPr>
              <w:t>4 172</w:t>
            </w:r>
          </w:p>
        </w:tc>
        <w:tc>
          <w:tcPr>
            <w:tcW w:w="993" w:type="dxa"/>
            <w:tcBorders>
              <w:top w:val="nil"/>
              <w:left w:val="nil"/>
              <w:bottom w:val="nil"/>
              <w:right w:val="nil"/>
            </w:tcBorders>
            <w:noWrap/>
            <w:vAlign w:val="center"/>
          </w:tcPr>
          <w:p w:rsidR="009D46E6" w:rsidRPr="00965109" w:rsidRDefault="009D46E6" w:rsidP="00866283">
            <w:pPr>
              <w:spacing w:after="0" w:line="240" w:lineRule="auto"/>
              <w:ind w:left="-212" w:right="72"/>
              <w:jc w:val="right"/>
              <w:rPr>
                <w:rFonts w:cs="Arial"/>
                <w:color w:val="000000"/>
                <w:sz w:val="16"/>
                <w:szCs w:val="16"/>
                <w:lang w:eastAsia="cs-CZ"/>
              </w:rPr>
            </w:pPr>
            <w:r w:rsidRPr="00965109">
              <w:rPr>
                <w:rFonts w:cs="Arial"/>
                <w:color w:val="000000"/>
                <w:sz w:val="16"/>
                <w:szCs w:val="16"/>
                <w:lang w:eastAsia="cs-CZ"/>
              </w:rPr>
              <w:t>3 312</w:t>
            </w:r>
          </w:p>
        </w:tc>
        <w:tc>
          <w:tcPr>
            <w:tcW w:w="851" w:type="dxa"/>
            <w:tcBorders>
              <w:top w:val="nil"/>
              <w:left w:val="nil"/>
              <w:bottom w:val="nil"/>
              <w:right w:val="nil"/>
            </w:tcBorders>
            <w:noWrap/>
            <w:vAlign w:val="center"/>
          </w:tcPr>
          <w:p w:rsidR="009D46E6" w:rsidRPr="00965109" w:rsidRDefault="009D46E6" w:rsidP="00866283">
            <w:pPr>
              <w:spacing w:after="0" w:line="240" w:lineRule="auto"/>
              <w:ind w:left="-354" w:right="215"/>
              <w:jc w:val="right"/>
              <w:rPr>
                <w:rFonts w:cs="Arial"/>
                <w:color w:val="000000"/>
                <w:sz w:val="16"/>
                <w:szCs w:val="16"/>
                <w:lang w:eastAsia="cs-CZ"/>
              </w:rPr>
            </w:pPr>
            <w:r w:rsidRPr="00965109">
              <w:rPr>
                <w:rFonts w:cs="Arial"/>
                <w:color w:val="000000"/>
                <w:sz w:val="16"/>
                <w:szCs w:val="16"/>
                <w:lang w:eastAsia="cs-CZ"/>
              </w:rPr>
              <w:t>3</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left="-355" w:right="215"/>
              <w:jc w:val="right"/>
              <w:rPr>
                <w:rFonts w:cs="Arial"/>
                <w:color w:val="000000"/>
                <w:sz w:val="16"/>
                <w:szCs w:val="16"/>
                <w:lang w:eastAsia="cs-CZ"/>
              </w:rPr>
            </w:pPr>
            <w:r w:rsidRPr="00965109">
              <w:rPr>
                <w:rFonts w:cs="Arial"/>
                <w:color w:val="000000"/>
                <w:sz w:val="16"/>
                <w:szCs w:val="16"/>
                <w:lang w:eastAsia="cs-CZ"/>
              </w:rPr>
              <w:t>4</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right="254"/>
              <w:jc w:val="right"/>
              <w:rPr>
                <w:rFonts w:cs="Arial"/>
                <w:color w:val="000000"/>
                <w:sz w:val="16"/>
                <w:szCs w:val="16"/>
                <w:lang w:eastAsia="cs-CZ"/>
              </w:rPr>
            </w:pPr>
            <w:r w:rsidRPr="00965109">
              <w:rPr>
                <w:rFonts w:cs="Arial"/>
                <w:color w:val="000000"/>
                <w:sz w:val="16"/>
                <w:szCs w:val="16"/>
                <w:lang w:eastAsia="cs-CZ"/>
              </w:rPr>
              <w:t>337</w:t>
            </w:r>
          </w:p>
        </w:tc>
        <w:tc>
          <w:tcPr>
            <w:tcW w:w="1983" w:type="dxa"/>
            <w:gridSpan w:val="2"/>
            <w:tcBorders>
              <w:top w:val="nil"/>
              <w:left w:val="nil"/>
              <w:bottom w:val="nil"/>
              <w:right w:val="nil"/>
            </w:tcBorders>
            <w:noWrap/>
            <w:vAlign w:val="center"/>
          </w:tcPr>
          <w:p w:rsidR="009D46E6" w:rsidRPr="00965109" w:rsidRDefault="009D46E6" w:rsidP="00866283">
            <w:pPr>
              <w:spacing w:after="0" w:line="240" w:lineRule="auto"/>
              <w:ind w:right="639"/>
              <w:jc w:val="right"/>
              <w:rPr>
                <w:rFonts w:cs="Arial"/>
                <w:color w:val="000000"/>
                <w:sz w:val="16"/>
                <w:szCs w:val="16"/>
                <w:lang w:eastAsia="cs-CZ"/>
              </w:rPr>
            </w:pPr>
            <w:r w:rsidRPr="00965109">
              <w:rPr>
                <w:rFonts w:cs="Arial"/>
                <w:color w:val="000000"/>
                <w:sz w:val="16"/>
                <w:szCs w:val="16"/>
                <w:lang w:eastAsia="cs-CZ"/>
              </w:rPr>
              <w:t>516</w:t>
            </w:r>
          </w:p>
        </w:tc>
      </w:tr>
      <w:tr w:rsidR="009D46E6" w:rsidRPr="00DB1559" w:rsidTr="00E9600C">
        <w:trPr>
          <w:trHeight w:val="288"/>
        </w:trPr>
        <w:tc>
          <w:tcPr>
            <w:tcW w:w="2281" w:type="dxa"/>
            <w:tcBorders>
              <w:top w:val="nil"/>
              <w:left w:val="nil"/>
              <w:bottom w:val="nil"/>
              <w:right w:val="nil"/>
            </w:tcBorders>
            <w:noWrap/>
            <w:vAlign w:val="center"/>
          </w:tcPr>
          <w:p w:rsidR="009D46E6" w:rsidRPr="00965109" w:rsidRDefault="009D46E6" w:rsidP="00866283">
            <w:pPr>
              <w:spacing w:after="0" w:line="240" w:lineRule="auto"/>
              <w:jc w:val="left"/>
              <w:rPr>
                <w:rFonts w:cs="Arial"/>
                <w:color w:val="000000"/>
                <w:sz w:val="16"/>
                <w:szCs w:val="16"/>
                <w:lang w:eastAsia="cs-CZ"/>
              </w:rPr>
            </w:pPr>
            <w:r w:rsidRPr="00965109">
              <w:rPr>
                <w:rFonts w:cs="Arial"/>
                <w:color w:val="000000"/>
                <w:sz w:val="16"/>
                <w:szCs w:val="16"/>
                <w:lang w:eastAsia="cs-CZ"/>
              </w:rPr>
              <w:t>Ministerstvo průmyslu a obchodu</w:t>
            </w:r>
          </w:p>
        </w:tc>
        <w:tc>
          <w:tcPr>
            <w:tcW w:w="1278" w:type="dxa"/>
            <w:tcBorders>
              <w:top w:val="nil"/>
              <w:left w:val="nil"/>
              <w:bottom w:val="nil"/>
              <w:right w:val="nil"/>
            </w:tcBorders>
            <w:noWrap/>
            <w:vAlign w:val="center"/>
          </w:tcPr>
          <w:p w:rsidR="009D46E6" w:rsidRPr="00965109" w:rsidRDefault="009D46E6" w:rsidP="00866283">
            <w:pPr>
              <w:spacing w:after="0" w:line="240" w:lineRule="auto"/>
              <w:ind w:left="-495" w:right="355"/>
              <w:jc w:val="right"/>
              <w:rPr>
                <w:rFonts w:cs="Arial"/>
                <w:color w:val="000000"/>
                <w:sz w:val="16"/>
                <w:szCs w:val="16"/>
                <w:lang w:eastAsia="cs-CZ"/>
              </w:rPr>
            </w:pPr>
            <w:r w:rsidRPr="00965109">
              <w:rPr>
                <w:rFonts w:cs="Arial"/>
                <w:color w:val="000000"/>
                <w:sz w:val="16"/>
                <w:szCs w:val="16"/>
                <w:lang w:eastAsia="cs-CZ"/>
              </w:rPr>
              <w:t>9 081</w:t>
            </w:r>
          </w:p>
        </w:tc>
        <w:tc>
          <w:tcPr>
            <w:tcW w:w="993" w:type="dxa"/>
            <w:tcBorders>
              <w:top w:val="nil"/>
              <w:left w:val="nil"/>
              <w:bottom w:val="nil"/>
              <w:right w:val="nil"/>
            </w:tcBorders>
            <w:noWrap/>
            <w:vAlign w:val="center"/>
          </w:tcPr>
          <w:p w:rsidR="009D46E6" w:rsidRPr="00965109" w:rsidRDefault="009D46E6" w:rsidP="00866283">
            <w:pPr>
              <w:spacing w:after="0" w:line="240" w:lineRule="auto"/>
              <w:ind w:left="-212" w:right="72"/>
              <w:jc w:val="right"/>
              <w:rPr>
                <w:rFonts w:cs="Arial"/>
                <w:color w:val="000000"/>
                <w:sz w:val="16"/>
                <w:szCs w:val="16"/>
                <w:lang w:eastAsia="cs-CZ"/>
              </w:rPr>
            </w:pPr>
            <w:r w:rsidRPr="00965109">
              <w:rPr>
                <w:rFonts w:cs="Arial"/>
                <w:color w:val="000000"/>
                <w:sz w:val="16"/>
                <w:szCs w:val="16"/>
                <w:lang w:eastAsia="cs-CZ"/>
              </w:rPr>
              <w:t>4 176</w:t>
            </w:r>
          </w:p>
        </w:tc>
        <w:tc>
          <w:tcPr>
            <w:tcW w:w="851" w:type="dxa"/>
            <w:tcBorders>
              <w:top w:val="nil"/>
              <w:left w:val="nil"/>
              <w:bottom w:val="nil"/>
              <w:right w:val="nil"/>
            </w:tcBorders>
            <w:noWrap/>
            <w:vAlign w:val="center"/>
          </w:tcPr>
          <w:p w:rsidR="009D46E6" w:rsidRPr="00965109" w:rsidRDefault="009D46E6" w:rsidP="00866283">
            <w:pPr>
              <w:spacing w:after="0" w:line="240" w:lineRule="auto"/>
              <w:ind w:left="-354" w:right="215"/>
              <w:jc w:val="right"/>
              <w:rPr>
                <w:rFonts w:cs="Arial"/>
                <w:color w:val="000000"/>
                <w:sz w:val="16"/>
                <w:szCs w:val="16"/>
                <w:lang w:eastAsia="cs-CZ"/>
              </w:rPr>
            </w:pPr>
            <w:r w:rsidRPr="00965109">
              <w:rPr>
                <w:rFonts w:cs="Arial"/>
                <w:color w:val="000000"/>
                <w:sz w:val="16"/>
                <w:szCs w:val="16"/>
                <w:lang w:eastAsia="cs-CZ"/>
              </w:rPr>
              <w:t>92</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left="-355" w:right="215"/>
              <w:jc w:val="right"/>
              <w:rPr>
                <w:rFonts w:cs="Arial"/>
                <w:color w:val="000000"/>
                <w:sz w:val="16"/>
                <w:szCs w:val="16"/>
                <w:lang w:eastAsia="cs-CZ"/>
              </w:rPr>
            </w:pPr>
            <w:r w:rsidRPr="00965109">
              <w:rPr>
                <w:rFonts w:cs="Arial"/>
                <w:color w:val="000000"/>
                <w:sz w:val="16"/>
                <w:szCs w:val="16"/>
                <w:lang w:eastAsia="cs-CZ"/>
              </w:rPr>
              <w:t>859</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right="254"/>
              <w:jc w:val="right"/>
              <w:rPr>
                <w:rFonts w:cs="Arial"/>
                <w:color w:val="000000"/>
                <w:sz w:val="16"/>
                <w:szCs w:val="16"/>
                <w:lang w:eastAsia="cs-CZ"/>
              </w:rPr>
            </w:pPr>
            <w:r w:rsidRPr="00965109">
              <w:rPr>
                <w:rFonts w:cs="Arial"/>
                <w:color w:val="000000"/>
                <w:sz w:val="16"/>
                <w:szCs w:val="16"/>
                <w:lang w:eastAsia="cs-CZ"/>
              </w:rPr>
              <w:t>2 588</w:t>
            </w:r>
          </w:p>
        </w:tc>
        <w:tc>
          <w:tcPr>
            <w:tcW w:w="1983" w:type="dxa"/>
            <w:gridSpan w:val="2"/>
            <w:tcBorders>
              <w:top w:val="nil"/>
              <w:left w:val="nil"/>
              <w:bottom w:val="nil"/>
              <w:right w:val="nil"/>
            </w:tcBorders>
            <w:noWrap/>
            <w:vAlign w:val="center"/>
          </w:tcPr>
          <w:p w:rsidR="009D46E6" w:rsidRPr="00965109" w:rsidRDefault="009D46E6" w:rsidP="00866283">
            <w:pPr>
              <w:spacing w:after="0" w:line="240" w:lineRule="auto"/>
              <w:ind w:right="639"/>
              <w:jc w:val="right"/>
              <w:rPr>
                <w:rFonts w:cs="Arial"/>
                <w:color w:val="000000"/>
                <w:sz w:val="16"/>
                <w:szCs w:val="16"/>
                <w:lang w:eastAsia="cs-CZ"/>
              </w:rPr>
            </w:pPr>
            <w:r w:rsidRPr="00965109">
              <w:rPr>
                <w:rFonts w:cs="Arial"/>
                <w:color w:val="000000"/>
                <w:sz w:val="16"/>
                <w:szCs w:val="16"/>
                <w:lang w:eastAsia="cs-CZ"/>
              </w:rPr>
              <w:t>1 367</w:t>
            </w:r>
          </w:p>
        </w:tc>
      </w:tr>
      <w:tr w:rsidR="009D46E6" w:rsidRPr="00DB1559" w:rsidTr="00E9600C">
        <w:trPr>
          <w:trHeight w:val="288"/>
        </w:trPr>
        <w:tc>
          <w:tcPr>
            <w:tcW w:w="2281" w:type="dxa"/>
            <w:tcBorders>
              <w:top w:val="nil"/>
              <w:left w:val="nil"/>
              <w:bottom w:val="nil"/>
              <w:right w:val="nil"/>
            </w:tcBorders>
            <w:noWrap/>
            <w:vAlign w:val="center"/>
          </w:tcPr>
          <w:p w:rsidR="009D46E6" w:rsidRPr="00965109" w:rsidRDefault="009D46E6" w:rsidP="00866283">
            <w:pPr>
              <w:spacing w:after="0" w:line="240" w:lineRule="auto"/>
              <w:jc w:val="left"/>
              <w:rPr>
                <w:rFonts w:cs="Arial"/>
                <w:color w:val="000000"/>
                <w:sz w:val="16"/>
                <w:szCs w:val="16"/>
                <w:lang w:eastAsia="cs-CZ"/>
              </w:rPr>
            </w:pPr>
            <w:r w:rsidRPr="00965109">
              <w:rPr>
                <w:rFonts w:cs="Arial"/>
                <w:color w:val="000000"/>
                <w:sz w:val="16"/>
                <w:szCs w:val="16"/>
                <w:lang w:eastAsia="cs-CZ"/>
              </w:rPr>
              <w:t>Ministerstvo práce a sociálních věcí</w:t>
            </w:r>
          </w:p>
        </w:tc>
        <w:tc>
          <w:tcPr>
            <w:tcW w:w="1278" w:type="dxa"/>
            <w:tcBorders>
              <w:top w:val="nil"/>
              <w:left w:val="nil"/>
              <w:bottom w:val="nil"/>
              <w:right w:val="nil"/>
            </w:tcBorders>
            <w:noWrap/>
            <w:vAlign w:val="center"/>
          </w:tcPr>
          <w:p w:rsidR="009D46E6" w:rsidRPr="00965109" w:rsidRDefault="009D46E6" w:rsidP="00866283">
            <w:pPr>
              <w:spacing w:after="0" w:line="240" w:lineRule="auto"/>
              <w:ind w:left="-495" w:right="355"/>
              <w:jc w:val="right"/>
              <w:rPr>
                <w:rFonts w:cs="Arial"/>
                <w:color w:val="000000"/>
                <w:sz w:val="16"/>
                <w:szCs w:val="16"/>
                <w:lang w:eastAsia="cs-CZ"/>
              </w:rPr>
            </w:pPr>
            <w:r w:rsidRPr="00965109">
              <w:rPr>
                <w:rFonts w:cs="Arial"/>
                <w:color w:val="000000"/>
                <w:sz w:val="16"/>
                <w:szCs w:val="16"/>
                <w:lang w:eastAsia="cs-CZ"/>
              </w:rPr>
              <w:t>619</w:t>
            </w:r>
          </w:p>
        </w:tc>
        <w:tc>
          <w:tcPr>
            <w:tcW w:w="993" w:type="dxa"/>
            <w:tcBorders>
              <w:top w:val="nil"/>
              <w:left w:val="nil"/>
              <w:bottom w:val="nil"/>
              <w:right w:val="nil"/>
            </w:tcBorders>
            <w:noWrap/>
            <w:vAlign w:val="center"/>
          </w:tcPr>
          <w:p w:rsidR="009D46E6" w:rsidRPr="00965109" w:rsidRDefault="009D46E6" w:rsidP="00866283">
            <w:pPr>
              <w:spacing w:after="0" w:line="240" w:lineRule="auto"/>
              <w:ind w:left="-212" w:right="72"/>
              <w:jc w:val="right"/>
              <w:rPr>
                <w:rFonts w:cs="Arial"/>
                <w:color w:val="000000"/>
                <w:sz w:val="16"/>
                <w:szCs w:val="16"/>
                <w:lang w:eastAsia="cs-CZ"/>
              </w:rPr>
            </w:pPr>
            <w:r w:rsidRPr="00965109">
              <w:rPr>
                <w:rFonts w:cs="Arial"/>
                <w:color w:val="000000"/>
                <w:sz w:val="16"/>
                <w:szCs w:val="16"/>
                <w:lang w:eastAsia="cs-CZ"/>
              </w:rPr>
              <w:t>559</w:t>
            </w:r>
          </w:p>
        </w:tc>
        <w:tc>
          <w:tcPr>
            <w:tcW w:w="851" w:type="dxa"/>
            <w:tcBorders>
              <w:top w:val="nil"/>
              <w:left w:val="nil"/>
              <w:bottom w:val="nil"/>
              <w:right w:val="nil"/>
            </w:tcBorders>
            <w:noWrap/>
            <w:vAlign w:val="center"/>
          </w:tcPr>
          <w:p w:rsidR="009D46E6" w:rsidRPr="00965109" w:rsidRDefault="009D46E6" w:rsidP="00866283">
            <w:pPr>
              <w:spacing w:after="0" w:line="240" w:lineRule="auto"/>
              <w:ind w:left="-354" w:right="215"/>
              <w:jc w:val="right"/>
              <w:rPr>
                <w:rFonts w:cs="Arial"/>
                <w:color w:val="000000"/>
                <w:sz w:val="16"/>
                <w:szCs w:val="16"/>
                <w:lang w:eastAsia="cs-CZ"/>
              </w:rPr>
            </w:pPr>
            <w:r w:rsidRPr="00965109">
              <w:rPr>
                <w:rFonts w:cs="Arial"/>
                <w:color w:val="000000"/>
                <w:sz w:val="16"/>
                <w:szCs w:val="16"/>
                <w:lang w:eastAsia="cs-CZ"/>
              </w:rPr>
              <w:t>0</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left="-355" w:right="215"/>
              <w:jc w:val="right"/>
              <w:rPr>
                <w:rFonts w:cs="Arial"/>
                <w:color w:val="000000"/>
                <w:sz w:val="16"/>
                <w:szCs w:val="16"/>
                <w:lang w:eastAsia="cs-CZ"/>
              </w:rPr>
            </w:pPr>
            <w:r w:rsidRPr="00965109">
              <w:rPr>
                <w:rFonts w:cs="Arial"/>
                <w:color w:val="000000"/>
                <w:sz w:val="16"/>
                <w:szCs w:val="16"/>
                <w:lang w:eastAsia="cs-CZ"/>
              </w:rPr>
              <w:t>0</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right="254"/>
              <w:jc w:val="right"/>
              <w:rPr>
                <w:rFonts w:cs="Arial"/>
                <w:color w:val="000000"/>
                <w:sz w:val="16"/>
                <w:szCs w:val="16"/>
                <w:lang w:eastAsia="cs-CZ"/>
              </w:rPr>
            </w:pPr>
            <w:r w:rsidRPr="00965109">
              <w:rPr>
                <w:rFonts w:cs="Arial"/>
                <w:color w:val="000000"/>
                <w:sz w:val="16"/>
                <w:szCs w:val="16"/>
                <w:lang w:eastAsia="cs-CZ"/>
              </w:rPr>
              <w:t>4</w:t>
            </w:r>
          </w:p>
        </w:tc>
        <w:tc>
          <w:tcPr>
            <w:tcW w:w="1983" w:type="dxa"/>
            <w:gridSpan w:val="2"/>
            <w:tcBorders>
              <w:top w:val="nil"/>
              <w:left w:val="nil"/>
              <w:bottom w:val="nil"/>
              <w:right w:val="nil"/>
            </w:tcBorders>
            <w:noWrap/>
            <w:vAlign w:val="center"/>
          </w:tcPr>
          <w:p w:rsidR="009D46E6" w:rsidRPr="00965109" w:rsidRDefault="009D46E6" w:rsidP="00866283">
            <w:pPr>
              <w:spacing w:after="0" w:line="240" w:lineRule="auto"/>
              <w:ind w:right="639"/>
              <w:jc w:val="right"/>
              <w:rPr>
                <w:rFonts w:cs="Arial"/>
                <w:color w:val="000000"/>
                <w:sz w:val="16"/>
                <w:szCs w:val="16"/>
                <w:lang w:eastAsia="cs-CZ"/>
              </w:rPr>
            </w:pPr>
            <w:r w:rsidRPr="00965109">
              <w:rPr>
                <w:rFonts w:cs="Arial"/>
                <w:color w:val="000000"/>
                <w:sz w:val="16"/>
                <w:szCs w:val="16"/>
                <w:lang w:eastAsia="cs-CZ"/>
              </w:rPr>
              <w:t>57</w:t>
            </w:r>
          </w:p>
        </w:tc>
      </w:tr>
      <w:tr w:rsidR="009D46E6" w:rsidRPr="00DB1559" w:rsidTr="00E9600C">
        <w:trPr>
          <w:trHeight w:val="288"/>
        </w:trPr>
        <w:tc>
          <w:tcPr>
            <w:tcW w:w="2281" w:type="dxa"/>
            <w:tcBorders>
              <w:top w:val="nil"/>
              <w:left w:val="nil"/>
              <w:bottom w:val="nil"/>
              <w:right w:val="nil"/>
            </w:tcBorders>
            <w:noWrap/>
            <w:vAlign w:val="center"/>
          </w:tcPr>
          <w:p w:rsidR="009D46E6" w:rsidRPr="00965109" w:rsidRDefault="009D46E6" w:rsidP="00866283">
            <w:pPr>
              <w:spacing w:after="0" w:line="240" w:lineRule="auto"/>
              <w:jc w:val="left"/>
              <w:rPr>
                <w:rFonts w:cs="Arial"/>
                <w:color w:val="000000"/>
                <w:sz w:val="16"/>
                <w:szCs w:val="16"/>
                <w:lang w:eastAsia="cs-CZ"/>
              </w:rPr>
            </w:pPr>
            <w:r w:rsidRPr="00965109">
              <w:rPr>
                <w:rFonts w:cs="Arial"/>
                <w:color w:val="000000"/>
                <w:sz w:val="16"/>
                <w:szCs w:val="16"/>
                <w:lang w:eastAsia="cs-CZ"/>
              </w:rPr>
              <w:t>Ministerstvo spravedlnosti</w:t>
            </w:r>
          </w:p>
        </w:tc>
        <w:tc>
          <w:tcPr>
            <w:tcW w:w="1278" w:type="dxa"/>
            <w:tcBorders>
              <w:top w:val="nil"/>
              <w:left w:val="nil"/>
              <w:bottom w:val="nil"/>
              <w:right w:val="nil"/>
            </w:tcBorders>
            <w:noWrap/>
            <w:vAlign w:val="center"/>
          </w:tcPr>
          <w:p w:rsidR="009D46E6" w:rsidRPr="00965109" w:rsidRDefault="009D46E6" w:rsidP="00866283">
            <w:pPr>
              <w:spacing w:after="0" w:line="240" w:lineRule="auto"/>
              <w:ind w:left="-495" w:right="355"/>
              <w:jc w:val="right"/>
              <w:rPr>
                <w:rFonts w:cs="Arial"/>
                <w:color w:val="000000"/>
                <w:sz w:val="16"/>
                <w:szCs w:val="16"/>
                <w:lang w:eastAsia="cs-CZ"/>
              </w:rPr>
            </w:pPr>
            <w:r w:rsidRPr="00965109">
              <w:rPr>
                <w:rFonts w:cs="Arial"/>
                <w:color w:val="000000"/>
                <w:sz w:val="16"/>
                <w:szCs w:val="16"/>
                <w:lang w:eastAsia="cs-CZ"/>
              </w:rPr>
              <w:t>112</w:t>
            </w:r>
          </w:p>
        </w:tc>
        <w:tc>
          <w:tcPr>
            <w:tcW w:w="993" w:type="dxa"/>
            <w:tcBorders>
              <w:top w:val="nil"/>
              <w:left w:val="nil"/>
              <w:bottom w:val="nil"/>
              <w:right w:val="nil"/>
            </w:tcBorders>
            <w:noWrap/>
            <w:vAlign w:val="center"/>
          </w:tcPr>
          <w:p w:rsidR="009D46E6" w:rsidRPr="00965109" w:rsidRDefault="009D46E6" w:rsidP="00866283">
            <w:pPr>
              <w:spacing w:after="0" w:line="240" w:lineRule="auto"/>
              <w:ind w:left="-212" w:right="72"/>
              <w:jc w:val="right"/>
              <w:rPr>
                <w:rFonts w:cs="Arial"/>
                <w:color w:val="000000"/>
                <w:sz w:val="16"/>
                <w:szCs w:val="16"/>
                <w:lang w:eastAsia="cs-CZ"/>
              </w:rPr>
            </w:pPr>
            <w:r w:rsidRPr="00965109">
              <w:rPr>
                <w:rFonts w:cs="Arial"/>
                <w:color w:val="000000"/>
                <w:sz w:val="16"/>
                <w:szCs w:val="16"/>
                <w:lang w:eastAsia="cs-CZ"/>
              </w:rPr>
              <w:t>112</w:t>
            </w:r>
          </w:p>
        </w:tc>
        <w:tc>
          <w:tcPr>
            <w:tcW w:w="851" w:type="dxa"/>
            <w:tcBorders>
              <w:top w:val="nil"/>
              <w:left w:val="nil"/>
              <w:bottom w:val="nil"/>
              <w:right w:val="nil"/>
            </w:tcBorders>
            <w:noWrap/>
            <w:vAlign w:val="center"/>
          </w:tcPr>
          <w:p w:rsidR="009D46E6" w:rsidRPr="00965109" w:rsidRDefault="009D46E6" w:rsidP="00866283">
            <w:pPr>
              <w:spacing w:after="0" w:line="240" w:lineRule="auto"/>
              <w:ind w:left="-354" w:right="215"/>
              <w:jc w:val="right"/>
              <w:rPr>
                <w:rFonts w:cs="Arial"/>
                <w:color w:val="000000"/>
                <w:sz w:val="16"/>
                <w:szCs w:val="16"/>
                <w:lang w:eastAsia="cs-CZ"/>
              </w:rPr>
            </w:pPr>
            <w:r w:rsidRPr="00965109">
              <w:rPr>
                <w:rFonts w:cs="Arial"/>
                <w:color w:val="000000"/>
                <w:sz w:val="16"/>
                <w:szCs w:val="16"/>
                <w:lang w:eastAsia="cs-CZ"/>
              </w:rPr>
              <w:t>0</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left="-355" w:right="215"/>
              <w:jc w:val="right"/>
              <w:rPr>
                <w:rFonts w:cs="Arial"/>
                <w:color w:val="000000"/>
                <w:sz w:val="16"/>
                <w:szCs w:val="16"/>
                <w:lang w:eastAsia="cs-CZ"/>
              </w:rPr>
            </w:pPr>
            <w:r w:rsidRPr="00965109">
              <w:rPr>
                <w:rFonts w:cs="Arial"/>
                <w:color w:val="000000"/>
                <w:sz w:val="16"/>
                <w:szCs w:val="16"/>
                <w:lang w:eastAsia="cs-CZ"/>
              </w:rPr>
              <w:t>0</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right="254"/>
              <w:jc w:val="right"/>
              <w:rPr>
                <w:rFonts w:cs="Arial"/>
                <w:color w:val="000000"/>
                <w:sz w:val="16"/>
                <w:szCs w:val="16"/>
                <w:lang w:eastAsia="cs-CZ"/>
              </w:rPr>
            </w:pPr>
            <w:r w:rsidRPr="00965109">
              <w:rPr>
                <w:rFonts w:cs="Arial"/>
                <w:color w:val="000000"/>
                <w:sz w:val="16"/>
                <w:szCs w:val="16"/>
                <w:lang w:eastAsia="cs-CZ"/>
              </w:rPr>
              <w:t>0</w:t>
            </w:r>
          </w:p>
        </w:tc>
        <w:tc>
          <w:tcPr>
            <w:tcW w:w="1983" w:type="dxa"/>
            <w:gridSpan w:val="2"/>
            <w:tcBorders>
              <w:top w:val="nil"/>
              <w:left w:val="nil"/>
              <w:bottom w:val="nil"/>
              <w:right w:val="nil"/>
            </w:tcBorders>
            <w:noWrap/>
            <w:vAlign w:val="center"/>
          </w:tcPr>
          <w:p w:rsidR="009D46E6" w:rsidRPr="00965109" w:rsidRDefault="009D46E6" w:rsidP="00866283">
            <w:pPr>
              <w:spacing w:after="0" w:line="240" w:lineRule="auto"/>
              <w:ind w:right="639"/>
              <w:jc w:val="right"/>
              <w:rPr>
                <w:rFonts w:cs="Arial"/>
                <w:color w:val="000000"/>
                <w:sz w:val="16"/>
                <w:szCs w:val="16"/>
                <w:lang w:eastAsia="cs-CZ"/>
              </w:rPr>
            </w:pPr>
            <w:r w:rsidRPr="00965109">
              <w:rPr>
                <w:rFonts w:cs="Arial"/>
                <w:color w:val="000000"/>
                <w:sz w:val="16"/>
                <w:szCs w:val="16"/>
                <w:lang w:eastAsia="cs-CZ"/>
              </w:rPr>
              <w:t>0</w:t>
            </w:r>
          </w:p>
        </w:tc>
      </w:tr>
      <w:tr w:rsidR="009D46E6" w:rsidRPr="00DB1559" w:rsidTr="00E9600C">
        <w:trPr>
          <w:trHeight w:val="288"/>
        </w:trPr>
        <w:tc>
          <w:tcPr>
            <w:tcW w:w="2281" w:type="dxa"/>
            <w:tcBorders>
              <w:top w:val="nil"/>
              <w:left w:val="nil"/>
              <w:bottom w:val="nil"/>
              <w:right w:val="nil"/>
            </w:tcBorders>
            <w:noWrap/>
            <w:vAlign w:val="center"/>
          </w:tcPr>
          <w:p w:rsidR="009D46E6" w:rsidRPr="00965109" w:rsidRDefault="009D46E6" w:rsidP="00866283">
            <w:pPr>
              <w:spacing w:after="0" w:line="240" w:lineRule="auto"/>
              <w:jc w:val="left"/>
              <w:rPr>
                <w:rFonts w:cs="Arial"/>
                <w:color w:val="000000"/>
                <w:sz w:val="16"/>
                <w:szCs w:val="16"/>
                <w:lang w:eastAsia="cs-CZ"/>
              </w:rPr>
            </w:pPr>
            <w:r w:rsidRPr="00965109">
              <w:rPr>
                <w:rFonts w:cs="Arial"/>
                <w:color w:val="000000"/>
                <w:sz w:val="16"/>
                <w:szCs w:val="16"/>
                <w:lang w:eastAsia="cs-CZ"/>
              </w:rPr>
              <w:t>Ministerstvo školství, mládeže a tělovýchovy</w:t>
            </w:r>
          </w:p>
        </w:tc>
        <w:tc>
          <w:tcPr>
            <w:tcW w:w="1278" w:type="dxa"/>
            <w:tcBorders>
              <w:top w:val="nil"/>
              <w:left w:val="nil"/>
              <w:bottom w:val="nil"/>
              <w:right w:val="nil"/>
            </w:tcBorders>
            <w:noWrap/>
            <w:vAlign w:val="center"/>
          </w:tcPr>
          <w:p w:rsidR="009D46E6" w:rsidRPr="00965109" w:rsidRDefault="009D46E6" w:rsidP="00866283">
            <w:pPr>
              <w:spacing w:after="0" w:line="240" w:lineRule="auto"/>
              <w:ind w:left="-495" w:right="355"/>
              <w:jc w:val="right"/>
              <w:rPr>
                <w:rFonts w:cs="Arial"/>
                <w:color w:val="000000"/>
                <w:sz w:val="16"/>
                <w:szCs w:val="16"/>
                <w:lang w:eastAsia="cs-CZ"/>
              </w:rPr>
            </w:pPr>
            <w:r w:rsidRPr="00965109">
              <w:rPr>
                <w:rFonts w:cs="Arial"/>
                <w:color w:val="000000"/>
                <w:sz w:val="16"/>
                <w:szCs w:val="16"/>
                <w:lang w:eastAsia="cs-CZ"/>
              </w:rPr>
              <w:t>170 678</w:t>
            </w:r>
          </w:p>
        </w:tc>
        <w:tc>
          <w:tcPr>
            <w:tcW w:w="993" w:type="dxa"/>
            <w:tcBorders>
              <w:top w:val="nil"/>
              <w:left w:val="nil"/>
              <w:bottom w:val="nil"/>
              <w:right w:val="nil"/>
            </w:tcBorders>
            <w:noWrap/>
            <w:vAlign w:val="center"/>
          </w:tcPr>
          <w:p w:rsidR="009D46E6" w:rsidRPr="00965109" w:rsidRDefault="009D46E6" w:rsidP="00866283">
            <w:pPr>
              <w:spacing w:after="0" w:line="240" w:lineRule="auto"/>
              <w:ind w:left="-212" w:right="72"/>
              <w:jc w:val="right"/>
              <w:rPr>
                <w:rFonts w:cs="Arial"/>
                <w:color w:val="000000"/>
                <w:sz w:val="16"/>
                <w:szCs w:val="16"/>
                <w:lang w:eastAsia="cs-CZ"/>
              </w:rPr>
            </w:pPr>
            <w:r w:rsidRPr="00965109">
              <w:rPr>
                <w:rFonts w:cs="Arial"/>
                <w:color w:val="000000"/>
                <w:sz w:val="16"/>
                <w:szCs w:val="16"/>
                <w:lang w:eastAsia="cs-CZ"/>
              </w:rPr>
              <w:t>137 705</w:t>
            </w:r>
          </w:p>
        </w:tc>
        <w:tc>
          <w:tcPr>
            <w:tcW w:w="851" w:type="dxa"/>
            <w:tcBorders>
              <w:top w:val="nil"/>
              <w:left w:val="nil"/>
              <w:bottom w:val="nil"/>
              <w:right w:val="nil"/>
            </w:tcBorders>
            <w:noWrap/>
            <w:vAlign w:val="center"/>
          </w:tcPr>
          <w:p w:rsidR="009D46E6" w:rsidRPr="00965109" w:rsidRDefault="009D46E6" w:rsidP="00866283">
            <w:pPr>
              <w:spacing w:after="0" w:line="240" w:lineRule="auto"/>
              <w:ind w:left="-354" w:right="215"/>
              <w:jc w:val="right"/>
              <w:rPr>
                <w:rFonts w:cs="Arial"/>
                <w:color w:val="000000"/>
                <w:sz w:val="16"/>
                <w:szCs w:val="16"/>
                <w:lang w:eastAsia="cs-CZ"/>
              </w:rPr>
            </w:pPr>
            <w:r w:rsidRPr="00965109">
              <w:rPr>
                <w:rFonts w:cs="Arial"/>
                <w:color w:val="000000"/>
                <w:sz w:val="16"/>
                <w:szCs w:val="16"/>
                <w:lang w:eastAsia="cs-CZ"/>
              </w:rPr>
              <w:t>413</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left="-355" w:right="215"/>
              <w:jc w:val="right"/>
              <w:rPr>
                <w:rFonts w:cs="Arial"/>
                <w:color w:val="000000"/>
                <w:sz w:val="16"/>
                <w:szCs w:val="16"/>
                <w:lang w:eastAsia="cs-CZ"/>
              </w:rPr>
            </w:pPr>
            <w:r w:rsidRPr="00965109">
              <w:rPr>
                <w:rFonts w:cs="Arial"/>
                <w:color w:val="000000"/>
                <w:sz w:val="16"/>
                <w:szCs w:val="16"/>
                <w:lang w:eastAsia="cs-CZ"/>
              </w:rPr>
              <w:t>973</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right="254"/>
              <w:jc w:val="right"/>
              <w:rPr>
                <w:rFonts w:cs="Arial"/>
                <w:color w:val="000000"/>
                <w:sz w:val="16"/>
                <w:szCs w:val="16"/>
                <w:lang w:eastAsia="cs-CZ"/>
              </w:rPr>
            </w:pPr>
            <w:r w:rsidRPr="00965109">
              <w:rPr>
                <w:rFonts w:cs="Arial"/>
                <w:color w:val="000000"/>
                <w:sz w:val="16"/>
                <w:szCs w:val="16"/>
                <w:lang w:eastAsia="cs-CZ"/>
              </w:rPr>
              <w:t>12 370</w:t>
            </w:r>
          </w:p>
        </w:tc>
        <w:tc>
          <w:tcPr>
            <w:tcW w:w="1983" w:type="dxa"/>
            <w:gridSpan w:val="2"/>
            <w:tcBorders>
              <w:top w:val="nil"/>
              <w:left w:val="nil"/>
              <w:bottom w:val="nil"/>
              <w:right w:val="nil"/>
            </w:tcBorders>
            <w:noWrap/>
            <w:vAlign w:val="center"/>
          </w:tcPr>
          <w:p w:rsidR="009D46E6" w:rsidRPr="00965109" w:rsidRDefault="009D46E6" w:rsidP="00866283">
            <w:pPr>
              <w:spacing w:after="0" w:line="240" w:lineRule="auto"/>
              <w:ind w:right="639"/>
              <w:jc w:val="right"/>
              <w:rPr>
                <w:rFonts w:cs="Arial"/>
                <w:color w:val="000000"/>
                <w:sz w:val="16"/>
                <w:szCs w:val="16"/>
                <w:lang w:eastAsia="cs-CZ"/>
              </w:rPr>
            </w:pPr>
            <w:r w:rsidRPr="00965109">
              <w:rPr>
                <w:rFonts w:cs="Arial"/>
                <w:color w:val="000000"/>
                <w:sz w:val="16"/>
                <w:szCs w:val="16"/>
                <w:lang w:eastAsia="cs-CZ"/>
              </w:rPr>
              <w:t>19 217</w:t>
            </w:r>
          </w:p>
        </w:tc>
      </w:tr>
      <w:tr w:rsidR="009D46E6" w:rsidRPr="00DB1559" w:rsidTr="00E9600C">
        <w:trPr>
          <w:trHeight w:val="288"/>
        </w:trPr>
        <w:tc>
          <w:tcPr>
            <w:tcW w:w="2281" w:type="dxa"/>
            <w:tcBorders>
              <w:top w:val="nil"/>
              <w:left w:val="nil"/>
              <w:bottom w:val="nil"/>
              <w:right w:val="nil"/>
            </w:tcBorders>
            <w:noWrap/>
            <w:vAlign w:val="center"/>
          </w:tcPr>
          <w:p w:rsidR="009D46E6" w:rsidRPr="00965109" w:rsidRDefault="009D46E6" w:rsidP="00866283">
            <w:pPr>
              <w:spacing w:after="0" w:line="240" w:lineRule="auto"/>
              <w:jc w:val="left"/>
              <w:rPr>
                <w:rFonts w:cs="Arial"/>
                <w:color w:val="000000"/>
                <w:sz w:val="16"/>
                <w:szCs w:val="16"/>
                <w:lang w:eastAsia="cs-CZ"/>
              </w:rPr>
            </w:pPr>
            <w:r w:rsidRPr="00965109">
              <w:rPr>
                <w:rFonts w:cs="Arial"/>
                <w:color w:val="000000"/>
                <w:sz w:val="16"/>
                <w:szCs w:val="16"/>
                <w:lang w:eastAsia="cs-CZ"/>
              </w:rPr>
              <w:t>Ministerstvo vnitra</w:t>
            </w:r>
          </w:p>
        </w:tc>
        <w:tc>
          <w:tcPr>
            <w:tcW w:w="1278" w:type="dxa"/>
            <w:tcBorders>
              <w:top w:val="nil"/>
              <w:left w:val="nil"/>
              <w:bottom w:val="nil"/>
              <w:right w:val="nil"/>
            </w:tcBorders>
            <w:noWrap/>
            <w:vAlign w:val="center"/>
          </w:tcPr>
          <w:p w:rsidR="009D46E6" w:rsidRPr="00965109" w:rsidRDefault="009D46E6" w:rsidP="00866283">
            <w:pPr>
              <w:spacing w:after="0" w:line="240" w:lineRule="auto"/>
              <w:ind w:left="-495" w:right="355"/>
              <w:jc w:val="right"/>
              <w:rPr>
                <w:rFonts w:cs="Arial"/>
                <w:color w:val="000000"/>
                <w:sz w:val="16"/>
                <w:szCs w:val="16"/>
                <w:lang w:eastAsia="cs-CZ"/>
              </w:rPr>
            </w:pPr>
            <w:r w:rsidRPr="00965109">
              <w:rPr>
                <w:rFonts w:cs="Arial"/>
                <w:color w:val="000000"/>
                <w:sz w:val="16"/>
                <w:szCs w:val="16"/>
                <w:lang w:eastAsia="cs-CZ"/>
              </w:rPr>
              <w:t>1 752</w:t>
            </w:r>
          </w:p>
        </w:tc>
        <w:tc>
          <w:tcPr>
            <w:tcW w:w="993" w:type="dxa"/>
            <w:tcBorders>
              <w:top w:val="nil"/>
              <w:left w:val="nil"/>
              <w:bottom w:val="nil"/>
              <w:right w:val="nil"/>
            </w:tcBorders>
            <w:noWrap/>
            <w:vAlign w:val="center"/>
          </w:tcPr>
          <w:p w:rsidR="009D46E6" w:rsidRPr="00965109" w:rsidRDefault="009D46E6" w:rsidP="00866283">
            <w:pPr>
              <w:spacing w:after="0" w:line="240" w:lineRule="auto"/>
              <w:ind w:left="-212" w:right="72"/>
              <w:jc w:val="right"/>
              <w:rPr>
                <w:rFonts w:cs="Arial"/>
                <w:color w:val="000000"/>
                <w:sz w:val="16"/>
                <w:szCs w:val="16"/>
                <w:lang w:eastAsia="cs-CZ"/>
              </w:rPr>
            </w:pPr>
            <w:r w:rsidRPr="00965109">
              <w:rPr>
                <w:rFonts w:cs="Arial"/>
                <w:color w:val="000000"/>
                <w:sz w:val="16"/>
                <w:szCs w:val="16"/>
                <w:lang w:eastAsia="cs-CZ"/>
              </w:rPr>
              <w:t>1 202</w:t>
            </w:r>
          </w:p>
        </w:tc>
        <w:tc>
          <w:tcPr>
            <w:tcW w:w="851" w:type="dxa"/>
            <w:tcBorders>
              <w:top w:val="nil"/>
              <w:left w:val="nil"/>
              <w:bottom w:val="nil"/>
              <w:right w:val="nil"/>
            </w:tcBorders>
            <w:noWrap/>
            <w:vAlign w:val="center"/>
          </w:tcPr>
          <w:p w:rsidR="009D46E6" w:rsidRPr="00965109" w:rsidRDefault="009D46E6" w:rsidP="00866283">
            <w:pPr>
              <w:spacing w:after="0" w:line="240" w:lineRule="auto"/>
              <w:ind w:left="-354" w:right="215"/>
              <w:jc w:val="right"/>
              <w:rPr>
                <w:rFonts w:cs="Arial"/>
                <w:color w:val="000000"/>
                <w:sz w:val="16"/>
                <w:szCs w:val="16"/>
                <w:lang w:eastAsia="cs-CZ"/>
              </w:rPr>
            </w:pPr>
            <w:r w:rsidRPr="00965109">
              <w:rPr>
                <w:rFonts w:cs="Arial"/>
                <w:color w:val="000000"/>
                <w:sz w:val="16"/>
                <w:szCs w:val="16"/>
                <w:lang w:eastAsia="cs-CZ"/>
              </w:rPr>
              <w:t>3</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left="-355" w:right="215"/>
              <w:jc w:val="right"/>
              <w:rPr>
                <w:rFonts w:cs="Arial"/>
                <w:color w:val="000000"/>
                <w:sz w:val="16"/>
                <w:szCs w:val="16"/>
                <w:lang w:eastAsia="cs-CZ"/>
              </w:rPr>
            </w:pPr>
            <w:r w:rsidRPr="00965109">
              <w:rPr>
                <w:rFonts w:cs="Arial"/>
                <w:color w:val="000000"/>
                <w:sz w:val="16"/>
                <w:szCs w:val="16"/>
                <w:lang w:eastAsia="cs-CZ"/>
              </w:rPr>
              <w:t>6</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right="254"/>
              <w:jc w:val="right"/>
              <w:rPr>
                <w:rFonts w:cs="Arial"/>
                <w:color w:val="000000"/>
                <w:sz w:val="16"/>
                <w:szCs w:val="16"/>
                <w:lang w:eastAsia="cs-CZ"/>
              </w:rPr>
            </w:pPr>
            <w:r w:rsidRPr="00965109">
              <w:rPr>
                <w:rFonts w:cs="Arial"/>
                <w:color w:val="000000"/>
                <w:sz w:val="16"/>
                <w:szCs w:val="16"/>
                <w:lang w:eastAsia="cs-CZ"/>
              </w:rPr>
              <w:t>330</w:t>
            </w:r>
          </w:p>
        </w:tc>
        <w:tc>
          <w:tcPr>
            <w:tcW w:w="1983" w:type="dxa"/>
            <w:gridSpan w:val="2"/>
            <w:tcBorders>
              <w:top w:val="nil"/>
              <w:left w:val="nil"/>
              <w:bottom w:val="nil"/>
              <w:right w:val="nil"/>
            </w:tcBorders>
            <w:noWrap/>
            <w:vAlign w:val="center"/>
          </w:tcPr>
          <w:p w:rsidR="009D46E6" w:rsidRPr="00965109" w:rsidRDefault="009D46E6" w:rsidP="00866283">
            <w:pPr>
              <w:spacing w:after="0" w:line="240" w:lineRule="auto"/>
              <w:ind w:right="639"/>
              <w:jc w:val="right"/>
              <w:rPr>
                <w:rFonts w:cs="Arial"/>
                <w:color w:val="000000"/>
                <w:sz w:val="16"/>
                <w:szCs w:val="16"/>
                <w:lang w:eastAsia="cs-CZ"/>
              </w:rPr>
            </w:pPr>
            <w:r w:rsidRPr="00965109">
              <w:rPr>
                <w:rFonts w:cs="Arial"/>
                <w:color w:val="000000"/>
                <w:sz w:val="16"/>
                <w:szCs w:val="16"/>
                <w:lang w:eastAsia="cs-CZ"/>
              </w:rPr>
              <w:t>211</w:t>
            </w:r>
          </w:p>
        </w:tc>
      </w:tr>
      <w:tr w:rsidR="009D46E6" w:rsidRPr="00DB1559" w:rsidTr="00E9600C">
        <w:trPr>
          <w:trHeight w:val="288"/>
        </w:trPr>
        <w:tc>
          <w:tcPr>
            <w:tcW w:w="2281" w:type="dxa"/>
            <w:tcBorders>
              <w:top w:val="nil"/>
              <w:left w:val="nil"/>
              <w:bottom w:val="nil"/>
              <w:right w:val="nil"/>
            </w:tcBorders>
            <w:noWrap/>
            <w:vAlign w:val="center"/>
          </w:tcPr>
          <w:p w:rsidR="009D46E6" w:rsidRPr="00965109" w:rsidRDefault="009D46E6" w:rsidP="00866283">
            <w:pPr>
              <w:spacing w:after="0" w:line="240" w:lineRule="auto"/>
              <w:jc w:val="left"/>
              <w:rPr>
                <w:rFonts w:cs="Arial"/>
                <w:color w:val="000000"/>
                <w:sz w:val="16"/>
                <w:szCs w:val="16"/>
                <w:lang w:eastAsia="cs-CZ"/>
              </w:rPr>
            </w:pPr>
            <w:r w:rsidRPr="00965109">
              <w:rPr>
                <w:rFonts w:cs="Arial"/>
                <w:color w:val="000000"/>
                <w:sz w:val="16"/>
                <w:szCs w:val="16"/>
                <w:lang w:eastAsia="cs-CZ"/>
              </w:rPr>
              <w:t>Ministerstvo zdravotnictví</w:t>
            </w:r>
          </w:p>
        </w:tc>
        <w:tc>
          <w:tcPr>
            <w:tcW w:w="1278" w:type="dxa"/>
            <w:tcBorders>
              <w:top w:val="nil"/>
              <w:left w:val="nil"/>
              <w:bottom w:val="nil"/>
              <w:right w:val="nil"/>
            </w:tcBorders>
            <w:noWrap/>
            <w:vAlign w:val="center"/>
          </w:tcPr>
          <w:p w:rsidR="009D46E6" w:rsidRPr="00965109" w:rsidRDefault="009D46E6" w:rsidP="00866283">
            <w:pPr>
              <w:spacing w:after="0" w:line="240" w:lineRule="auto"/>
              <w:ind w:left="-495" w:right="355"/>
              <w:jc w:val="right"/>
              <w:rPr>
                <w:rFonts w:cs="Arial"/>
                <w:color w:val="000000"/>
                <w:sz w:val="16"/>
                <w:szCs w:val="16"/>
                <w:lang w:eastAsia="cs-CZ"/>
              </w:rPr>
            </w:pPr>
            <w:r w:rsidRPr="00965109">
              <w:rPr>
                <w:rFonts w:cs="Arial"/>
                <w:color w:val="000000"/>
                <w:sz w:val="16"/>
                <w:szCs w:val="16"/>
                <w:lang w:eastAsia="cs-CZ"/>
              </w:rPr>
              <w:t>11 155</w:t>
            </w:r>
          </w:p>
        </w:tc>
        <w:tc>
          <w:tcPr>
            <w:tcW w:w="993" w:type="dxa"/>
            <w:tcBorders>
              <w:top w:val="nil"/>
              <w:left w:val="nil"/>
              <w:bottom w:val="nil"/>
              <w:right w:val="nil"/>
            </w:tcBorders>
            <w:noWrap/>
            <w:vAlign w:val="center"/>
          </w:tcPr>
          <w:p w:rsidR="009D46E6" w:rsidRPr="00965109" w:rsidRDefault="009D46E6" w:rsidP="00866283">
            <w:pPr>
              <w:spacing w:after="0" w:line="240" w:lineRule="auto"/>
              <w:ind w:left="-212" w:right="72"/>
              <w:jc w:val="right"/>
              <w:rPr>
                <w:rFonts w:cs="Arial"/>
                <w:color w:val="000000"/>
                <w:sz w:val="16"/>
                <w:szCs w:val="16"/>
                <w:lang w:eastAsia="cs-CZ"/>
              </w:rPr>
            </w:pPr>
            <w:r w:rsidRPr="00965109">
              <w:rPr>
                <w:rFonts w:cs="Arial"/>
                <w:color w:val="000000"/>
                <w:sz w:val="16"/>
                <w:szCs w:val="16"/>
                <w:lang w:eastAsia="cs-CZ"/>
              </w:rPr>
              <w:t>10 831</w:t>
            </w:r>
          </w:p>
        </w:tc>
        <w:tc>
          <w:tcPr>
            <w:tcW w:w="851" w:type="dxa"/>
            <w:tcBorders>
              <w:top w:val="nil"/>
              <w:left w:val="nil"/>
              <w:bottom w:val="nil"/>
              <w:right w:val="nil"/>
            </w:tcBorders>
            <w:noWrap/>
            <w:vAlign w:val="center"/>
          </w:tcPr>
          <w:p w:rsidR="009D46E6" w:rsidRPr="00965109" w:rsidRDefault="009D46E6" w:rsidP="00866283">
            <w:pPr>
              <w:spacing w:after="0" w:line="240" w:lineRule="auto"/>
              <w:ind w:left="-354" w:right="215"/>
              <w:jc w:val="right"/>
              <w:rPr>
                <w:rFonts w:cs="Arial"/>
                <w:color w:val="000000"/>
                <w:sz w:val="16"/>
                <w:szCs w:val="16"/>
                <w:lang w:eastAsia="cs-CZ"/>
              </w:rPr>
            </w:pPr>
            <w:r w:rsidRPr="00965109">
              <w:rPr>
                <w:rFonts w:cs="Arial"/>
                <w:color w:val="000000"/>
                <w:sz w:val="16"/>
                <w:szCs w:val="16"/>
                <w:lang w:eastAsia="cs-CZ"/>
              </w:rPr>
              <w:t>5</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left="-355" w:right="215"/>
              <w:jc w:val="right"/>
              <w:rPr>
                <w:rFonts w:cs="Arial"/>
                <w:color w:val="000000"/>
                <w:sz w:val="16"/>
                <w:szCs w:val="16"/>
                <w:lang w:eastAsia="cs-CZ"/>
              </w:rPr>
            </w:pPr>
            <w:r w:rsidRPr="00965109">
              <w:rPr>
                <w:rFonts w:cs="Arial"/>
                <w:color w:val="000000"/>
                <w:sz w:val="16"/>
                <w:szCs w:val="16"/>
                <w:lang w:eastAsia="cs-CZ"/>
              </w:rPr>
              <w:t>14</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right="254"/>
              <w:jc w:val="right"/>
              <w:rPr>
                <w:rFonts w:cs="Arial"/>
                <w:color w:val="000000"/>
                <w:sz w:val="16"/>
                <w:szCs w:val="16"/>
                <w:lang w:eastAsia="cs-CZ"/>
              </w:rPr>
            </w:pPr>
            <w:r w:rsidRPr="00965109">
              <w:rPr>
                <w:rFonts w:cs="Arial"/>
                <w:color w:val="000000"/>
                <w:sz w:val="16"/>
                <w:szCs w:val="16"/>
                <w:lang w:eastAsia="cs-CZ"/>
              </w:rPr>
              <w:t>16</w:t>
            </w:r>
          </w:p>
        </w:tc>
        <w:tc>
          <w:tcPr>
            <w:tcW w:w="1983" w:type="dxa"/>
            <w:gridSpan w:val="2"/>
            <w:tcBorders>
              <w:top w:val="nil"/>
              <w:left w:val="nil"/>
              <w:bottom w:val="nil"/>
              <w:right w:val="nil"/>
            </w:tcBorders>
            <w:noWrap/>
            <w:vAlign w:val="center"/>
          </w:tcPr>
          <w:p w:rsidR="009D46E6" w:rsidRPr="00965109" w:rsidRDefault="009D46E6" w:rsidP="00866283">
            <w:pPr>
              <w:spacing w:after="0" w:line="240" w:lineRule="auto"/>
              <w:ind w:right="639"/>
              <w:jc w:val="right"/>
              <w:rPr>
                <w:rFonts w:cs="Arial"/>
                <w:color w:val="000000"/>
                <w:sz w:val="16"/>
                <w:szCs w:val="16"/>
                <w:lang w:eastAsia="cs-CZ"/>
              </w:rPr>
            </w:pPr>
            <w:r w:rsidRPr="00965109">
              <w:rPr>
                <w:rFonts w:cs="Arial"/>
                <w:color w:val="000000"/>
                <w:sz w:val="16"/>
                <w:szCs w:val="16"/>
                <w:lang w:eastAsia="cs-CZ"/>
              </w:rPr>
              <w:t>289</w:t>
            </w:r>
          </w:p>
        </w:tc>
      </w:tr>
      <w:tr w:rsidR="009D46E6" w:rsidRPr="00DB1559" w:rsidTr="00E9600C">
        <w:trPr>
          <w:trHeight w:val="288"/>
        </w:trPr>
        <w:tc>
          <w:tcPr>
            <w:tcW w:w="2281" w:type="dxa"/>
            <w:tcBorders>
              <w:top w:val="nil"/>
              <w:left w:val="nil"/>
              <w:bottom w:val="nil"/>
              <w:right w:val="nil"/>
            </w:tcBorders>
            <w:noWrap/>
            <w:vAlign w:val="center"/>
          </w:tcPr>
          <w:p w:rsidR="009D46E6" w:rsidRPr="00965109" w:rsidRDefault="009D46E6" w:rsidP="00866283">
            <w:pPr>
              <w:spacing w:after="0" w:line="240" w:lineRule="auto"/>
              <w:jc w:val="left"/>
              <w:rPr>
                <w:rFonts w:cs="Arial"/>
                <w:color w:val="000000"/>
                <w:sz w:val="16"/>
                <w:szCs w:val="16"/>
                <w:lang w:eastAsia="cs-CZ"/>
              </w:rPr>
            </w:pPr>
            <w:r w:rsidRPr="00965109">
              <w:rPr>
                <w:rFonts w:cs="Arial"/>
                <w:color w:val="000000"/>
                <w:sz w:val="16"/>
                <w:szCs w:val="16"/>
                <w:lang w:eastAsia="cs-CZ"/>
              </w:rPr>
              <w:t>Ministerstvo zemědělství</w:t>
            </w:r>
          </w:p>
        </w:tc>
        <w:tc>
          <w:tcPr>
            <w:tcW w:w="1278" w:type="dxa"/>
            <w:tcBorders>
              <w:top w:val="nil"/>
              <w:left w:val="nil"/>
              <w:bottom w:val="nil"/>
              <w:right w:val="nil"/>
            </w:tcBorders>
            <w:noWrap/>
            <w:vAlign w:val="center"/>
          </w:tcPr>
          <w:p w:rsidR="009D46E6" w:rsidRPr="00965109" w:rsidRDefault="009D46E6" w:rsidP="00866283">
            <w:pPr>
              <w:spacing w:after="0" w:line="240" w:lineRule="auto"/>
              <w:ind w:left="-495" w:right="355"/>
              <w:jc w:val="right"/>
              <w:rPr>
                <w:rFonts w:cs="Arial"/>
                <w:color w:val="000000"/>
                <w:sz w:val="16"/>
                <w:szCs w:val="16"/>
                <w:lang w:eastAsia="cs-CZ"/>
              </w:rPr>
            </w:pPr>
            <w:r w:rsidRPr="00965109">
              <w:rPr>
                <w:rFonts w:cs="Arial"/>
                <w:color w:val="000000"/>
                <w:sz w:val="16"/>
                <w:szCs w:val="16"/>
                <w:lang w:eastAsia="cs-CZ"/>
              </w:rPr>
              <w:t>8 211</w:t>
            </w:r>
          </w:p>
        </w:tc>
        <w:tc>
          <w:tcPr>
            <w:tcW w:w="993" w:type="dxa"/>
            <w:tcBorders>
              <w:top w:val="nil"/>
              <w:left w:val="nil"/>
              <w:bottom w:val="nil"/>
              <w:right w:val="nil"/>
            </w:tcBorders>
            <w:noWrap/>
            <w:vAlign w:val="center"/>
          </w:tcPr>
          <w:p w:rsidR="009D46E6" w:rsidRPr="00965109" w:rsidRDefault="009D46E6" w:rsidP="00866283">
            <w:pPr>
              <w:spacing w:after="0" w:line="240" w:lineRule="auto"/>
              <w:ind w:left="-212" w:right="72"/>
              <w:jc w:val="right"/>
              <w:rPr>
                <w:rFonts w:cs="Arial"/>
                <w:color w:val="000000"/>
                <w:sz w:val="16"/>
                <w:szCs w:val="16"/>
                <w:lang w:eastAsia="cs-CZ"/>
              </w:rPr>
            </w:pPr>
            <w:r w:rsidRPr="00965109">
              <w:rPr>
                <w:rFonts w:cs="Arial"/>
                <w:color w:val="000000"/>
                <w:sz w:val="16"/>
                <w:szCs w:val="16"/>
                <w:lang w:eastAsia="cs-CZ"/>
              </w:rPr>
              <w:t>5 438</w:t>
            </w:r>
          </w:p>
        </w:tc>
        <w:tc>
          <w:tcPr>
            <w:tcW w:w="851" w:type="dxa"/>
            <w:tcBorders>
              <w:top w:val="nil"/>
              <w:left w:val="nil"/>
              <w:bottom w:val="nil"/>
              <w:right w:val="nil"/>
            </w:tcBorders>
            <w:noWrap/>
            <w:vAlign w:val="center"/>
          </w:tcPr>
          <w:p w:rsidR="009D46E6" w:rsidRPr="00965109" w:rsidRDefault="009D46E6" w:rsidP="00866283">
            <w:pPr>
              <w:spacing w:after="0" w:line="240" w:lineRule="auto"/>
              <w:ind w:left="-354" w:right="215"/>
              <w:jc w:val="right"/>
              <w:rPr>
                <w:rFonts w:cs="Arial"/>
                <w:color w:val="000000"/>
                <w:sz w:val="16"/>
                <w:szCs w:val="16"/>
                <w:lang w:eastAsia="cs-CZ"/>
              </w:rPr>
            </w:pPr>
            <w:r w:rsidRPr="00965109">
              <w:rPr>
                <w:rFonts w:cs="Arial"/>
                <w:color w:val="000000"/>
                <w:sz w:val="16"/>
                <w:szCs w:val="16"/>
                <w:lang w:eastAsia="cs-CZ"/>
              </w:rPr>
              <w:t>63</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left="-355" w:right="215"/>
              <w:jc w:val="right"/>
              <w:rPr>
                <w:rFonts w:cs="Arial"/>
                <w:color w:val="000000"/>
                <w:sz w:val="16"/>
                <w:szCs w:val="16"/>
                <w:lang w:eastAsia="cs-CZ"/>
              </w:rPr>
            </w:pPr>
            <w:r w:rsidRPr="00965109">
              <w:rPr>
                <w:rFonts w:cs="Arial"/>
                <w:color w:val="000000"/>
                <w:sz w:val="16"/>
                <w:szCs w:val="16"/>
                <w:lang w:eastAsia="cs-CZ"/>
              </w:rPr>
              <w:t>182</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right="254"/>
              <w:jc w:val="right"/>
              <w:rPr>
                <w:rFonts w:cs="Arial"/>
                <w:color w:val="000000"/>
                <w:sz w:val="16"/>
                <w:szCs w:val="16"/>
                <w:lang w:eastAsia="cs-CZ"/>
              </w:rPr>
            </w:pPr>
            <w:r w:rsidRPr="00965109">
              <w:rPr>
                <w:rFonts w:cs="Arial"/>
                <w:color w:val="000000"/>
                <w:sz w:val="16"/>
                <w:szCs w:val="16"/>
                <w:lang w:eastAsia="cs-CZ"/>
              </w:rPr>
              <w:t>1 453</w:t>
            </w:r>
          </w:p>
        </w:tc>
        <w:tc>
          <w:tcPr>
            <w:tcW w:w="1983" w:type="dxa"/>
            <w:gridSpan w:val="2"/>
            <w:tcBorders>
              <w:top w:val="nil"/>
              <w:left w:val="nil"/>
              <w:bottom w:val="nil"/>
              <w:right w:val="nil"/>
            </w:tcBorders>
            <w:noWrap/>
            <w:vAlign w:val="center"/>
          </w:tcPr>
          <w:p w:rsidR="009D46E6" w:rsidRPr="00965109" w:rsidRDefault="009D46E6" w:rsidP="00866283">
            <w:pPr>
              <w:spacing w:after="0" w:line="240" w:lineRule="auto"/>
              <w:ind w:right="639"/>
              <w:jc w:val="right"/>
              <w:rPr>
                <w:rFonts w:cs="Arial"/>
                <w:color w:val="000000"/>
                <w:sz w:val="16"/>
                <w:szCs w:val="16"/>
                <w:lang w:eastAsia="cs-CZ"/>
              </w:rPr>
            </w:pPr>
            <w:r w:rsidRPr="00965109">
              <w:rPr>
                <w:rFonts w:cs="Arial"/>
                <w:color w:val="000000"/>
                <w:sz w:val="16"/>
                <w:szCs w:val="16"/>
                <w:lang w:eastAsia="cs-CZ"/>
              </w:rPr>
              <w:t>1 076</w:t>
            </w:r>
          </w:p>
        </w:tc>
      </w:tr>
      <w:tr w:rsidR="009D46E6" w:rsidRPr="00DB1559" w:rsidTr="00E9600C">
        <w:trPr>
          <w:trHeight w:val="288"/>
        </w:trPr>
        <w:tc>
          <w:tcPr>
            <w:tcW w:w="2281" w:type="dxa"/>
            <w:tcBorders>
              <w:top w:val="nil"/>
              <w:left w:val="nil"/>
              <w:bottom w:val="nil"/>
              <w:right w:val="nil"/>
            </w:tcBorders>
            <w:noWrap/>
            <w:vAlign w:val="center"/>
          </w:tcPr>
          <w:p w:rsidR="009D46E6" w:rsidRPr="00965109" w:rsidRDefault="009D46E6" w:rsidP="00866283">
            <w:pPr>
              <w:spacing w:after="0" w:line="240" w:lineRule="auto"/>
              <w:jc w:val="left"/>
              <w:rPr>
                <w:rFonts w:cs="Arial"/>
                <w:color w:val="000000"/>
                <w:sz w:val="16"/>
                <w:szCs w:val="16"/>
                <w:lang w:eastAsia="cs-CZ"/>
              </w:rPr>
            </w:pPr>
            <w:r w:rsidRPr="00965109">
              <w:rPr>
                <w:rFonts w:cs="Arial"/>
                <w:color w:val="000000"/>
                <w:sz w:val="16"/>
                <w:szCs w:val="16"/>
                <w:lang w:eastAsia="cs-CZ"/>
              </w:rPr>
              <w:t>Ministerstvo životního prostředí</w:t>
            </w:r>
          </w:p>
        </w:tc>
        <w:tc>
          <w:tcPr>
            <w:tcW w:w="1278" w:type="dxa"/>
            <w:tcBorders>
              <w:top w:val="nil"/>
              <w:left w:val="nil"/>
              <w:bottom w:val="nil"/>
              <w:right w:val="nil"/>
            </w:tcBorders>
            <w:noWrap/>
            <w:vAlign w:val="center"/>
          </w:tcPr>
          <w:p w:rsidR="009D46E6" w:rsidRPr="00965109" w:rsidRDefault="009D46E6" w:rsidP="00866283">
            <w:pPr>
              <w:spacing w:after="0" w:line="240" w:lineRule="auto"/>
              <w:ind w:left="-495" w:right="355"/>
              <w:jc w:val="right"/>
              <w:rPr>
                <w:rFonts w:cs="Arial"/>
                <w:color w:val="000000"/>
                <w:sz w:val="16"/>
                <w:szCs w:val="16"/>
                <w:lang w:eastAsia="cs-CZ"/>
              </w:rPr>
            </w:pPr>
            <w:r w:rsidRPr="00965109">
              <w:rPr>
                <w:rFonts w:cs="Arial"/>
                <w:color w:val="000000"/>
                <w:sz w:val="16"/>
                <w:szCs w:val="16"/>
                <w:lang w:eastAsia="cs-CZ"/>
              </w:rPr>
              <w:t>4 767</w:t>
            </w:r>
          </w:p>
        </w:tc>
        <w:tc>
          <w:tcPr>
            <w:tcW w:w="993" w:type="dxa"/>
            <w:tcBorders>
              <w:top w:val="nil"/>
              <w:left w:val="nil"/>
              <w:bottom w:val="nil"/>
              <w:right w:val="nil"/>
            </w:tcBorders>
            <w:noWrap/>
            <w:vAlign w:val="center"/>
          </w:tcPr>
          <w:p w:rsidR="009D46E6" w:rsidRPr="00965109" w:rsidRDefault="009D46E6" w:rsidP="00866283">
            <w:pPr>
              <w:spacing w:after="0" w:line="240" w:lineRule="auto"/>
              <w:ind w:left="-212" w:right="72"/>
              <w:jc w:val="right"/>
              <w:rPr>
                <w:rFonts w:cs="Arial"/>
                <w:color w:val="000000"/>
                <w:sz w:val="16"/>
                <w:szCs w:val="16"/>
                <w:lang w:eastAsia="cs-CZ"/>
              </w:rPr>
            </w:pPr>
            <w:r w:rsidRPr="00965109">
              <w:rPr>
                <w:rFonts w:cs="Arial"/>
                <w:color w:val="000000"/>
                <w:sz w:val="16"/>
                <w:szCs w:val="16"/>
                <w:lang w:eastAsia="cs-CZ"/>
              </w:rPr>
              <w:t>2 598</w:t>
            </w:r>
          </w:p>
        </w:tc>
        <w:tc>
          <w:tcPr>
            <w:tcW w:w="851" w:type="dxa"/>
            <w:tcBorders>
              <w:top w:val="nil"/>
              <w:left w:val="nil"/>
              <w:bottom w:val="nil"/>
              <w:right w:val="nil"/>
            </w:tcBorders>
            <w:noWrap/>
            <w:vAlign w:val="center"/>
          </w:tcPr>
          <w:p w:rsidR="009D46E6" w:rsidRPr="00965109" w:rsidRDefault="009D46E6" w:rsidP="00866283">
            <w:pPr>
              <w:spacing w:after="0" w:line="240" w:lineRule="auto"/>
              <w:ind w:left="-354" w:right="215"/>
              <w:jc w:val="right"/>
              <w:rPr>
                <w:rFonts w:cs="Arial"/>
                <w:color w:val="000000"/>
                <w:sz w:val="16"/>
                <w:szCs w:val="16"/>
                <w:lang w:eastAsia="cs-CZ"/>
              </w:rPr>
            </w:pPr>
            <w:r w:rsidRPr="00965109">
              <w:rPr>
                <w:rFonts w:cs="Arial"/>
                <w:color w:val="000000"/>
                <w:sz w:val="16"/>
                <w:szCs w:val="16"/>
                <w:lang w:eastAsia="cs-CZ"/>
              </w:rPr>
              <w:t>0</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left="-355" w:right="215"/>
              <w:jc w:val="right"/>
              <w:rPr>
                <w:rFonts w:cs="Arial"/>
                <w:color w:val="000000"/>
                <w:sz w:val="16"/>
                <w:szCs w:val="16"/>
                <w:lang w:eastAsia="cs-CZ"/>
              </w:rPr>
            </w:pPr>
            <w:r w:rsidRPr="00965109">
              <w:rPr>
                <w:rFonts w:cs="Arial"/>
                <w:color w:val="000000"/>
                <w:sz w:val="16"/>
                <w:szCs w:val="16"/>
                <w:lang w:eastAsia="cs-CZ"/>
              </w:rPr>
              <w:t>63</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right="254"/>
              <w:jc w:val="right"/>
              <w:rPr>
                <w:rFonts w:cs="Arial"/>
                <w:color w:val="000000"/>
                <w:sz w:val="16"/>
                <w:szCs w:val="16"/>
                <w:lang w:eastAsia="cs-CZ"/>
              </w:rPr>
            </w:pPr>
            <w:r w:rsidRPr="00965109">
              <w:rPr>
                <w:rFonts w:cs="Arial"/>
                <w:color w:val="000000"/>
                <w:sz w:val="16"/>
                <w:szCs w:val="16"/>
                <w:lang w:eastAsia="cs-CZ"/>
              </w:rPr>
              <w:t>1 634</w:t>
            </w:r>
          </w:p>
        </w:tc>
        <w:tc>
          <w:tcPr>
            <w:tcW w:w="1983" w:type="dxa"/>
            <w:gridSpan w:val="2"/>
            <w:tcBorders>
              <w:top w:val="nil"/>
              <w:left w:val="nil"/>
              <w:bottom w:val="nil"/>
              <w:right w:val="nil"/>
            </w:tcBorders>
            <w:noWrap/>
            <w:vAlign w:val="center"/>
          </w:tcPr>
          <w:p w:rsidR="009D46E6" w:rsidRPr="00965109" w:rsidRDefault="009D46E6" w:rsidP="00866283">
            <w:pPr>
              <w:spacing w:after="0" w:line="240" w:lineRule="auto"/>
              <w:ind w:right="639"/>
              <w:jc w:val="right"/>
              <w:rPr>
                <w:rFonts w:cs="Arial"/>
                <w:color w:val="000000"/>
                <w:sz w:val="16"/>
                <w:szCs w:val="16"/>
                <w:lang w:eastAsia="cs-CZ"/>
              </w:rPr>
            </w:pPr>
            <w:r w:rsidRPr="00965109">
              <w:rPr>
                <w:rFonts w:cs="Arial"/>
                <w:color w:val="000000"/>
                <w:sz w:val="16"/>
                <w:szCs w:val="16"/>
                <w:lang w:eastAsia="cs-CZ"/>
              </w:rPr>
              <w:t>472</w:t>
            </w:r>
          </w:p>
        </w:tc>
      </w:tr>
      <w:tr w:rsidR="009D46E6" w:rsidRPr="00DB1559" w:rsidTr="00E9600C">
        <w:trPr>
          <w:trHeight w:val="288"/>
        </w:trPr>
        <w:tc>
          <w:tcPr>
            <w:tcW w:w="2281" w:type="dxa"/>
            <w:tcBorders>
              <w:top w:val="nil"/>
              <w:left w:val="nil"/>
              <w:bottom w:val="nil"/>
              <w:right w:val="nil"/>
            </w:tcBorders>
            <w:noWrap/>
            <w:vAlign w:val="center"/>
          </w:tcPr>
          <w:p w:rsidR="009D46E6" w:rsidRPr="00965109" w:rsidRDefault="009D46E6" w:rsidP="00866283">
            <w:pPr>
              <w:spacing w:after="0" w:line="240" w:lineRule="auto"/>
              <w:jc w:val="left"/>
              <w:rPr>
                <w:rFonts w:cs="Arial"/>
                <w:color w:val="000000"/>
                <w:sz w:val="16"/>
                <w:szCs w:val="16"/>
                <w:lang w:eastAsia="cs-CZ"/>
              </w:rPr>
            </w:pPr>
            <w:r w:rsidRPr="00965109">
              <w:rPr>
                <w:rFonts w:cs="Arial"/>
                <w:color w:val="000000"/>
                <w:sz w:val="16"/>
                <w:szCs w:val="16"/>
                <w:lang w:eastAsia="cs-CZ"/>
              </w:rPr>
              <w:t>Ministerstvo zahraničních věcí</w:t>
            </w:r>
          </w:p>
        </w:tc>
        <w:tc>
          <w:tcPr>
            <w:tcW w:w="1278" w:type="dxa"/>
            <w:tcBorders>
              <w:top w:val="nil"/>
              <w:left w:val="nil"/>
              <w:bottom w:val="nil"/>
              <w:right w:val="nil"/>
            </w:tcBorders>
            <w:noWrap/>
            <w:vAlign w:val="center"/>
          </w:tcPr>
          <w:p w:rsidR="009D46E6" w:rsidRPr="00965109" w:rsidRDefault="009D46E6" w:rsidP="00866283">
            <w:pPr>
              <w:spacing w:after="0" w:line="240" w:lineRule="auto"/>
              <w:ind w:left="-495" w:right="355"/>
              <w:jc w:val="right"/>
              <w:rPr>
                <w:rFonts w:cs="Arial"/>
                <w:color w:val="000000"/>
                <w:sz w:val="16"/>
                <w:szCs w:val="16"/>
                <w:lang w:eastAsia="cs-CZ"/>
              </w:rPr>
            </w:pPr>
            <w:r w:rsidRPr="00965109">
              <w:rPr>
                <w:rFonts w:cs="Arial"/>
                <w:color w:val="000000"/>
                <w:sz w:val="16"/>
                <w:szCs w:val="16"/>
                <w:lang w:eastAsia="cs-CZ"/>
              </w:rPr>
              <w:t>334</w:t>
            </w:r>
          </w:p>
        </w:tc>
        <w:tc>
          <w:tcPr>
            <w:tcW w:w="993" w:type="dxa"/>
            <w:tcBorders>
              <w:top w:val="nil"/>
              <w:left w:val="nil"/>
              <w:bottom w:val="nil"/>
              <w:right w:val="nil"/>
            </w:tcBorders>
            <w:noWrap/>
            <w:vAlign w:val="center"/>
          </w:tcPr>
          <w:p w:rsidR="009D46E6" w:rsidRPr="00965109" w:rsidRDefault="009D46E6" w:rsidP="00866283">
            <w:pPr>
              <w:spacing w:after="0" w:line="240" w:lineRule="auto"/>
              <w:ind w:left="-212" w:right="72"/>
              <w:jc w:val="right"/>
              <w:rPr>
                <w:rFonts w:cs="Arial"/>
                <w:color w:val="000000"/>
                <w:sz w:val="16"/>
                <w:szCs w:val="16"/>
                <w:lang w:eastAsia="cs-CZ"/>
              </w:rPr>
            </w:pPr>
            <w:r w:rsidRPr="00965109">
              <w:rPr>
                <w:rFonts w:cs="Arial"/>
                <w:color w:val="000000"/>
                <w:sz w:val="16"/>
                <w:szCs w:val="16"/>
                <w:lang w:eastAsia="cs-CZ"/>
              </w:rPr>
              <w:t>135</w:t>
            </w:r>
          </w:p>
        </w:tc>
        <w:tc>
          <w:tcPr>
            <w:tcW w:w="851" w:type="dxa"/>
            <w:tcBorders>
              <w:top w:val="nil"/>
              <w:left w:val="nil"/>
              <w:bottom w:val="nil"/>
              <w:right w:val="nil"/>
            </w:tcBorders>
            <w:noWrap/>
            <w:vAlign w:val="center"/>
          </w:tcPr>
          <w:p w:rsidR="009D46E6" w:rsidRPr="00965109" w:rsidRDefault="009D46E6" w:rsidP="00866283">
            <w:pPr>
              <w:spacing w:after="0" w:line="240" w:lineRule="auto"/>
              <w:ind w:left="-354" w:right="215"/>
              <w:jc w:val="right"/>
              <w:rPr>
                <w:rFonts w:cs="Arial"/>
                <w:color w:val="000000"/>
                <w:sz w:val="16"/>
                <w:szCs w:val="16"/>
                <w:lang w:eastAsia="cs-CZ"/>
              </w:rPr>
            </w:pPr>
            <w:r w:rsidRPr="00965109">
              <w:rPr>
                <w:rFonts w:cs="Arial"/>
                <w:color w:val="000000"/>
                <w:sz w:val="16"/>
                <w:szCs w:val="16"/>
                <w:lang w:eastAsia="cs-CZ"/>
              </w:rPr>
              <w:t>0</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left="-355" w:right="215"/>
              <w:jc w:val="right"/>
              <w:rPr>
                <w:rFonts w:cs="Arial"/>
                <w:color w:val="000000"/>
                <w:sz w:val="16"/>
                <w:szCs w:val="16"/>
                <w:lang w:eastAsia="cs-CZ"/>
              </w:rPr>
            </w:pPr>
            <w:r w:rsidRPr="00965109">
              <w:rPr>
                <w:rFonts w:cs="Arial"/>
                <w:color w:val="000000"/>
                <w:sz w:val="16"/>
                <w:szCs w:val="16"/>
                <w:lang w:eastAsia="cs-CZ"/>
              </w:rPr>
              <w:t>0</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right="254"/>
              <w:jc w:val="right"/>
              <w:rPr>
                <w:rFonts w:cs="Arial"/>
                <w:color w:val="000000"/>
                <w:sz w:val="16"/>
                <w:szCs w:val="16"/>
                <w:lang w:eastAsia="cs-CZ"/>
              </w:rPr>
            </w:pPr>
            <w:r w:rsidRPr="00965109">
              <w:rPr>
                <w:rFonts w:cs="Arial"/>
                <w:color w:val="000000"/>
                <w:sz w:val="16"/>
                <w:szCs w:val="16"/>
                <w:lang w:eastAsia="cs-CZ"/>
              </w:rPr>
              <w:t>0</w:t>
            </w:r>
          </w:p>
        </w:tc>
        <w:tc>
          <w:tcPr>
            <w:tcW w:w="1983" w:type="dxa"/>
            <w:gridSpan w:val="2"/>
            <w:tcBorders>
              <w:top w:val="nil"/>
              <w:left w:val="nil"/>
              <w:bottom w:val="nil"/>
              <w:right w:val="nil"/>
            </w:tcBorders>
            <w:noWrap/>
            <w:vAlign w:val="center"/>
          </w:tcPr>
          <w:p w:rsidR="009D46E6" w:rsidRPr="00965109" w:rsidRDefault="009D46E6" w:rsidP="00866283">
            <w:pPr>
              <w:spacing w:after="0" w:line="240" w:lineRule="auto"/>
              <w:ind w:right="639"/>
              <w:jc w:val="right"/>
              <w:rPr>
                <w:rFonts w:cs="Arial"/>
                <w:color w:val="000000"/>
                <w:sz w:val="16"/>
                <w:szCs w:val="16"/>
                <w:lang w:eastAsia="cs-CZ"/>
              </w:rPr>
            </w:pPr>
            <w:r w:rsidRPr="00965109">
              <w:rPr>
                <w:rFonts w:cs="Arial"/>
                <w:color w:val="000000"/>
                <w:sz w:val="16"/>
                <w:szCs w:val="16"/>
                <w:lang w:eastAsia="cs-CZ"/>
              </w:rPr>
              <w:t>199</w:t>
            </w:r>
          </w:p>
        </w:tc>
      </w:tr>
      <w:tr w:rsidR="009D46E6" w:rsidRPr="00DB1559" w:rsidTr="00E9600C">
        <w:trPr>
          <w:trHeight w:val="288"/>
        </w:trPr>
        <w:tc>
          <w:tcPr>
            <w:tcW w:w="2281" w:type="dxa"/>
            <w:tcBorders>
              <w:top w:val="nil"/>
              <w:left w:val="nil"/>
              <w:bottom w:val="nil"/>
              <w:right w:val="nil"/>
            </w:tcBorders>
            <w:noWrap/>
            <w:vAlign w:val="center"/>
          </w:tcPr>
          <w:p w:rsidR="009D46E6" w:rsidRPr="00965109" w:rsidRDefault="009D46E6" w:rsidP="00866283">
            <w:pPr>
              <w:spacing w:after="0" w:line="240" w:lineRule="auto"/>
              <w:jc w:val="left"/>
              <w:rPr>
                <w:rFonts w:cs="Arial"/>
                <w:color w:val="000000"/>
                <w:sz w:val="16"/>
                <w:szCs w:val="16"/>
                <w:lang w:eastAsia="cs-CZ"/>
              </w:rPr>
            </w:pPr>
            <w:r w:rsidRPr="00965109">
              <w:rPr>
                <w:rFonts w:cs="Arial"/>
                <w:color w:val="000000"/>
                <w:sz w:val="16"/>
                <w:szCs w:val="16"/>
                <w:lang w:eastAsia="cs-CZ"/>
              </w:rPr>
              <w:t>Národní bezpečnostní úřad</w:t>
            </w:r>
          </w:p>
        </w:tc>
        <w:tc>
          <w:tcPr>
            <w:tcW w:w="1278" w:type="dxa"/>
            <w:tcBorders>
              <w:top w:val="nil"/>
              <w:left w:val="nil"/>
              <w:bottom w:val="nil"/>
              <w:right w:val="nil"/>
            </w:tcBorders>
            <w:noWrap/>
            <w:vAlign w:val="center"/>
          </w:tcPr>
          <w:p w:rsidR="009D46E6" w:rsidRPr="00965109" w:rsidRDefault="009D46E6" w:rsidP="00866283">
            <w:pPr>
              <w:spacing w:after="0" w:line="240" w:lineRule="auto"/>
              <w:ind w:left="-495" w:right="355"/>
              <w:jc w:val="right"/>
              <w:rPr>
                <w:rFonts w:cs="Arial"/>
                <w:color w:val="000000"/>
                <w:sz w:val="16"/>
                <w:szCs w:val="16"/>
                <w:lang w:eastAsia="cs-CZ"/>
              </w:rPr>
            </w:pPr>
            <w:r w:rsidRPr="00965109">
              <w:rPr>
                <w:rFonts w:cs="Arial"/>
                <w:color w:val="000000"/>
                <w:sz w:val="16"/>
                <w:szCs w:val="16"/>
                <w:lang w:eastAsia="cs-CZ"/>
              </w:rPr>
              <w:t>21</w:t>
            </w:r>
          </w:p>
        </w:tc>
        <w:tc>
          <w:tcPr>
            <w:tcW w:w="993" w:type="dxa"/>
            <w:tcBorders>
              <w:top w:val="nil"/>
              <w:left w:val="nil"/>
              <w:bottom w:val="nil"/>
              <w:right w:val="nil"/>
            </w:tcBorders>
            <w:noWrap/>
            <w:vAlign w:val="center"/>
          </w:tcPr>
          <w:p w:rsidR="009D46E6" w:rsidRPr="00965109" w:rsidRDefault="009D46E6" w:rsidP="00866283">
            <w:pPr>
              <w:spacing w:after="0" w:line="240" w:lineRule="auto"/>
              <w:ind w:left="-212" w:right="72"/>
              <w:jc w:val="right"/>
              <w:rPr>
                <w:rFonts w:cs="Arial"/>
                <w:color w:val="000000"/>
                <w:sz w:val="16"/>
                <w:szCs w:val="16"/>
                <w:lang w:eastAsia="cs-CZ"/>
              </w:rPr>
            </w:pPr>
            <w:r w:rsidRPr="00965109">
              <w:rPr>
                <w:rFonts w:cs="Arial"/>
                <w:color w:val="000000"/>
                <w:sz w:val="16"/>
                <w:szCs w:val="16"/>
                <w:lang w:eastAsia="cs-CZ"/>
              </w:rPr>
              <w:t>0</w:t>
            </w:r>
          </w:p>
        </w:tc>
        <w:tc>
          <w:tcPr>
            <w:tcW w:w="851" w:type="dxa"/>
            <w:tcBorders>
              <w:top w:val="nil"/>
              <w:left w:val="nil"/>
              <w:bottom w:val="nil"/>
              <w:right w:val="nil"/>
            </w:tcBorders>
            <w:noWrap/>
            <w:vAlign w:val="center"/>
          </w:tcPr>
          <w:p w:rsidR="009D46E6" w:rsidRPr="00965109" w:rsidRDefault="009D46E6" w:rsidP="00866283">
            <w:pPr>
              <w:spacing w:after="0" w:line="240" w:lineRule="auto"/>
              <w:ind w:left="-354" w:right="215"/>
              <w:jc w:val="right"/>
              <w:rPr>
                <w:rFonts w:cs="Arial"/>
                <w:color w:val="000000"/>
                <w:sz w:val="16"/>
                <w:szCs w:val="16"/>
                <w:lang w:eastAsia="cs-CZ"/>
              </w:rPr>
            </w:pPr>
            <w:r w:rsidRPr="00965109">
              <w:rPr>
                <w:rFonts w:cs="Arial"/>
                <w:color w:val="000000"/>
                <w:sz w:val="16"/>
                <w:szCs w:val="16"/>
                <w:lang w:eastAsia="cs-CZ"/>
              </w:rPr>
              <w:t>0</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left="-355" w:right="215"/>
              <w:jc w:val="right"/>
              <w:rPr>
                <w:rFonts w:cs="Arial"/>
                <w:color w:val="000000"/>
                <w:sz w:val="16"/>
                <w:szCs w:val="16"/>
                <w:lang w:eastAsia="cs-CZ"/>
              </w:rPr>
            </w:pPr>
            <w:r w:rsidRPr="00965109">
              <w:rPr>
                <w:rFonts w:cs="Arial"/>
                <w:color w:val="000000"/>
                <w:sz w:val="16"/>
                <w:szCs w:val="16"/>
                <w:lang w:eastAsia="cs-CZ"/>
              </w:rPr>
              <w:t>0</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right="254"/>
              <w:jc w:val="right"/>
              <w:rPr>
                <w:rFonts w:cs="Arial"/>
                <w:color w:val="000000"/>
                <w:sz w:val="16"/>
                <w:szCs w:val="16"/>
                <w:lang w:eastAsia="cs-CZ"/>
              </w:rPr>
            </w:pPr>
            <w:r w:rsidRPr="00965109">
              <w:rPr>
                <w:rFonts w:cs="Arial"/>
                <w:color w:val="000000"/>
                <w:sz w:val="16"/>
                <w:szCs w:val="16"/>
                <w:lang w:eastAsia="cs-CZ"/>
              </w:rPr>
              <w:t>21</w:t>
            </w:r>
          </w:p>
        </w:tc>
        <w:tc>
          <w:tcPr>
            <w:tcW w:w="1983" w:type="dxa"/>
            <w:gridSpan w:val="2"/>
            <w:tcBorders>
              <w:top w:val="nil"/>
              <w:left w:val="nil"/>
              <w:bottom w:val="nil"/>
              <w:right w:val="nil"/>
            </w:tcBorders>
            <w:noWrap/>
            <w:vAlign w:val="center"/>
          </w:tcPr>
          <w:p w:rsidR="009D46E6" w:rsidRPr="00965109" w:rsidRDefault="009D46E6" w:rsidP="00866283">
            <w:pPr>
              <w:spacing w:after="0" w:line="240" w:lineRule="auto"/>
              <w:ind w:right="639"/>
              <w:jc w:val="right"/>
              <w:rPr>
                <w:rFonts w:cs="Arial"/>
                <w:color w:val="000000"/>
                <w:sz w:val="16"/>
                <w:szCs w:val="16"/>
                <w:lang w:eastAsia="cs-CZ"/>
              </w:rPr>
            </w:pPr>
            <w:r w:rsidRPr="00965109">
              <w:rPr>
                <w:rFonts w:cs="Arial"/>
                <w:color w:val="000000"/>
                <w:sz w:val="16"/>
                <w:szCs w:val="16"/>
                <w:lang w:eastAsia="cs-CZ"/>
              </w:rPr>
              <w:t>0</w:t>
            </w:r>
          </w:p>
        </w:tc>
      </w:tr>
      <w:tr w:rsidR="009D46E6" w:rsidRPr="00DB1559" w:rsidTr="00E9600C">
        <w:trPr>
          <w:trHeight w:val="288"/>
        </w:trPr>
        <w:tc>
          <w:tcPr>
            <w:tcW w:w="2281" w:type="dxa"/>
            <w:tcBorders>
              <w:top w:val="nil"/>
              <w:left w:val="nil"/>
              <w:bottom w:val="nil"/>
              <w:right w:val="nil"/>
            </w:tcBorders>
            <w:noWrap/>
            <w:vAlign w:val="center"/>
          </w:tcPr>
          <w:p w:rsidR="009D46E6" w:rsidRPr="00965109" w:rsidRDefault="009D46E6" w:rsidP="00866283">
            <w:pPr>
              <w:spacing w:after="0" w:line="240" w:lineRule="auto"/>
              <w:jc w:val="left"/>
              <w:rPr>
                <w:rFonts w:cs="Arial"/>
                <w:color w:val="000000"/>
                <w:sz w:val="16"/>
                <w:szCs w:val="16"/>
                <w:lang w:eastAsia="cs-CZ"/>
              </w:rPr>
            </w:pPr>
            <w:r w:rsidRPr="00965109">
              <w:rPr>
                <w:rFonts w:cs="Arial"/>
                <w:color w:val="000000"/>
                <w:sz w:val="16"/>
                <w:szCs w:val="16"/>
                <w:lang w:eastAsia="cs-CZ"/>
              </w:rPr>
              <w:t>Státní úřad pro jadernou bezpečnost ČR</w:t>
            </w:r>
          </w:p>
        </w:tc>
        <w:tc>
          <w:tcPr>
            <w:tcW w:w="1278" w:type="dxa"/>
            <w:tcBorders>
              <w:top w:val="nil"/>
              <w:left w:val="nil"/>
              <w:bottom w:val="nil"/>
              <w:right w:val="nil"/>
            </w:tcBorders>
            <w:noWrap/>
            <w:vAlign w:val="center"/>
          </w:tcPr>
          <w:p w:rsidR="009D46E6" w:rsidRPr="00965109" w:rsidRDefault="009D46E6" w:rsidP="00866283">
            <w:pPr>
              <w:spacing w:after="0" w:line="240" w:lineRule="auto"/>
              <w:ind w:left="-495" w:right="355"/>
              <w:jc w:val="right"/>
              <w:rPr>
                <w:rFonts w:cs="Arial"/>
                <w:color w:val="000000"/>
                <w:sz w:val="16"/>
                <w:szCs w:val="16"/>
                <w:lang w:eastAsia="cs-CZ"/>
              </w:rPr>
            </w:pPr>
            <w:r w:rsidRPr="00965109">
              <w:rPr>
                <w:rFonts w:cs="Arial"/>
                <w:color w:val="000000"/>
                <w:sz w:val="16"/>
                <w:szCs w:val="16"/>
                <w:lang w:eastAsia="cs-CZ"/>
              </w:rPr>
              <w:t>236</w:t>
            </w:r>
          </w:p>
        </w:tc>
        <w:tc>
          <w:tcPr>
            <w:tcW w:w="993" w:type="dxa"/>
            <w:tcBorders>
              <w:top w:val="nil"/>
              <w:left w:val="nil"/>
              <w:bottom w:val="nil"/>
              <w:right w:val="nil"/>
            </w:tcBorders>
            <w:noWrap/>
            <w:vAlign w:val="center"/>
          </w:tcPr>
          <w:p w:rsidR="009D46E6" w:rsidRPr="00965109" w:rsidRDefault="009D46E6" w:rsidP="00866283">
            <w:pPr>
              <w:spacing w:after="0" w:line="240" w:lineRule="auto"/>
              <w:ind w:left="-212" w:right="72"/>
              <w:jc w:val="right"/>
              <w:rPr>
                <w:rFonts w:cs="Arial"/>
                <w:color w:val="000000"/>
                <w:sz w:val="16"/>
                <w:szCs w:val="16"/>
                <w:lang w:eastAsia="cs-CZ"/>
              </w:rPr>
            </w:pPr>
            <w:r w:rsidRPr="00965109">
              <w:rPr>
                <w:rFonts w:cs="Arial"/>
                <w:color w:val="000000"/>
                <w:sz w:val="16"/>
                <w:szCs w:val="16"/>
                <w:lang w:eastAsia="cs-CZ"/>
              </w:rPr>
              <w:t>144</w:t>
            </w:r>
          </w:p>
        </w:tc>
        <w:tc>
          <w:tcPr>
            <w:tcW w:w="851" w:type="dxa"/>
            <w:tcBorders>
              <w:top w:val="nil"/>
              <w:left w:val="nil"/>
              <w:bottom w:val="nil"/>
              <w:right w:val="nil"/>
            </w:tcBorders>
            <w:noWrap/>
            <w:vAlign w:val="center"/>
          </w:tcPr>
          <w:p w:rsidR="009D46E6" w:rsidRPr="00965109" w:rsidRDefault="009D46E6" w:rsidP="00866283">
            <w:pPr>
              <w:spacing w:after="0" w:line="240" w:lineRule="auto"/>
              <w:ind w:left="-354" w:right="215"/>
              <w:jc w:val="right"/>
              <w:rPr>
                <w:rFonts w:cs="Arial"/>
                <w:color w:val="000000"/>
                <w:sz w:val="16"/>
                <w:szCs w:val="16"/>
                <w:lang w:eastAsia="cs-CZ"/>
              </w:rPr>
            </w:pPr>
            <w:r w:rsidRPr="00965109">
              <w:rPr>
                <w:rFonts w:cs="Arial"/>
                <w:color w:val="000000"/>
                <w:sz w:val="16"/>
                <w:szCs w:val="16"/>
                <w:lang w:eastAsia="cs-CZ"/>
              </w:rPr>
              <w:t>1</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left="-355" w:right="215"/>
              <w:jc w:val="right"/>
              <w:rPr>
                <w:rFonts w:cs="Arial"/>
                <w:color w:val="000000"/>
                <w:sz w:val="16"/>
                <w:szCs w:val="16"/>
                <w:lang w:eastAsia="cs-CZ"/>
              </w:rPr>
            </w:pPr>
            <w:r w:rsidRPr="00965109">
              <w:rPr>
                <w:rFonts w:cs="Arial"/>
                <w:color w:val="000000"/>
                <w:sz w:val="16"/>
                <w:szCs w:val="16"/>
                <w:lang w:eastAsia="cs-CZ"/>
              </w:rPr>
              <w:t>0</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right="254"/>
              <w:jc w:val="right"/>
              <w:rPr>
                <w:rFonts w:cs="Arial"/>
                <w:color w:val="000000"/>
                <w:sz w:val="16"/>
                <w:szCs w:val="16"/>
                <w:lang w:eastAsia="cs-CZ"/>
              </w:rPr>
            </w:pPr>
            <w:r w:rsidRPr="00965109">
              <w:rPr>
                <w:rFonts w:cs="Arial"/>
                <w:color w:val="000000"/>
                <w:sz w:val="16"/>
                <w:szCs w:val="16"/>
                <w:lang w:eastAsia="cs-CZ"/>
              </w:rPr>
              <w:t>76</w:t>
            </w:r>
          </w:p>
        </w:tc>
        <w:tc>
          <w:tcPr>
            <w:tcW w:w="1983" w:type="dxa"/>
            <w:gridSpan w:val="2"/>
            <w:tcBorders>
              <w:top w:val="nil"/>
              <w:left w:val="nil"/>
              <w:bottom w:val="nil"/>
              <w:right w:val="nil"/>
            </w:tcBorders>
            <w:noWrap/>
            <w:vAlign w:val="center"/>
          </w:tcPr>
          <w:p w:rsidR="009D46E6" w:rsidRPr="00965109" w:rsidRDefault="009D46E6" w:rsidP="00866283">
            <w:pPr>
              <w:spacing w:after="0" w:line="240" w:lineRule="auto"/>
              <w:ind w:right="639"/>
              <w:jc w:val="right"/>
              <w:rPr>
                <w:rFonts w:cs="Arial"/>
                <w:color w:val="000000"/>
                <w:sz w:val="16"/>
                <w:szCs w:val="16"/>
                <w:lang w:eastAsia="cs-CZ"/>
              </w:rPr>
            </w:pPr>
            <w:r w:rsidRPr="00965109">
              <w:rPr>
                <w:rFonts w:cs="Arial"/>
                <w:color w:val="000000"/>
                <w:sz w:val="16"/>
                <w:szCs w:val="16"/>
                <w:lang w:eastAsia="cs-CZ"/>
              </w:rPr>
              <w:t>16</w:t>
            </w:r>
          </w:p>
        </w:tc>
      </w:tr>
      <w:tr w:rsidR="009D46E6" w:rsidRPr="00DB1559" w:rsidTr="00E9600C">
        <w:trPr>
          <w:trHeight w:val="288"/>
        </w:trPr>
        <w:tc>
          <w:tcPr>
            <w:tcW w:w="2281" w:type="dxa"/>
            <w:tcBorders>
              <w:top w:val="nil"/>
              <w:left w:val="nil"/>
              <w:bottom w:val="nil"/>
              <w:right w:val="nil"/>
            </w:tcBorders>
            <w:noWrap/>
            <w:vAlign w:val="center"/>
          </w:tcPr>
          <w:p w:rsidR="009D46E6" w:rsidRPr="00965109" w:rsidRDefault="009D46E6" w:rsidP="00866283">
            <w:pPr>
              <w:spacing w:after="0" w:line="240" w:lineRule="auto"/>
              <w:jc w:val="left"/>
              <w:rPr>
                <w:rFonts w:cs="Arial"/>
                <w:color w:val="000000"/>
                <w:sz w:val="16"/>
                <w:szCs w:val="16"/>
                <w:lang w:eastAsia="cs-CZ"/>
              </w:rPr>
            </w:pPr>
            <w:r w:rsidRPr="00965109">
              <w:rPr>
                <w:rFonts w:cs="Arial"/>
                <w:color w:val="000000"/>
                <w:sz w:val="16"/>
                <w:szCs w:val="16"/>
                <w:lang w:eastAsia="cs-CZ"/>
              </w:rPr>
              <w:t>Technologická agentura ČR</w:t>
            </w:r>
          </w:p>
        </w:tc>
        <w:tc>
          <w:tcPr>
            <w:tcW w:w="1278" w:type="dxa"/>
            <w:tcBorders>
              <w:top w:val="nil"/>
              <w:left w:val="nil"/>
              <w:bottom w:val="nil"/>
              <w:right w:val="nil"/>
            </w:tcBorders>
            <w:noWrap/>
            <w:vAlign w:val="center"/>
          </w:tcPr>
          <w:p w:rsidR="009D46E6" w:rsidRPr="00965109" w:rsidRDefault="009D46E6" w:rsidP="00866283">
            <w:pPr>
              <w:spacing w:after="0" w:line="240" w:lineRule="auto"/>
              <w:ind w:left="-495" w:right="355"/>
              <w:jc w:val="right"/>
              <w:rPr>
                <w:rFonts w:cs="Arial"/>
                <w:color w:val="000000"/>
                <w:sz w:val="16"/>
                <w:szCs w:val="16"/>
                <w:lang w:eastAsia="cs-CZ"/>
              </w:rPr>
            </w:pPr>
            <w:r w:rsidRPr="00965109">
              <w:rPr>
                <w:rFonts w:cs="Arial"/>
                <w:color w:val="000000"/>
                <w:sz w:val="16"/>
                <w:szCs w:val="16"/>
                <w:lang w:eastAsia="cs-CZ"/>
              </w:rPr>
              <w:t>1 786</w:t>
            </w:r>
          </w:p>
        </w:tc>
        <w:tc>
          <w:tcPr>
            <w:tcW w:w="993" w:type="dxa"/>
            <w:tcBorders>
              <w:top w:val="nil"/>
              <w:left w:val="nil"/>
              <w:bottom w:val="nil"/>
              <w:right w:val="nil"/>
            </w:tcBorders>
            <w:noWrap/>
            <w:vAlign w:val="center"/>
          </w:tcPr>
          <w:p w:rsidR="009D46E6" w:rsidRPr="00965109" w:rsidRDefault="009D46E6" w:rsidP="00866283">
            <w:pPr>
              <w:spacing w:after="0" w:line="240" w:lineRule="auto"/>
              <w:ind w:left="-212" w:right="72"/>
              <w:jc w:val="right"/>
              <w:rPr>
                <w:rFonts w:cs="Arial"/>
                <w:color w:val="000000"/>
                <w:sz w:val="16"/>
                <w:szCs w:val="16"/>
                <w:lang w:eastAsia="cs-CZ"/>
              </w:rPr>
            </w:pPr>
            <w:r w:rsidRPr="00965109">
              <w:rPr>
                <w:rFonts w:cs="Arial"/>
                <w:color w:val="000000"/>
                <w:sz w:val="16"/>
                <w:szCs w:val="16"/>
                <w:lang w:eastAsia="cs-CZ"/>
              </w:rPr>
              <w:t>820</w:t>
            </w:r>
          </w:p>
        </w:tc>
        <w:tc>
          <w:tcPr>
            <w:tcW w:w="851" w:type="dxa"/>
            <w:tcBorders>
              <w:top w:val="nil"/>
              <w:left w:val="nil"/>
              <w:bottom w:val="nil"/>
              <w:right w:val="nil"/>
            </w:tcBorders>
            <w:noWrap/>
            <w:vAlign w:val="center"/>
          </w:tcPr>
          <w:p w:rsidR="009D46E6" w:rsidRPr="00965109" w:rsidRDefault="009D46E6" w:rsidP="00866283">
            <w:pPr>
              <w:spacing w:after="0" w:line="240" w:lineRule="auto"/>
              <w:ind w:left="-354" w:right="215"/>
              <w:jc w:val="right"/>
              <w:rPr>
                <w:rFonts w:cs="Arial"/>
                <w:color w:val="000000"/>
                <w:sz w:val="16"/>
                <w:szCs w:val="16"/>
                <w:lang w:eastAsia="cs-CZ"/>
              </w:rPr>
            </w:pPr>
            <w:r w:rsidRPr="00965109">
              <w:rPr>
                <w:rFonts w:cs="Arial"/>
                <w:color w:val="000000"/>
                <w:sz w:val="16"/>
                <w:szCs w:val="16"/>
                <w:lang w:eastAsia="cs-CZ"/>
              </w:rPr>
              <w:t>8</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left="-355" w:right="215"/>
              <w:jc w:val="right"/>
              <w:rPr>
                <w:rFonts w:cs="Arial"/>
                <w:color w:val="000000"/>
                <w:sz w:val="16"/>
                <w:szCs w:val="16"/>
                <w:lang w:eastAsia="cs-CZ"/>
              </w:rPr>
            </w:pPr>
            <w:r w:rsidRPr="00965109">
              <w:rPr>
                <w:rFonts w:cs="Arial"/>
                <w:color w:val="000000"/>
                <w:sz w:val="16"/>
                <w:szCs w:val="16"/>
                <w:lang w:eastAsia="cs-CZ"/>
              </w:rPr>
              <w:t>46</w:t>
            </w:r>
          </w:p>
        </w:tc>
        <w:tc>
          <w:tcPr>
            <w:tcW w:w="1134" w:type="dxa"/>
            <w:tcBorders>
              <w:top w:val="nil"/>
              <w:left w:val="nil"/>
              <w:bottom w:val="nil"/>
              <w:right w:val="nil"/>
            </w:tcBorders>
            <w:noWrap/>
            <w:vAlign w:val="center"/>
          </w:tcPr>
          <w:p w:rsidR="009D46E6" w:rsidRPr="00965109" w:rsidRDefault="009D46E6" w:rsidP="00866283">
            <w:pPr>
              <w:spacing w:after="0" w:line="240" w:lineRule="auto"/>
              <w:ind w:right="254"/>
              <w:jc w:val="right"/>
              <w:rPr>
                <w:rFonts w:cs="Arial"/>
                <w:color w:val="000000"/>
                <w:sz w:val="16"/>
                <w:szCs w:val="16"/>
                <w:lang w:eastAsia="cs-CZ"/>
              </w:rPr>
            </w:pPr>
            <w:r w:rsidRPr="00965109">
              <w:rPr>
                <w:rFonts w:cs="Arial"/>
                <w:color w:val="000000"/>
                <w:sz w:val="16"/>
                <w:szCs w:val="16"/>
                <w:lang w:eastAsia="cs-CZ"/>
              </w:rPr>
              <w:t>635</w:t>
            </w:r>
          </w:p>
        </w:tc>
        <w:tc>
          <w:tcPr>
            <w:tcW w:w="1983" w:type="dxa"/>
            <w:gridSpan w:val="2"/>
            <w:tcBorders>
              <w:top w:val="nil"/>
              <w:left w:val="nil"/>
              <w:bottom w:val="nil"/>
              <w:right w:val="nil"/>
            </w:tcBorders>
            <w:noWrap/>
            <w:vAlign w:val="center"/>
          </w:tcPr>
          <w:p w:rsidR="009D46E6" w:rsidRPr="00965109" w:rsidRDefault="009D46E6" w:rsidP="00866283">
            <w:pPr>
              <w:spacing w:after="0" w:line="240" w:lineRule="auto"/>
              <w:ind w:right="639"/>
              <w:jc w:val="right"/>
              <w:rPr>
                <w:rFonts w:cs="Arial"/>
                <w:color w:val="000000"/>
                <w:sz w:val="16"/>
                <w:szCs w:val="16"/>
                <w:lang w:eastAsia="cs-CZ"/>
              </w:rPr>
            </w:pPr>
            <w:r w:rsidRPr="00965109">
              <w:rPr>
                <w:rFonts w:cs="Arial"/>
                <w:color w:val="000000"/>
                <w:sz w:val="16"/>
                <w:szCs w:val="16"/>
                <w:lang w:eastAsia="cs-CZ"/>
              </w:rPr>
              <w:t>276</w:t>
            </w:r>
          </w:p>
        </w:tc>
      </w:tr>
      <w:tr w:rsidR="009D46E6" w:rsidRPr="00DB1559" w:rsidTr="00E9600C">
        <w:trPr>
          <w:trHeight w:val="300"/>
        </w:trPr>
        <w:tc>
          <w:tcPr>
            <w:tcW w:w="2281" w:type="dxa"/>
            <w:tcBorders>
              <w:top w:val="nil"/>
              <w:left w:val="nil"/>
              <w:bottom w:val="single" w:sz="8" w:space="0" w:color="auto"/>
              <w:right w:val="nil"/>
            </w:tcBorders>
            <w:noWrap/>
            <w:vAlign w:val="center"/>
          </w:tcPr>
          <w:p w:rsidR="009D46E6" w:rsidRPr="00965109" w:rsidRDefault="009D46E6" w:rsidP="00866283">
            <w:pPr>
              <w:spacing w:after="0" w:line="240" w:lineRule="auto"/>
              <w:jc w:val="left"/>
              <w:rPr>
                <w:rFonts w:cs="Arial"/>
                <w:color w:val="000000"/>
                <w:sz w:val="16"/>
                <w:szCs w:val="16"/>
                <w:lang w:eastAsia="cs-CZ"/>
              </w:rPr>
            </w:pPr>
            <w:r w:rsidRPr="00965109">
              <w:rPr>
                <w:rFonts w:cs="Arial"/>
                <w:color w:val="000000"/>
                <w:sz w:val="16"/>
                <w:szCs w:val="16"/>
                <w:lang w:eastAsia="cs-CZ"/>
              </w:rPr>
              <w:t>Úřad vlády ČR</w:t>
            </w:r>
          </w:p>
        </w:tc>
        <w:tc>
          <w:tcPr>
            <w:tcW w:w="1278" w:type="dxa"/>
            <w:tcBorders>
              <w:top w:val="nil"/>
              <w:left w:val="nil"/>
              <w:bottom w:val="single" w:sz="8" w:space="0" w:color="auto"/>
              <w:right w:val="nil"/>
            </w:tcBorders>
            <w:noWrap/>
            <w:vAlign w:val="center"/>
          </w:tcPr>
          <w:p w:rsidR="009D46E6" w:rsidRPr="00965109" w:rsidRDefault="009D46E6" w:rsidP="00866283">
            <w:pPr>
              <w:spacing w:after="0" w:line="240" w:lineRule="auto"/>
              <w:ind w:left="-495" w:right="355"/>
              <w:jc w:val="right"/>
              <w:rPr>
                <w:rFonts w:cs="Arial"/>
                <w:color w:val="000000"/>
                <w:sz w:val="16"/>
                <w:szCs w:val="16"/>
                <w:lang w:eastAsia="cs-CZ"/>
              </w:rPr>
            </w:pPr>
            <w:r w:rsidRPr="00965109">
              <w:rPr>
                <w:rFonts w:cs="Arial"/>
                <w:color w:val="000000"/>
                <w:sz w:val="16"/>
                <w:szCs w:val="16"/>
                <w:lang w:eastAsia="cs-CZ"/>
              </w:rPr>
              <w:t>3</w:t>
            </w:r>
          </w:p>
        </w:tc>
        <w:tc>
          <w:tcPr>
            <w:tcW w:w="993" w:type="dxa"/>
            <w:tcBorders>
              <w:top w:val="nil"/>
              <w:left w:val="nil"/>
              <w:bottom w:val="single" w:sz="8" w:space="0" w:color="auto"/>
              <w:right w:val="nil"/>
            </w:tcBorders>
            <w:noWrap/>
            <w:vAlign w:val="center"/>
          </w:tcPr>
          <w:p w:rsidR="009D46E6" w:rsidRPr="00965109" w:rsidRDefault="009D46E6" w:rsidP="00866283">
            <w:pPr>
              <w:spacing w:after="0" w:line="240" w:lineRule="auto"/>
              <w:ind w:left="-212" w:right="72"/>
              <w:jc w:val="right"/>
              <w:rPr>
                <w:rFonts w:cs="Arial"/>
                <w:color w:val="000000"/>
                <w:sz w:val="16"/>
                <w:szCs w:val="16"/>
                <w:lang w:eastAsia="cs-CZ"/>
              </w:rPr>
            </w:pPr>
            <w:r w:rsidRPr="00965109">
              <w:rPr>
                <w:rFonts w:cs="Arial"/>
                <w:color w:val="000000"/>
                <w:sz w:val="16"/>
                <w:szCs w:val="16"/>
                <w:lang w:eastAsia="cs-CZ"/>
              </w:rPr>
              <w:t>3</w:t>
            </w:r>
          </w:p>
        </w:tc>
        <w:tc>
          <w:tcPr>
            <w:tcW w:w="851" w:type="dxa"/>
            <w:tcBorders>
              <w:top w:val="nil"/>
              <w:left w:val="nil"/>
              <w:bottom w:val="single" w:sz="8" w:space="0" w:color="auto"/>
              <w:right w:val="nil"/>
            </w:tcBorders>
            <w:noWrap/>
            <w:vAlign w:val="center"/>
          </w:tcPr>
          <w:p w:rsidR="009D46E6" w:rsidRPr="00965109" w:rsidRDefault="009D46E6" w:rsidP="00866283">
            <w:pPr>
              <w:spacing w:after="0" w:line="240" w:lineRule="auto"/>
              <w:ind w:left="-354" w:right="215"/>
              <w:jc w:val="right"/>
              <w:rPr>
                <w:rFonts w:cs="Arial"/>
                <w:color w:val="000000"/>
                <w:sz w:val="16"/>
                <w:szCs w:val="16"/>
                <w:lang w:eastAsia="cs-CZ"/>
              </w:rPr>
            </w:pPr>
            <w:r w:rsidRPr="00965109">
              <w:rPr>
                <w:rFonts w:cs="Arial"/>
                <w:color w:val="000000"/>
                <w:sz w:val="16"/>
                <w:szCs w:val="16"/>
                <w:lang w:eastAsia="cs-CZ"/>
              </w:rPr>
              <w:t>0</w:t>
            </w:r>
          </w:p>
        </w:tc>
        <w:tc>
          <w:tcPr>
            <w:tcW w:w="1134" w:type="dxa"/>
            <w:tcBorders>
              <w:top w:val="nil"/>
              <w:left w:val="nil"/>
              <w:bottom w:val="single" w:sz="8" w:space="0" w:color="auto"/>
              <w:right w:val="nil"/>
            </w:tcBorders>
            <w:noWrap/>
            <w:vAlign w:val="center"/>
          </w:tcPr>
          <w:p w:rsidR="009D46E6" w:rsidRPr="00965109" w:rsidRDefault="009D46E6" w:rsidP="00866283">
            <w:pPr>
              <w:spacing w:after="0" w:line="240" w:lineRule="auto"/>
              <w:ind w:left="-355" w:right="215"/>
              <w:jc w:val="right"/>
              <w:rPr>
                <w:rFonts w:cs="Arial"/>
                <w:color w:val="000000"/>
                <w:sz w:val="16"/>
                <w:szCs w:val="16"/>
                <w:lang w:eastAsia="cs-CZ"/>
              </w:rPr>
            </w:pPr>
            <w:r w:rsidRPr="00965109">
              <w:rPr>
                <w:rFonts w:cs="Arial"/>
                <w:color w:val="000000"/>
                <w:sz w:val="16"/>
                <w:szCs w:val="16"/>
                <w:lang w:eastAsia="cs-CZ"/>
              </w:rPr>
              <w:t>0</w:t>
            </w:r>
          </w:p>
        </w:tc>
        <w:tc>
          <w:tcPr>
            <w:tcW w:w="1134" w:type="dxa"/>
            <w:tcBorders>
              <w:top w:val="nil"/>
              <w:left w:val="nil"/>
              <w:bottom w:val="single" w:sz="8" w:space="0" w:color="auto"/>
              <w:right w:val="nil"/>
            </w:tcBorders>
            <w:noWrap/>
            <w:vAlign w:val="center"/>
          </w:tcPr>
          <w:p w:rsidR="009D46E6" w:rsidRPr="00965109" w:rsidRDefault="009D46E6" w:rsidP="00866283">
            <w:pPr>
              <w:spacing w:after="0" w:line="240" w:lineRule="auto"/>
              <w:ind w:right="254"/>
              <w:jc w:val="right"/>
              <w:rPr>
                <w:rFonts w:cs="Arial"/>
                <w:color w:val="000000"/>
                <w:sz w:val="16"/>
                <w:szCs w:val="16"/>
                <w:lang w:eastAsia="cs-CZ"/>
              </w:rPr>
            </w:pPr>
            <w:r w:rsidRPr="00965109">
              <w:rPr>
                <w:rFonts w:cs="Arial"/>
                <w:color w:val="000000"/>
                <w:sz w:val="16"/>
                <w:szCs w:val="16"/>
                <w:lang w:eastAsia="cs-CZ"/>
              </w:rPr>
              <w:t>0</w:t>
            </w:r>
          </w:p>
        </w:tc>
        <w:tc>
          <w:tcPr>
            <w:tcW w:w="1983" w:type="dxa"/>
            <w:gridSpan w:val="2"/>
            <w:tcBorders>
              <w:top w:val="nil"/>
              <w:left w:val="nil"/>
              <w:bottom w:val="single" w:sz="8" w:space="0" w:color="auto"/>
              <w:right w:val="nil"/>
            </w:tcBorders>
            <w:noWrap/>
            <w:vAlign w:val="center"/>
          </w:tcPr>
          <w:p w:rsidR="009D46E6" w:rsidRPr="00965109" w:rsidRDefault="009D46E6" w:rsidP="00866283">
            <w:pPr>
              <w:spacing w:after="0" w:line="240" w:lineRule="auto"/>
              <w:ind w:right="639"/>
              <w:jc w:val="right"/>
              <w:rPr>
                <w:rFonts w:cs="Arial"/>
                <w:color w:val="000000"/>
                <w:sz w:val="16"/>
                <w:szCs w:val="16"/>
                <w:lang w:eastAsia="cs-CZ"/>
              </w:rPr>
            </w:pPr>
            <w:r w:rsidRPr="00965109">
              <w:rPr>
                <w:rFonts w:cs="Arial"/>
                <w:color w:val="000000"/>
                <w:sz w:val="16"/>
                <w:szCs w:val="16"/>
                <w:lang w:eastAsia="cs-CZ"/>
              </w:rPr>
              <w:t>0</w:t>
            </w:r>
          </w:p>
        </w:tc>
      </w:tr>
    </w:tbl>
    <w:p w:rsidR="009D46E6" w:rsidRPr="00564B23" w:rsidRDefault="009D46E6" w:rsidP="00866283">
      <w:pPr>
        <w:pStyle w:val="Zdroj"/>
      </w:pPr>
      <w:r w:rsidRPr="00564B23">
        <w:t>Pozn: Údaje o poskytovatelích Bezpečnostní a informační služba, a Národní bezpečnostní úřad jsou zkreslené z důvodu režimu utajení řady výsledků.</w:t>
      </w:r>
    </w:p>
    <w:p w:rsidR="009D46E6" w:rsidRPr="00564B23" w:rsidRDefault="009D46E6" w:rsidP="00866283">
      <w:pPr>
        <w:pStyle w:val="Zdroj"/>
      </w:pPr>
      <w:r w:rsidRPr="00564B23">
        <w:t>Zdroj: IS VaVaI, Rejstřík informací o výsledcích stav k 31. 12. 2012</w:t>
      </w:r>
    </w:p>
    <w:p w:rsidR="009D46E6" w:rsidRPr="00786253" w:rsidRDefault="009D46E6" w:rsidP="00786253"/>
    <w:p w:rsidR="009D46E6" w:rsidRDefault="009D46E6">
      <w:pPr>
        <w:spacing w:before="200" w:after="200" w:line="276" w:lineRule="auto"/>
        <w:jc w:val="left"/>
        <w:rPr>
          <w:b/>
          <w:sz w:val="24"/>
          <w:szCs w:val="22"/>
        </w:rPr>
      </w:pPr>
      <w:r>
        <w:br w:type="page"/>
      </w:r>
    </w:p>
    <w:p w:rsidR="009D46E6" w:rsidRDefault="009D46E6" w:rsidP="00866283">
      <w:pPr>
        <w:pStyle w:val="Heading2"/>
      </w:pPr>
      <w:bookmarkStart w:id="159" w:name="_Toc369091889"/>
      <w:r>
        <w:t>Bibliometrické výsledky</w:t>
      </w:r>
      <w:bookmarkEnd w:id="159"/>
    </w:p>
    <w:p w:rsidR="009D46E6" w:rsidRPr="00564B23" w:rsidRDefault="009D46E6" w:rsidP="00866283">
      <w:r w:rsidRPr="00564B23">
        <w:t>Scientometrické hodnocení českých publikací a úrovně českého VaV ve srovnání se světem je založeno na databázi odborných publikací a jejich citovanosti Thomson Reuters Web of Science. Web of Science v současnosti zaznamenává odborné články v přibližně 17 000 titulech periodik, konferenčních sbornících a odborných knihách. Pro srovnání ČR s jinými zeměmi jsou využity výstupy z analytického nástroje TR InCites</w:t>
      </w:r>
      <w:r w:rsidRPr="00564B23">
        <w:rPr>
          <w:rStyle w:val="FootnoteReference"/>
          <w:rFonts w:cs="MetaPro-Normal"/>
        </w:rPr>
        <w:footnoteReference w:id="25"/>
      </w:r>
      <w:r w:rsidRPr="00564B23">
        <w:t>, který poskytuje oborově, institucionálně a teritoriálně agregovaná scientometrická data a benchmarky pro mezinárodní srovnání.</w:t>
      </w:r>
    </w:p>
    <w:p w:rsidR="009D46E6" w:rsidRPr="00564B23" w:rsidRDefault="009D46E6" w:rsidP="00866283">
      <w:r w:rsidRPr="00564B23">
        <w:t>Jako kvantitativní indikátor pro kvantitativní evaluaci vědecké kvality, impaktu a vlivu českého VaV je použit relativní citační index (RCI), který je obecně poměrem citovanosti definovaného souboru publikací (např. individuálních autorů, institucí a jejich skupin, či teritorií) a průměrné citovanosti ve světě. Hodnota relativního citačního indexu 1 (případně 100 %) ukazuje, že míra citovanosti daného souboru je shodná se světovým průměrem. Hodnoty menší než 1 indikují podprůměrnou citační odezvu a vyšší než jedna ukazují na nadprůměrnou relevanci či odborný impakt daného souboru publikací na světové úrovni. Absolutní počty citací, které publikace obdrží, jsou ovlivněny specifickými citačními zvyklostmi jednotlivých oborů. Vědní obory se dále liší rychlostí odezvy na nově publikované poznatky a časovým intervalem, ve kterém frekvence citovanosti kulminuje a jak dlouho je daná publikace významněji citována. Například průměrná délka seznamu citací publikací v biochemii je přibližně dvojnásobná proti matematice</w:t>
      </w:r>
      <w:r w:rsidRPr="00564B23">
        <w:rPr>
          <w:rStyle w:val="FootnoteReference"/>
          <w:rFonts w:cs="MetaPro-Normal"/>
        </w:rPr>
        <w:footnoteReference w:id="26"/>
      </w:r>
      <w:r w:rsidRPr="00564B23">
        <w:t>. Důsledkem toho jsou obor od oboru značně rozdílné průměrné počty citací připadající na jednu publikaci. Tento vliv je eliminován oborovou normalizací citačních indexů – vztažením citovanosti na světový průměr v rámci jednotlivých oborů (borově normalizovaný citační index, RCIO). Přes oborovou normalizaci zůstávají mezioborová srovnání citačních indexů komplikována nerovnoměrným zastoupením jednotlivých oborů v databázi TR. Přestože v současnosti TR aktivně indexuje celkem přibližně 17 000 titulů periodik a zahrnuje sociální vědy (Social Sciences Citation Index) a umělecké a humanitní obory (Arts and Humanities Citation Index) a odborné knižní</w:t>
      </w:r>
      <w:r>
        <w:t xml:space="preserve"> publikace (Book Citation Index,</w:t>
      </w:r>
      <w:r w:rsidRPr="00564B23">
        <w:t xml:space="preserve"> Science a Book Citation Index</w:t>
      </w:r>
      <w:r>
        <w:t>,</w:t>
      </w:r>
      <w:r w:rsidRPr="00564B23">
        <w:t xml:space="preserve"> Social Sciences &amp; Humanities) je zastoupení vědních oborů v databázi WoS nerovnoměrné. Pokrytí oborů klesá od biomedicínský</w:t>
      </w:r>
      <w:r>
        <w:t>ch</w:t>
      </w:r>
      <w:r w:rsidRPr="00564B23">
        <w:t xml:space="preserve"> a přírodovědných (přibližně 80 – 100 % titulů) přes matematiku a technické/inženýrské obory (60</w:t>
      </w:r>
      <w:r>
        <w:t>-</w:t>
      </w:r>
      <w:r w:rsidRPr="00564B23">
        <w:t>80% zastoupení) až k sociálním vědám a humanitním oborům, z nichž je WoS indexována přibližně jedna třetina titulů</w:t>
      </w:r>
      <w:r w:rsidRPr="00564B23">
        <w:rPr>
          <w:rStyle w:val="FootnoteReference"/>
          <w:rFonts w:cs="MetaPro-Normal"/>
        </w:rPr>
        <w:footnoteReference w:id="27"/>
      </w:r>
      <w:r w:rsidRPr="00564B23">
        <w:t>. Velmi nehomogenní je však i zastoupení jednotlivých oborů v rámci sociálních a humanitních oborů: Například ekonomické vědy jsou ve WoS zastoupeny přibližně ve stejném rozsahu jako technické a inženýrské obory. Na opačném pólu jsou obory jako historie a literatura, které WoS indexuje přibližně z jedné desetiny.</w:t>
      </w:r>
    </w:p>
    <w:p w:rsidR="009D46E6" w:rsidRPr="00564B23" w:rsidRDefault="009D46E6" w:rsidP="00866283">
      <w:r w:rsidRPr="00564B23">
        <w:t>Citační indexy jsou objektivním indikátorem relevance národního výzkumu a využití vědeckých poznatků generovaných v národním prostředí ve světovém kontextu. Jelikož se se jedná o průměrné hodnoty, nemohou detekovat špičkové výzkumné skupiny a jednotlivce. V důsledku rozdílné oborové struktury je i obtížné provádět meziinstitucionální srovnání souborů velkých výzkumných instituci (AV ČR, univerzity).</w:t>
      </w:r>
    </w:p>
    <w:p w:rsidR="009D46E6" w:rsidRPr="00786253" w:rsidRDefault="009D46E6" w:rsidP="00786253"/>
    <w:p w:rsidR="009D46E6" w:rsidRDefault="009D46E6" w:rsidP="003C6E2E">
      <w:pPr>
        <w:pStyle w:val="Heading3"/>
      </w:pPr>
      <w:bookmarkStart w:id="160" w:name="_Toc369091890"/>
      <w:r>
        <w:t>Mezinárodní srovnání České republiky</w:t>
      </w:r>
      <w:bookmarkEnd w:id="160"/>
    </w:p>
    <w:p w:rsidR="009D46E6" w:rsidRPr="001E5E50" w:rsidRDefault="009D46E6" w:rsidP="00866283">
      <w:r w:rsidRPr="00D75121">
        <w:t>V roce 2012 p</w:t>
      </w:r>
      <w:r>
        <w:t>ře</w:t>
      </w:r>
      <w:r w:rsidRPr="00D75121">
        <w:t>kročila Česká republika v počtu publikací vztaže</w:t>
      </w:r>
      <w:r>
        <w:t>ném na počet obyvatel průměr EU</w:t>
      </w:r>
      <w:r w:rsidRPr="00D75121">
        <w:t xml:space="preserve">27 a je na stejné úrovni jako např. Itálie a Řecko </w:t>
      </w:r>
      <w:r>
        <w:t>(graf C.6).</w:t>
      </w:r>
      <w:r w:rsidRPr="00D75121">
        <w:t xml:space="preserve"> Ve srovnání se zeměmi EU15 </w:t>
      </w:r>
      <w:r>
        <w:t xml:space="preserve">obdobné velikosti (např. Belgie, Nizozemsko) </w:t>
      </w:r>
      <w:r w:rsidRPr="00D75121">
        <w:t xml:space="preserve">je dosažený počet publikací 0,92 na 1000 obyvatel přibližně poloviční. </w:t>
      </w:r>
      <w:r>
        <w:t>Ve srovnání s novými zeměmi EU</w:t>
      </w:r>
      <w:r w:rsidRPr="00D75121">
        <w:t xml:space="preserve"> </w:t>
      </w:r>
      <w:r>
        <w:t xml:space="preserve">je ČR třetí po </w:t>
      </w:r>
      <w:r w:rsidRPr="00D75121">
        <w:t>Slovinsk</w:t>
      </w:r>
      <w:r>
        <w:t>u</w:t>
      </w:r>
      <w:r w:rsidRPr="00D75121">
        <w:t xml:space="preserve"> (1,</w:t>
      </w:r>
      <w:r>
        <w:t xml:space="preserve">73) a </w:t>
      </w:r>
      <w:r w:rsidRPr="00D75121">
        <w:t>Estonsk</w:t>
      </w:r>
      <w:r>
        <w:t>u</w:t>
      </w:r>
      <w:r w:rsidRPr="00D75121">
        <w:t xml:space="preserve"> (1,0</w:t>
      </w:r>
      <w:r>
        <w:t>7</w:t>
      </w:r>
      <w:r w:rsidRPr="00D75121">
        <w:t xml:space="preserve">). V počtu publikací vztaženém na FTE pracovníků ve </w:t>
      </w:r>
      <w:r>
        <w:t>VaV</w:t>
      </w:r>
      <w:r w:rsidRPr="00D75121">
        <w:t>, který je velmi hrubým indikátorem efektivnosti výzkumných aktivit, se ČR nachází nepatrně nad průměrem EU27 a</w:t>
      </w:r>
      <w:r>
        <w:t xml:space="preserve"> </w:t>
      </w:r>
      <w:r w:rsidRPr="00D75121">
        <w:t xml:space="preserve">na stejné úrovni jako </w:t>
      </w:r>
      <w:r>
        <w:t>velké země EU (Francie, Německo, Spojené království)</w:t>
      </w:r>
      <w:r w:rsidRPr="00D75121">
        <w:t xml:space="preserve">. </w:t>
      </w:r>
      <w:r>
        <w:t>V zemích EU srovnatelné velikosti s ČR je však takto definovaná efektivnost výzkumné sféry o 50-100 % vyšší.</w:t>
      </w:r>
    </w:p>
    <w:p w:rsidR="009D46E6" w:rsidRPr="00BD5EC7" w:rsidRDefault="009D46E6" w:rsidP="00750D9B">
      <w:pPr>
        <w:pStyle w:val="Caption"/>
        <w:tabs>
          <w:tab w:val="clear" w:pos="1276"/>
          <w:tab w:val="left" w:pos="993"/>
        </w:tabs>
        <w:ind w:left="993" w:hanging="993"/>
      </w:pPr>
      <w:bookmarkStart w:id="161" w:name="_Toc369092045"/>
      <w:r>
        <w:t xml:space="preserve">Graf </w:t>
      </w:r>
      <w:fldSimple w:instr=" STYLEREF 1 \s ">
        <w:r>
          <w:rPr>
            <w:noProof/>
          </w:rPr>
          <w:t>C</w:t>
        </w:r>
      </w:fldSimple>
      <w:r>
        <w:t>.</w:t>
      </w:r>
      <w:fldSimple w:instr=" SEQ Graf \* ARABIC \s 1 ">
        <w:r>
          <w:rPr>
            <w:noProof/>
          </w:rPr>
          <w:t>6</w:t>
        </w:r>
      </w:fldSimple>
      <w:r w:rsidRPr="00BD5EC7">
        <w:t xml:space="preserve">: </w:t>
      </w:r>
      <w:r w:rsidRPr="00564B23">
        <w:t>Počet publikací vybraných zemi vztažený na 1000 obyvatel a počet pracovníků (FTE) ve výzkumu a vývoji v roce 2012</w:t>
      </w:r>
      <w:bookmarkEnd w:id="161"/>
    </w:p>
    <w:p w:rsidR="009D46E6" w:rsidRPr="008C34ED" w:rsidRDefault="009D46E6" w:rsidP="001D7F37">
      <w:pPr>
        <w:pStyle w:val="Objekt"/>
      </w:pPr>
      <w:r w:rsidRPr="001D1D98">
        <w:pict>
          <v:shape id="Graf 321" o:spid="_x0000_i1171" type="#_x0000_t75" style="width:472.2pt;height:537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YiWJX2gAAAAYBAAAPAAAAZHJzL2Rvd25y&#10;ZXYueG1sTI/NTsMwEITvSLyDtUjcqBN+LJrGqaqiHhEi9AGceBtHxOsodtrw9ixc4DLSakYz35bb&#10;xQ/ijFPsA2nIVxkIpDbYnjoNx4/D3TOImAxZMwRCDV8YYVtdX5WmsOFC73iuUye4hGJhNLiUxkLK&#10;2Dr0Jq7CiMTeKUzeJD6nTtrJXLjcD/I+y5T0pidecGbEvcP2s569hvqQ53urdv6Fjq/usZnfzByk&#10;1rc3y24DIuGS/sLwg8/oUDFTE2ayUQwa+JH0q+yt1YMC0XAoWz8pkFUp/+NX3wA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">
            <v:imagedata r:id="rId166" o:title="" croptop="-468f" cropbottom="-541f" cropleft="-1933f" cropright="-1789f"/>
            <o:lock v:ext="edit" aspectratio="f"/>
          </v:shape>
        </w:pict>
      </w:r>
    </w:p>
    <w:p w:rsidR="009D46E6" w:rsidRPr="00564B23" w:rsidRDefault="009D46E6" w:rsidP="00866283">
      <w:pPr>
        <w:pStyle w:val="Zdroj"/>
      </w:pPr>
      <w:r w:rsidRPr="00564B23">
        <w:t>Pozn.: FTE pracovníků ve VaV ve vládním a vysokoškolském sektoru</w:t>
      </w:r>
    </w:p>
    <w:p w:rsidR="009D46E6" w:rsidRPr="00564B23" w:rsidRDefault="009D46E6" w:rsidP="00866283">
      <w:pPr>
        <w:pStyle w:val="Zdroj"/>
      </w:pPr>
      <w:r w:rsidRPr="00564B23">
        <w:t>Zdroj: Thomson Reuters InCites, OECD</w:t>
      </w:r>
    </w:p>
    <w:p w:rsidR="009D46E6" w:rsidRDefault="009D46E6" w:rsidP="00CD3981"/>
    <w:p w:rsidR="009D46E6" w:rsidRPr="001E5E50" w:rsidRDefault="009D46E6" w:rsidP="00CD3981">
      <w:r>
        <w:t>V citovanosti publikací vztažené na počet obyvatel (graf C.7) je ČR pod průměrem EU27 a těsně za Portugalskem. Od roku 2010, kdy v tomto ukazateli dosahovala ČR 80 % EU-27 došlo ke zlepšení na 93 %</w:t>
      </w:r>
      <w:r>
        <w:rPr>
          <w:rStyle w:val="FootnoteReference"/>
          <w:rFonts w:cs="MetaPro-Normal"/>
        </w:rPr>
        <w:footnoteReference w:id="28"/>
      </w:r>
      <w:r>
        <w:t xml:space="preserve">, avšak ve srovnání se zeměmi o srovnatelné populaci např. Nizozemskem či Rakouskem je počet publikací na 1000 obyvatel poloviční až třetinový. V počtu citací na FTE pracovníků ve VaV je ČR přibližně 5 % na průměrem EU27, avšak ve většině starých zemí EU srovnatelné velikosti je tento indikátor o 50 a více procent vyšší. </w:t>
      </w:r>
    </w:p>
    <w:p w:rsidR="009D46E6" w:rsidRDefault="009D46E6" w:rsidP="00866283">
      <w:r w:rsidRPr="006B2CDF">
        <w:t>V relativní produkci odborných publikací Česká republika mírně přesahuje evropský průměr. Celková váha českého VaV</w:t>
      </w:r>
      <w:r>
        <w:t xml:space="preserve"> posuzovaná citovaností českých publikací zůstává poměrně nízký i když dochází ke zlepšení.</w:t>
      </w:r>
    </w:p>
    <w:p w:rsidR="009D46E6" w:rsidRPr="00BD5EC7" w:rsidRDefault="009D46E6" w:rsidP="00750D9B">
      <w:pPr>
        <w:pStyle w:val="Caption"/>
        <w:tabs>
          <w:tab w:val="clear" w:pos="1276"/>
          <w:tab w:val="left" w:pos="993"/>
          <w:tab w:val="left" w:pos="1134"/>
        </w:tabs>
        <w:ind w:left="993" w:hanging="993"/>
      </w:pPr>
      <w:bookmarkStart w:id="162" w:name="_Toc369092046"/>
      <w:r>
        <w:t xml:space="preserve">Graf </w:t>
      </w:r>
      <w:fldSimple w:instr=" STYLEREF 1 \s ">
        <w:r>
          <w:rPr>
            <w:noProof/>
          </w:rPr>
          <w:t>C</w:t>
        </w:r>
      </w:fldSimple>
      <w:r>
        <w:t>.</w:t>
      </w:r>
      <w:fldSimple w:instr=" SEQ Graf \* ARABIC \s 1 ">
        <w:r>
          <w:rPr>
            <w:noProof/>
          </w:rPr>
          <w:t>7</w:t>
        </w:r>
      </w:fldSimple>
      <w:r w:rsidRPr="00BD5EC7">
        <w:t xml:space="preserve">: </w:t>
      </w:r>
      <w:r w:rsidRPr="00564B23">
        <w:t>Citovanost publikaci z roku 2010 vztažená na 1000 obyvatel a počet pracovníků (FTE) ve výzkumu a vývoji</w:t>
      </w:r>
      <w:bookmarkEnd w:id="162"/>
    </w:p>
    <w:p w:rsidR="009D46E6" w:rsidRPr="00331449" w:rsidRDefault="009D46E6" w:rsidP="001D7F37">
      <w:pPr>
        <w:pStyle w:val="Objekt"/>
      </w:pPr>
      <w:r w:rsidRPr="001D1D98">
        <w:pict>
          <v:shape id="Graf 322" o:spid="_x0000_i1172" type="#_x0000_t75" style="width:481.8pt;height:508.2pt;visibility:visible" o:gfxdata="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">
            <v:imagedata r:id="rId167" o:title="" croptop="-430f" cropbottom="-590f" cropleft="-1351f" cropright="-943f"/>
            <o:lock v:ext="edit" aspectratio="f"/>
          </v:shape>
        </w:pict>
      </w:r>
    </w:p>
    <w:p w:rsidR="009D46E6" w:rsidRPr="00564B23" w:rsidRDefault="009D46E6" w:rsidP="00866283">
      <w:pPr>
        <w:pStyle w:val="Zdroj"/>
      </w:pPr>
      <w:r w:rsidRPr="00564B23">
        <w:t>Pozn.: FTE pracovníků ve VaV ve vládním a vysokoškolském sektoru</w:t>
      </w:r>
    </w:p>
    <w:p w:rsidR="009D46E6" w:rsidRPr="00564B23" w:rsidRDefault="009D46E6" w:rsidP="00866283">
      <w:pPr>
        <w:pStyle w:val="Zdroj"/>
      </w:pPr>
      <w:r w:rsidRPr="00564B23">
        <w:t>Zdroj: Thomson Reuters InCites, OECD</w:t>
      </w:r>
    </w:p>
    <w:p w:rsidR="009D46E6" w:rsidRDefault="009D46E6" w:rsidP="00866283"/>
    <w:p w:rsidR="009D46E6" w:rsidRDefault="009D46E6">
      <w:pPr>
        <w:spacing w:before="200" w:after="200" w:line="276" w:lineRule="auto"/>
        <w:jc w:val="left"/>
        <w:rPr>
          <w:b/>
          <w:szCs w:val="22"/>
        </w:rPr>
      </w:pPr>
      <w:r>
        <w:br w:type="page"/>
      </w:r>
    </w:p>
    <w:p w:rsidR="009D46E6" w:rsidRDefault="009D46E6" w:rsidP="003C6E2E">
      <w:pPr>
        <w:pStyle w:val="Heading3"/>
      </w:pPr>
      <w:bookmarkStart w:id="163" w:name="_Toc369091891"/>
      <w:r>
        <w:t>Podíl ČR na světové produkci publikačních výstupů</w:t>
      </w:r>
      <w:bookmarkEnd w:id="163"/>
    </w:p>
    <w:p w:rsidR="009D46E6" w:rsidRDefault="009D46E6" w:rsidP="00866283">
      <w:r>
        <w:t>Počet publikací, které mají alespoň jednoho autora z České republiky</w:t>
      </w:r>
      <w:r>
        <w:rPr>
          <w:rStyle w:val="FootnoteReference"/>
          <w:rFonts w:cs="MetaPro-Normal"/>
        </w:rPr>
        <w:footnoteReference w:id="29"/>
      </w:r>
      <w:r>
        <w:t xml:space="preserve"> a jsou zaznamenány ve WoS, vzrostl v roce 2011 na 10 114 (Graf C.8). V roce 2011 byl meziroční růst počtu článků v impaktovaných časopisech (J</w:t>
      </w:r>
      <w:r>
        <w:rPr>
          <w:vertAlign w:val="subscript"/>
        </w:rPr>
        <w:t>imp</w:t>
      </w:r>
      <w:r>
        <w:t>) 2,4 %, což je podstatně méně než v předcházejících pěti letech, kdy počet publikací rostl ročně o</w:t>
      </w:r>
      <w:r w:rsidRPr="00B53B02">
        <w:t xml:space="preserve"> </w:t>
      </w:r>
      <w:r>
        <w:t>7-</w:t>
      </w:r>
      <w:r w:rsidRPr="00B53B02">
        <w:t xml:space="preserve">13 %. Podíl České republiky na světové produkci </w:t>
      </w:r>
      <w:r>
        <w:t>meziročně nepatrně poklesl o 0,02 procentního bodu, avšak zůstal nad úrovní roku 2009.</w:t>
      </w:r>
      <w:r w:rsidRPr="00B53B02">
        <w:t xml:space="preserve"> </w:t>
      </w:r>
    </w:p>
    <w:p w:rsidR="009D46E6" w:rsidRDefault="009D46E6" w:rsidP="00866283">
      <w:r w:rsidRPr="00B53B02">
        <w:t xml:space="preserve">Přestože v posledních letech celkový světový objem publikování v důsledku rozvoje </w:t>
      </w:r>
      <w:r>
        <w:t>VaV</w:t>
      </w:r>
      <w:r w:rsidRPr="00B53B02">
        <w:t xml:space="preserve"> v rostoucích ekonomikách (země BRICS a další) výrazně roste, podíl českého VaV</w:t>
      </w:r>
      <w:r>
        <w:t xml:space="preserve"> na globálním objemu </w:t>
      </w:r>
      <w:r w:rsidRPr="00B53B02">
        <w:t xml:space="preserve">dlouhodobě </w:t>
      </w:r>
      <w:r>
        <w:t>roste</w:t>
      </w:r>
      <w:r w:rsidRPr="00B53B02">
        <w:t>.</w:t>
      </w:r>
    </w:p>
    <w:p w:rsidR="009D46E6" w:rsidRPr="00BD5EC7" w:rsidRDefault="009D46E6" w:rsidP="00750D9B">
      <w:pPr>
        <w:pStyle w:val="Caption"/>
        <w:tabs>
          <w:tab w:val="clear" w:pos="1276"/>
          <w:tab w:val="left" w:pos="993"/>
        </w:tabs>
        <w:ind w:left="993" w:hanging="993"/>
      </w:pPr>
      <w:bookmarkStart w:id="164" w:name="_Toc369092047"/>
      <w:r>
        <w:t xml:space="preserve">Graf </w:t>
      </w:r>
      <w:fldSimple w:instr=" STYLEREF 1 \s ">
        <w:r>
          <w:rPr>
            <w:noProof/>
          </w:rPr>
          <w:t>C</w:t>
        </w:r>
      </w:fldSimple>
      <w:r>
        <w:t>.</w:t>
      </w:r>
      <w:fldSimple w:instr=" SEQ Graf \* ARABIC \s 1 ">
        <w:r>
          <w:rPr>
            <w:noProof/>
          </w:rPr>
          <w:t>8</w:t>
        </w:r>
      </w:fldSimple>
      <w:r w:rsidRPr="00BD5EC7">
        <w:t xml:space="preserve">: </w:t>
      </w:r>
      <w:r w:rsidRPr="00564B23">
        <w:t>Celkové počty publikací autorů z ČR v letech 2000 – 2011 a jejich podíl na celkové světové produkci</w:t>
      </w:r>
      <w:bookmarkEnd w:id="164"/>
    </w:p>
    <w:p w:rsidR="009D46E6" w:rsidRPr="00D66BFF" w:rsidRDefault="009D46E6" w:rsidP="001D7F37">
      <w:pPr>
        <w:pStyle w:val="Objekt"/>
      </w:pPr>
      <w:r w:rsidRPr="001D1D98">
        <w:pict>
          <v:shape id="Graf 323" o:spid="_x0000_i1173" type="#_x0000_t75" style="width:480pt;height:196.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JXv752wAAAAUBAAAPAAAAZHJzL2Rvd25y&#10;ZXYueG1sTI/BTsMwDIbvSLxDZCRuLGGgsZWmE0xw4MJg7MDRbUxbaJzSZFt5ewwXuFj69VufP+fL&#10;0XdqT0NsA1s4nxhQxFVwLdcWti/3Z3NQMSE77AKThS+KsCyOj3LMXDjwM+03qVYC4ZihhSalPtM6&#10;Vg15jJPQE0v3FgaPSeJQazfgQeC+01NjZtpjy3KhwZ5WDVUfm50XSjVflbdXF9un90U/fj68ar57&#10;XFt7ejLeXINKNKa/ZfjRF3UoxKkMO3ZRdRbkkfQ7pVvMjMTSwqWZGtBFrv/bF98A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">
            <v:imagedata r:id="rId168" o:title="" croptop="-1963f" cropbottom="-1109f" cropleft="-2464f" cropright="-2390f"/>
            <o:lock v:ext="edit" aspectratio="f"/>
          </v:shape>
        </w:pict>
      </w:r>
    </w:p>
    <w:p w:rsidR="009D46E6" w:rsidRDefault="009D46E6" w:rsidP="00866283">
      <w:pPr>
        <w:pStyle w:val="Zdroj"/>
      </w:pPr>
      <w:r w:rsidRPr="008B63ED">
        <w:t>Zdroj: Thomson Reuters Web of Science, InCites</w:t>
      </w:r>
    </w:p>
    <w:p w:rsidR="009D46E6" w:rsidRPr="008B63ED" w:rsidRDefault="009D46E6" w:rsidP="00866283"/>
    <w:p w:rsidR="009D46E6" w:rsidRPr="008B63ED" w:rsidRDefault="009D46E6" w:rsidP="00866283">
      <w:r w:rsidRPr="008B63ED">
        <w:t>Počet odkazů na publikovanou práci je měřítkem důležitosti a významu a relevance jejího informačního obsahu pro současný výzkum</w:t>
      </w:r>
      <w:r w:rsidRPr="008B63ED">
        <w:rPr>
          <w:rStyle w:val="FootnoteReference"/>
          <w:rFonts w:cs="MetaPro-Normal"/>
        </w:rPr>
        <w:footnoteReference w:id="30"/>
      </w:r>
      <w:r w:rsidRPr="008B63ED">
        <w:t>. Citace mohou být interpretovány i jako indikátor vlivu, který autoři mají na širší vědecké scéně</w:t>
      </w:r>
      <w:r w:rsidRPr="008B63ED">
        <w:rPr>
          <w:rStyle w:val="FootnoteReference"/>
          <w:rFonts w:cs="MetaPro-Normal"/>
        </w:rPr>
        <w:footnoteReference w:id="31"/>
      </w:r>
      <w:r w:rsidRPr="008B63ED">
        <w:t>. Absolutní počty citací závisí na citačních zvyklostech jednotlivých oborů. Míru citovanosti ovlivňuje i dynamika oborů. V rychle se rozvíjejících oborech narůst nových poznatků iniciuje vyšší citovanost. Citovanost souboru prací je funkcí oborové struktury.</w:t>
      </w:r>
    </w:p>
    <w:p w:rsidR="009D46E6" w:rsidRPr="008B63ED" w:rsidRDefault="009D46E6" w:rsidP="00866283">
      <w:r w:rsidRPr="008B63ED">
        <w:t>Oborově nezávislou citovanost lze získat vztažením absolutního počtu citací na světový průměr v daném oboru. Pro získání průměrné oborově nezávislé citovanosti heterogenního souboru publikací lze použít dva výpočetní postupy:</w:t>
      </w:r>
    </w:p>
    <w:p w:rsidR="009D46E6" w:rsidRPr="008B63ED" w:rsidRDefault="009D46E6" w:rsidP="000E3106">
      <w:pPr>
        <w:pStyle w:val="Odrky"/>
      </w:pPr>
      <w:r w:rsidRPr="008B63ED">
        <w:t>podíl sumy citací souboru a sumy oborových světových průměrů</w:t>
      </w:r>
      <w:r w:rsidRPr="008B63ED">
        <w:rPr>
          <w:rStyle w:val="FootnoteReference"/>
          <w:rFonts w:cs="MetaPro-Normal"/>
        </w:rPr>
        <w:footnoteReference w:id="32"/>
      </w:r>
      <w:r w:rsidRPr="008B63ED">
        <w:t xml:space="preserve"> </w:t>
      </w:r>
    </w:p>
    <w:p w:rsidR="009D46E6" w:rsidRPr="008B63ED" w:rsidRDefault="009D46E6" w:rsidP="000E3106">
      <w:pPr>
        <w:pStyle w:val="Odrky"/>
      </w:pPr>
      <w:r w:rsidRPr="008B63ED">
        <w:t>průměr podílu citovanosti jednotlivých prací a příslušné průměrné světové citovanosti</w:t>
      </w:r>
      <w:r w:rsidRPr="008B63ED">
        <w:rPr>
          <w:rStyle w:val="FootnoteReference"/>
          <w:rFonts w:cs="MetaPro-Normal"/>
        </w:rPr>
        <w:footnoteReference w:id="33"/>
      </w:r>
      <w:r w:rsidRPr="008B63ED">
        <w:t xml:space="preserve"> oboru.</w:t>
      </w:r>
    </w:p>
    <w:p w:rsidR="009D46E6" w:rsidRDefault="009D46E6" w:rsidP="00866283"/>
    <w:p w:rsidR="009D46E6" w:rsidRPr="008B63ED" w:rsidRDefault="009D46E6" w:rsidP="00866283">
      <w:r w:rsidRPr="008B63ED">
        <w:t>První postup, kdy citovanost není normalizována na nejnižší úrovni individuálních publikací a tento postup vede obecně k vyšší váze starších publikací, publikovaných v oborech s vysokými citačními frekvencemi</w:t>
      </w:r>
      <w:r w:rsidRPr="008B63ED">
        <w:rPr>
          <w:rStyle w:val="FootnoteReference"/>
          <w:rFonts w:cs="MetaPro-Normal"/>
        </w:rPr>
        <w:footnoteReference w:id="34"/>
      </w:r>
      <w:r w:rsidRPr="008B63ED">
        <w:t>.</w:t>
      </w:r>
    </w:p>
    <w:p w:rsidR="009D46E6" w:rsidRPr="008B63ED" w:rsidRDefault="009D46E6" w:rsidP="00866283">
      <w:r w:rsidRPr="008B63ED">
        <w:t>V Analýze je použit druhý postup (item-oriented). Výhodou tohoto postupu, kdy je normalizace provedena na úrovni jednotlivých článků, je jejich stejná váha v konečné hodnotě indikátoru</w:t>
      </w:r>
      <w:r w:rsidRPr="008B63ED">
        <w:rPr>
          <w:rStyle w:val="FootnoteReference"/>
          <w:rFonts w:cs="MetaPro-Normal"/>
        </w:rPr>
        <w:footnoteReference w:id="35"/>
      </w:r>
      <w:r w:rsidRPr="008B63ED">
        <w:t>. Další vlastnosti tohoto postupu je vyšší citlivost na přítomnost malého počtu vysoce citovaných prací v průměrně citovaném souboru. Z hlediska identifikace excelence na pozadí průměrných výstupů v oborech je tento rys item-oriented průměrování spíše výhodou.</w:t>
      </w:r>
    </w:p>
    <w:p w:rsidR="009D46E6" w:rsidRPr="008B63ED" w:rsidRDefault="009D46E6" w:rsidP="00866283">
      <w:r w:rsidRPr="008B63ED">
        <w:t xml:space="preserve">V grafu </w:t>
      </w:r>
      <w:r>
        <w:t>C.9</w:t>
      </w:r>
      <w:r w:rsidRPr="008B63ED">
        <w:t xml:space="preserve"> jsou uvedeny průměry oborově normalizované citovanosti českých prací publikovaných v letech 2000</w:t>
      </w:r>
      <w:r>
        <w:t>-</w:t>
      </w:r>
      <w:r w:rsidRPr="008B63ED">
        <w:t>2011. Dlouhodobě citovanost českých autorů rostla a v polovině minulé dekády poprvé mírně přesáhla světový průměr. V posledních několika letech se růst zastavil a citovanost spíše stagnuje. Nápadně vysokou hodnotu o 10 % nad světovým průměrem v posledním roce 2010 nelze považovat za spolehlivou z důvodu příliš krátkého časového intervalu, který uplynul od publikování prací</w:t>
      </w:r>
      <w:r w:rsidRPr="008B63ED">
        <w:rPr>
          <w:rStyle w:val="FootnoteReference"/>
          <w:rFonts w:cs="MetaPro-Normal"/>
        </w:rPr>
        <w:footnoteReference w:id="36"/>
      </w:r>
      <w:r w:rsidRPr="008B63ED">
        <w:t>. Srovnání dynamiky růstu publikací a jejich citovanosti může indikovat pozvolnou změnu publikační strategie českých autorů směrem k publikování většího počtu průměrných prací, která může být reakcí na Metodiky hodnocení výsledků výzkumných organizací užívaných v minulých letech.</w:t>
      </w:r>
      <w:r w:rsidRPr="008B63ED">
        <w:rPr>
          <w:rStyle w:val="FootnoteReference"/>
          <w:rFonts w:cs="MetaPro-Normal"/>
        </w:rPr>
        <w:footnoteReference w:id="37"/>
      </w:r>
    </w:p>
    <w:p w:rsidR="009D46E6" w:rsidRPr="00BD5EC7" w:rsidRDefault="009D46E6" w:rsidP="00750D9B">
      <w:pPr>
        <w:pStyle w:val="Caption"/>
      </w:pPr>
      <w:bookmarkStart w:id="165" w:name="_Toc369092048"/>
      <w:r>
        <w:t xml:space="preserve">Graf </w:t>
      </w:r>
      <w:fldSimple w:instr=" STYLEREF 1 \s ">
        <w:r>
          <w:rPr>
            <w:noProof/>
          </w:rPr>
          <w:t>C</w:t>
        </w:r>
      </w:fldSimple>
      <w:r>
        <w:t>.</w:t>
      </w:r>
      <w:fldSimple w:instr=" SEQ Graf \* ARABIC \s 1 ">
        <w:r>
          <w:rPr>
            <w:noProof/>
          </w:rPr>
          <w:t>9</w:t>
        </w:r>
      </w:fldSimple>
      <w:r w:rsidRPr="00BD5EC7">
        <w:t xml:space="preserve">: </w:t>
      </w:r>
      <w:r w:rsidRPr="008B63ED">
        <w:t>Oborově normalizovaná citovanost publikací českých autorů v letech 2000 – 2012</w:t>
      </w:r>
      <w:bookmarkEnd w:id="165"/>
    </w:p>
    <w:p w:rsidR="009D46E6" w:rsidRPr="00C820BE" w:rsidRDefault="009D46E6" w:rsidP="001D7F37">
      <w:pPr>
        <w:pStyle w:val="Objekt"/>
      </w:pPr>
      <w:r w:rsidRPr="001D1D98">
        <w:pict>
          <v:shape id="Graf 324" o:spid="_x0000_i1174" type="#_x0000_t75" style="width:472.2pt;height:186.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biuAb3QAAAAUBAAAPAAAAZHJzL2Rvd25y&#10;ZXYueG1sTI9BS8NAEIXvgv9hGcGL2I1aS43ZlBAx0JttRa+b7JgEs7Mhu22Sf+/opV4eDG9473vJ&#10;ZrKdOOHgW0cK7hYRCKTKmZZqBe+H19s1CB80Gd05QgUzetiklxeJjo0baYenfagFh5CPtYImhD6W&#10;0lcNWu0Xrkdi78sNVgc+h1qaQY8cbjt5H0UraXVL3NDoHvMGq+/90SrId4/dNvv8KMb55VAU0/x2&#10;U+aZUtdXU/YMIuAUzs/wi8/okDJT6Y5kvOgU8JDwp+w9rZY8o1TwsI6WINNE/qdPfw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">
            <v:imagedata r:id="rId169" o:title="" croptop="-5635f" cropbottom="-889f" cropleft="-2365f" cropright="-2067f"/>
            <o:lock v:ext="edit" aspectratio="f"/>
          </v:shape>
        </w:pict>
      </w:r>
    </w:p>
    <w:p w:rsidR="009D46E6" w:rsidRPr="008B63ED" w:rsidRDefault="009D46E6" w:rsidP="00866283">
      <w:pPr>
        <w:pStyle w:val="Zdroj"/>
      </w:pPr>
      <w:r w:rsidRPr="008B63ED">
        <w:t>Pozn.: Hodnota 100 % vyznačená přerušovanou čárou je oborově normalizovaný světový průměr</w:t>
      </w:r>
    </w:p>
    <w:p w:rsidR="009D46E6" w:rsidRPr="008B63ED" w:rsidRDefault="009D46E6" w:rsidP="00866283">
      <w:pPr>
        <w:pStyle w:val="Zdroj"/>
      </w:pPr>
      <w:r w:rsidRPr="008B63ED">
        <w:t>Zdroj: Thomson Reuters Web of Science, InCites</w:t>
      </w:r>
    </w:p>
    <w:p w:rsidR="009D46E6" w:rsidRPr="008B63ED" w:rsidRDefault="009D46E6" w:rsidP="00866283"/>
    <w:p w:rsidR="009D46E6" w:rsidRPr="008B63ED" w:rsidRDefault="009D46E6" w:rsidP="00866283">
      <w:r w:rsidRPr="008B63ED">
        <w:t>K popisu oborové struktury a podílu českých publikací na světové produkci je použito třídění do 22 širších vědních oborů TR Essential Science indicators</w:t>
      </w:r>
      <w:r w:rsidRPr="008B63ED">
        <w:rPr>
          <w:rStyle w:val="FootnoteReference"/>
          <w:rFonts w:cs="MetaPro-Normal"/>
        </w:rPr>
        <w:footnoteReference w:id="38"/>
      </w:r>
      <w:r w:rsidRPr="008B63ED">
        <w:t>. Podíl českých publikací na svět</w:t>
      </w:r>
      <w:r>
        <w:t>ové produkci je v rozmezí 0,3-</w:t>
      </w:r>
      <w:r w:rsidRPr="008B63ED">
        <w:t>1,3 % (</w:t>
      </w:r>
      <w:r>
        <w:t>Graf C.10</w:t>
      </w:r>
      <w:r w:rsidRPr="008B63ED">
        <w:t xml:space="preserve">). Přibližně třetina oborů opakovaně přesáhla hranici jednoho procenta. Nejvyššího podílu na světovém objemu prací dosahují obory zemědělské vědy, vědy o vesmíru, botanika a zoologie a matematika. V uplynulých pěti letech nejrychleji rostl podíl na světovém objemu publikaci v zemědělských vědách, vědách o Zemi, informatice a technických vědách. K nejméně zastoupeným oborům na světové publikační scéně patří neurovědy, psychologie-psychiatrie a společenské vědy. Malého zastoupení dosahují čeští autoři i v multidisciplinárních oborech. Do této skupiny jsou v ESI třídění zařazeny prestižní tituly s extrémními impakt-faktory a velmi náročnou peer-review evaluací rukopisů. Přestože je podíl českých </w:t>
      </w:r>
      <w:r>
        <w:t xml:space="preserve">autorů malý, došlo za pět let k </w:t>
      </w:r>
      <w:r w:rsidRPr="008B63ED">
        <w:t>jeho nárůstu o téměř 75</w:t>
      </w:r>
      <w:r>
        <w:t xml:space="preserve"> </w:t>
      </w:r>
      <w:r w:rsidRPr="008B63ED">
        <w:t>%.  To svědčí o nárůstu světově konkurenceschopného českého výzkumu a excelentních výzkumných skupin.</w:t>
      </w:r>
    </w:p>
    <w:p w:rsidR="009D46E6" w:rsidRPr="00BD5EC7" w:rsidRDefault="009D46E6" w:rsidP="009B317B">
      <w:pPr>
        <w:pStyle w:val="Caption"/>
        <w:tabs>
          <w:tab w:val="clear" w:pos="1276"/>
          <w:tab w:val="left" w:pos="1134"/>
        </w:tabs>
        <w:ind w:left="1134" w:hanging="1134"/>
      </w:pPr>
      <w:bookmarkStart w:id="166" w:name="_Toc369092049"/>
      <w:r>
        <w:t xml:space="preserve">Graf </w:t>
      </w:r>
      <w:fldSimple w:instr=" STYLEREF 1 \s ">
        <w:r>
          <w:rPr>
            <w:noProof/>
          </w:rPr>
          <w:t>C</w:t>
        </w:r>
      </w:fldSimple>
      <w:r>
        <w:t>.</w:t>
      </w:r>
      <w:fldSimple w:instr=" SEQ Graf \* ARABIC \s 1 ">
        <w:r>
          <w:rPr>
            <w:noProof/>
          </w:rPr>
          <w:t>10</w:t>
        </w:r>
      </w:fldSimple>
      <w:r w:rsidRPr="00BD5EC7">
        <w:t xml:space="preserve">: </w:t>
      </w:r>
      <w:r w:rsidRPr="008B63ED">
        <w:t>Podíl českých publikací na světové produkci v širších vědních oborech v letech 2008 – 2012</w:t>
      </w:r>
      <w:bookmarkEnd w:id="166"/>
    </w:p>
    <w:p w:rsidR="009D46E6" w:rsidRPr="00975888" w:rsidRDefault="009D46E6" w:rsidP="001D7F37">
      <w:pPr>
        <w:pStyle w:val="Objekt"/>
      </w:pPr>
      <w:r w:rsidRPr="001D1D98">
        <w:pict>
          <v:shape id="Graf 325" o:spid="_x0000_i1175" type="#_x0000_t75" style="width:472.8pt;height:258.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3qxJr3gAAAAUBAAAPAAAAZHJzL2Rvd25y&#10;ZXYueG1sTI9BS8NAEIXvBf/DMoK3dtOiaY3ZlCIKKkqxtnrdZMckmp1Ns5s2/ntHL3p5MLzhve+l&#10;y8E24oCdrx0pmE4iEEiFMzWVCrYvt+MFCB80Gd04QgVf6GGZnYxSnRh3pGc8bEIpOIR8ohVUIbSJ&#10;lL6o0Go/cS0Se++uszrw2ZXSdPrI4baRsyiKpdU1cUOlW7yusPjc9FbB6v5R3i3eaJ/HH+5mjf3D&#10;7ul1r9TZ6bC6AhFwCH/P8IPP6JAxU+56Ml40CnhI+FX2LuNznpEruJjOZyCzVP6nz74B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">
            <v:imagedata r:id="rId170" o:title="" croptop="-1384f" cropbottom="-640f" cropleft="-1147f" cropright="-1196f"/>
            <o:lock v:ext="edit" aspectratio="f"/>
          </v:shape>
        </w:pict>
      </w:r>
    </w:p>
    <w:p w:rsidR="009D46E6" w:rsidRPr="008B63ED" w:rsidRDefault="009D46E6" w:rsidP="00866283">
      <w:pPr>
        <w:pStyle w:val="Zdroj"/>
      </w:pPr>
      <w:r w:rsidRPr="008B63ED">
        <w:t>Pozn.: Kategorie Multidisciplinární obory zahrnuje publikace v periodikách mající široký nebo obecný charakter a pokrývají široké spektrum vědeckých disciplín. Tato kategorie rovněž zahrnuje periodika publikující práce multidisciplinárního charakteru studující např. partikulární regiony, ekosystémy nebo biologické systémy a interdisciplinární časopisy, jejichž cílem je osvětlovat význačná propojení mezi obory (definice Thomson Reuters).</w:t>
      </w:r>
    </w:p>
    <w:p w:rsidR="009D46E6" w:rsidRDefault="009D46E6" w:rsidP="00866283">
      <w:pPr>
        <w:pStyle w:val="Zdroj"/>
      </w:pPr>
      <w:r w:rsidRPr="008B63ED">
        <w:t>Zdroj: Thomson Reuters Web of Science, InCites</w:t>
      </w:r>
    </w:p>
    <w:p w:rsidR="009D46E6" w:rsidRDefault="009D46E6" w:rsidP="00866283"/>
    <w:p w:rsidR="009D46E6" w:rsidRDefault="009D46E6" w:rsidP="003C6E2E">
      <w:pPr>
        <w:pStyle w:val="Heading3"/>
      </w:pPr>
      <w:bookmarkStart w:id="167" w:name="_Toc369091892"/>
      <w:r>
        <w:t>Oborové relativní citační indexy (RCIO) pro Českou republiku</w:t>
      </w:r>
      <w:bookmarkEnd w:id="167"/>
    </w:p>
    <w:p w:rsidR="009D46E6" w:rsidRPr="006919B5" w:rsidRDefault="009D46E6" w:rsidP="00866283">
      <w:r>
        <w:t xml:space="preserve">Normalizované citovanosti publikací českých autorů v pětiletém intervalu 2007-2011 oborově rozlišené </w:t>
      </w:r>
      <w:r w:rsidRPr="009B317B">
        <w:t>podle ESI kategorií jsou uveden v grafu C.11. V celém sledovaném pětiletém období pouze 3 obory přesahují</w:t>
      </w:r>
      <w:r>
        <w:t xml:space="preserve"> světový průměr: Klinická medicína, životní prostředí a fyzika. Z těchto třech oborů pouze citovanost fyzikálních oborů výrazně rostla. Citovanost publikací v klinické medicíně spíše stagnovala na úrovni kolem 20 % nad světovým průměrem a citovanost prací v oboru životního prostředí výrazně poklesla z nadprůměrných 135 % na světový průměr. Oborem s nejrychleji rostoucí citovaností jsou společenské vědy, jejichž citovanost vzrostla z méně než poloviny na 135 </w:t>
      </w:r>
      <w:r w:rsidRPr="006919B5">
        <w:t>%</w:t>
      </w:r>
      <w:r>
        <w:t xml:space="preserve"> světového průměru. Dalšími českými obory, jejichž impakt v kontextu světové vědy v uplynulých pěti letech podstatně vzrostl jsou matematika (téměř zdvojnásobení citovanosti) a zemědělské vědy (o téměř 70 %). Citovanost ve skupině multidisciplinárních oborů meziročně silně kolísá. </w:t>
      </w:r>
      <w:r w:rsidRPr="00C83399">
        <w:t xml:space="preserve">Počty </w:t>
      </w:r>
      <w:r>
        <w:t>českých publikací v této skupině jsou přibližně</w:t>
      </w:r>
      <w:r w:rsidRPr="00C83399">
        <w:t xml:space="preserve"> 10/rok. </w:t>
      </w:r>
      <w:r>
        <w:t>Několik vysoce citovaných</w:t>
      </w:r>
      <w:r w:rsidRPr="00C83399">
        <w:t xml:space="preserve"> publikac</w:t>
      </w:r>
      <w:r>
        <w:t>í</w:t>
      </w:r>
      <w:r w:rsidRPr="00C83399">
        <w:t xml:space="preserve"> v prestižním periodiku jako např. Science či Nature tak může způsobit výraznou meziroční fluktuaci citovanosti</w:t>
      </w:r>
      <w:r>
        <w:t>.</w:t>
      </w:r>
    </w:p>
    <w:p w:rsidR="009D46E6" w:rsidRDefault="009D46E6" w:rsidP="00866283">
      <w:r w:rsidRPr="00022AA9">
        <w:t xml:space="preserve">V grafu </w:t>
      </w:r>
      <w:r>
        <w:t>C.12</w:t>
      </w:r>
      <w:r w:rsidRPr="00022AA9">
        <w:t xml:space="preserve"> jsou uvedeny </w:t>
      </w:r>
      <w:r>
        <w:t xml:space="preserve">nadprůměrně citované vědní obory roztříděné podle podrobnějších </w:t>
      </w:r>
      <w:r w:rsidRPr="00022AA9">
        <w:rPr>
          <w:i/>
        </w:rPr>
        <w:t>WoS Subject Categories</w:t>
      </w:r>
      <w:r>
        <w:rPr>
          <w:i/>
        </w:rPr>
        <w:t xml:space="preserve">, </w:t>
      </w:r>
      <w:r>
        <w:t xml:space="preserve">jejichž citovanost v období pěti let přesáhla o 20 % světový průměr a současně bylo českými autory publikováno v průměru alespoň pět publikací ročně. Mezi pěti nejcitovanějšími českými obory jsou dva lékařské obory: revmatologie, jejíž citovanost se blíží trojnásobku světového průměru a všeobecné lékařství dosahující dvojnásobku světové citovanosti, přestože se jedná o obory s relativně malým podílem na světovém objemu publikací. </w:t>
      </w:r>
    </w:p>
    <w:p w:rsidR="009D46E6" w:rsidRDefault="009D46E6" w:rsidP="00866283">
      <w:r>
        <w:t xml:space="preserve">Jak z kvantitativního hlediska podílů na světovém objemu publikací, tak v citačním ohlasu se z českého VaV vyděluje jaderný výzkum. Obory jaderná fyzika, jaderné vědy a technologie dosahují citační ohlas přibližně 150 % světového průměru a současně patří k oborům majícím nejvyšší podíl na světovém objemu publikací. </w:t>
      </w:r>
      <w:r w:rsidRPr="009B317B">
        <w:t>V  třídění WoS jsou publikace v experimentální fyzice rovněž řazeny ke kategorii přístroje a přístrojová</w:t>
      </w:r>
      <w:r>
        <w:t xml:space="preserve"> technika a spektroskopie, které rovněž vykazují velmi nadprůměrnou citovanost i relativně vysoký podíl na světové produkci. </w:t>
      </w:r>
    </w:p>
    <w:p w:rsidR="009D46E6" w:rsidRDefault="009D46E6" w:rsidP="00866283">
      <w:r>
        <w:t xml:space="preserve">Ze společenskovědních oborů nejvyšší citovanosti dosahují literární vědy a urbanismus. Dalšími společenskovědními a humanitními obory, které dosáhly citovanosti 25 % nad světovým průměrem, jsou vzdělávání a pedagogika (1,742) a obor multidisciplinárních humanitních studií (1,379). </w:t>
      </w:r>
    </w:p>
    <w:p w:rsidR="009D46E6" w:rsidRPr="00BD5EC7" w:rsidRDefault="009D46E6" w:rsidP="00750D9B">
      <w:pPr>
        <w:pStyle w:val="Caption"/>
      </w:pPr>
      <w:bookmarkStart w:id="168" w:name="_Toc369092050"/>
      <w:r>
        <w:t xml:space="preserve">Graf </w:t>
      </w:r>
      <w:fldSimple w:instr=" STYLEREF 1 \s ">
        <w:r>
          <w:rPr>
            <w:noProof/>
          </w:rPr>
          <w:t>C</w:t>
        </w:r>
      </w:fldSimple>
      <w:r>
        <w:t>.</w:t>
      </w:r>
      <w:fldSimple w:instr=" SEQ Graf \* ARABIC \s 1 ">
        <w:r>
          <w:rPr>
            <w:noProof/>
          </w:rPr>
          <w:t>11</w:t>
        </w:r>
      </w:fldSimple>
      <w:r w:rsidRPr="00BD5EC7">
        <w:t xml:space="preserve">: </w:t>
      </w:r>
      <w:r w:rsidRPr="008B63ED">
        <w:t>Oborově normalizovaná citovanost českých publikací v letech 2008 – 2012</w:t>
      </w:r>
      <w:bookmarkEnd w:id="168"/>
    </w:p>
    <w:p w:rsidR="009D46E6" w:rsidRPr="00975888" w:rsidRDefault="009D46E6" w:rsidP="001D7F37">
      <w:pPr>
        <w:pStyle w:val="Objekt"/>
      </w:pPr>
      <w:r w:rsidRPr="001D1D98">
        <w:pict>
          <v:shape id="Graf 326" o:spid="_x0000_i1176" type="#_x0000_t75" style="width:472.8pt;height:258.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3qxJr3gAAAAUBAAAPAAAAZHJzL2Rvd25y&#10;ZXYueG1sTI9BS8NAEIXvBf/DMoK3dtOiaY3ZlCIKKkqxtnrdZMckmp1Ns5s2/ntHL3p5MLzhve+l&#10;y8E24oCdrx0pmE4iEEiFMzWVCrYvt+MFCB80Gd04QgVf6GGZnYxSnRh3pGc8bEIpOIR8ohVUIbSJ&#10;lL6o0Go/cS0Se++uszrw2ZXSdPrI4baRsyiKpdU1cUOlW7yusPjc9FbB6v5R3i3eaJ/HH+5mjf3D&#10;7ul1r9TZ6bC6AhFwCH/P8IPP6JAxU+56Ml40CnhI+FX2LuNznpEruJjOZyCzVP6nz74B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">
            <v:imagedata r:id="rId170" o:title="" croptop="-1384f" cropbottom="-640f" cropleft="-1147f" cropright="-1196f"/>
            <o:lock v:ext="edit" aspectratio="f"/>
          </v:shape>
        </w:pict>
      </w:r>
    </w:p>
    <w:p w:rsidR="009D46E6" w:rsidRPr="008B63ED" w:rsidRDefault="009D46E6" w:rsidP="00866283">
      <w:pPr>
        <w:pStyle w:val="Zdroj"/>
      </w:pPr>
      <w:r w:rsidRPr="008B63ED">
        <w:t>Pozn.: Definice Multidisciplinárních oborů viz poznámka ke grafu C.8.</w:t>
      </w:r>
    </w:p>
    <w:p w:rsidR="009D46E6" w:rsidRDefault="009D46E6" w:rsidP="00866283">
      <w:pPr>
        <w:pStyle w:val="Zdroj"/>
      </w:pPr>
      <w:r w:rsidRPr="008B63ED">
        <w:t>Zdroj: Thomson Reuters Web of Science, InCites</w:t>
      </w:r>
    </w:p>
    <w:p w:rsidR="009D46E6" w:rsidRDefault="009D46E6" w:rsidP="00866283"/>
    <w:p w:rsidR="009D46E6" w:rsidRPr="001C2288" w:rsidRDefault="009D46E6" w:rsidP="00866283">
      <w:r>
        <w:t>Nejrychleji rostoucí obory v českém VaV systému jsou uvedeny v grafu C.13. Kritériem výběru je průměrný roční růst alespoň 5 %, a nejméně 30 publikací v tříletém intervalu 2009-2011, aby byl potlačen vliv meziročních fluktuací v oborech málo zastoupených v českém VaV. V první desítce nejrychleji rostoucích oborů rostl počet publikací v průměru o více než 30 % ročně. V této skupině jsou tři medicínské obory: Gastroenterologie a hepatologie, radiační a nukleární medicína a zobrazování, transplantační medicína a medicinální chemie. S výjimkou radiační a nukleární medicíny se jedná o obory průměrně až velmi nadprůměrně (průměrná citovanost 0,99-1,55). Celkově v první desítce převládají průměrně a nadprůměrně citované obory. K výrazně rostoucím českým oborům patří i jaderné vědy a technologie, zmíněné výše. Velmi výrazně rostla v uplynulých letech publikační aktivita v několika podoborech počítačových věd (interdisciplinární aplikace: 49 %, softwarové inženýrství: 31  % a kybernetika 21 %).</w:t>
      </w:r>
    </w:p>
    <w:p w:rsidR="009D46E6" w:rsidRPr="00BD5EC7" w:rsidRDefault="009D46E6" w:rsidP="00750D9B">
      <w:pPr>
        <w:pStyle w:val="Caption"/>
      </w:pPr>
      <w:bookmarkStart w:id="169" w:name="_Toc369092051"/>
      <w:r>
        <w:t xml:space="preserve">Graf </w:t>
      </w:r>
      <w:fldSimple w:instr=" STYLEREF 1 \s ">
        <w:r>
          <w:rPr>
            <w:noProof/>
          </w:rPr>
          <w:t>C</w:t>
        </w:r>
      </w:fldSimple>
      <w:r>
        <w:t>.</w:t>
      </w:r>
      <w:fldSimple w:instr=" SEQ Graf \* ARABIC \s 1 ">
        <w:r>
          <w:rPr>
            <w:noProof/>
          </w:rPr>
          <w:t>12</w:t>
        </w:r>
      </w:fldSimple>
      <w:r w:rsidRPr="00BD5EC7">
        <w:t xml:space="preserve">: </w:t>
      </w:r>
      <w:r w:rsidRPr="008B63ED">
        <w:t xml:space="preserve">Nadprůměrně citované obory v letech 2008 - 2012 a </w:t>
      </w:r>
      <w:r>
        <w:t>český podíl na světové produkci</w:t>
      </w:r>
      <w:bookmarkEnd w:id="169"/>
    </w:p>
    <w:p w:rsidR="009D46E6" w:rsidRPr="008B63ED" w:rsidRDefault="009D46E6" w:rsidP="001D7F37">
      <w:pPr>
        <w:pStyle w:val="Objekt"/>
      </w:pPr>
      <w:r w:rsidRPr="001D1D98">
        <w:pict>
          <v:shape id="Graf 327" o:spid="_x0000_i1177" type="#_x0000_t75" style="width:472.2pt;height:544.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dRQd33AAAAAYBAAAPAAAAZHJzL2Rvd25y&#10;ZXYueG1sTI/BTsMwEETvSPyDtUjcqAMVVhLiVFCpl95SyoGbGy9JRLyOYidN+XoWLnAZaTWjmbfF&#10;ZnG9mHEMnScN96sEBFLtbUeNhuPr7i4FEaIha3pPqOGCATbl9VVhcuvPVOF8iI3gEgq50dDGOORS&#10;hrpFZ8LKD0jsffjRmcjn2Eg7mjOXu14+JImSznTEC60ZcNti/XmYnIbpZZtesr2r5vdK4dfjnt52&#10;9Vrr25vl+QlExCX+heEHn9GhZKaTn8gG0WvgR+KvspeptQJx4lCSZgpkWcj/+OU3AA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">
            <v:imagedata r:id="rId171" o:title="" croptop="-1570f" cropbottom="-1319f" cropleft="-3901f" cropright="-1766f"/>
            <o:lock v:ext="edit" aspectratio="f"/>
          </v:shape>
        </w:pict>
      </w:r>
    </w:p>
    <w:p w:rsidR="009D46E6" w:rsidRDefault="009D46E6" w:rsidP="00866283">
      <w:pPr>
        <w:pStyle w:val="Zdroj"/>
      </w:pPr>
      <w:r w:rsidRPr="00BE5904">
        <w:t xml:space="preserve">Pozn.: Kritéria výběru: Průměrná oborově </w:t>
      </w:r>
      <w:r>
        <w:t>normalizovaná citovanost větší než 1,25 a počet záznamů ve sledovaném časovém období alespoň 25. Definice Multidisciplinárních oborů viz poznámka ke grafu C.8.</w:t>
      </w:r>
    </w:p>
    <w:p w:rsidR="009D46E6" w:rsidRDefault="009D46E6" w:rsidP="00866283">
      <w:pPr>
        <w:pStyle w:val="Zdroj"/>
      </w:pPr>
      <w:r w:rsidRPr="00BD5EC7">
        <w:t>Zdroj:</w:t>
      </w:r>
      <w:r w:rsidRPr="00D838FB">
        <w:t xml:space="preserve"> Thomson Reuters Web of Science, InCites</w:t>
      </w:r>
    </w:p>
    <w:p w:rsidR="009D46E6" w:rsidRDefault="009D46E6" w:rsidP="00866283"/>
    <w:p w:rsidR="009D46E6" w:rsidRPr="00BD5EC7" w:rsidRDefault="009D46E6" w:rsidP="009B317B">
      <w:pPr>
        <w:pStyle w:val="Caption"/>
        <w:tabs>
          <w:tab w:val="clear" w:pos="1276"/>
          <w:tab w:val="left" w:pos="1134"/>
        </w:tabs>
        <w:ind w:left="1134" w:hanging="1134"/>
      </w:pPr>
      <w:bookmarkStart w:id="170" w:name="_Toc369092052"/>
      <w:r>
        <w:t xml:space="preserve">Graf </w:t>
      </w:r>
      <w:fldSimple w:instr=" STYLEREF 1 \s ">
        <w:r>
          <w:rPr>
            <w:noProof/>
          </w:rPr>
          <w:t>C</w:t>
        </w:r>
      </w:fldSimple>
      <w:r>
        <w:t>.</w:t>
      </w:r>
      <w:fldSimple w:instr=" SEQ Graf \* ARABIC \s 1 ">
        <w:r>
          <w:rPr>
            <w:noProof/>
          </w:rPr>
          <w:t>13</w:t>
        </w:r>
      </w:fldSimple>
      <w:r w:rsidRPr="00BD5EC7">
        <w:t xml:space="preserve">: </w:t>
      </w:r>
      <w:r w:rsidRPr="008B63ED">
        <w:t>Obory s nejrychleji rostoucím podílem na celkovém počtu českých publikací v letech 2010 – 2012</w:t>
      </w:r>
      <w:bookmarkEnd w:id="170"/>
    </w:p>
    <w:p w:rsidR="009D46E6" w:rsidRPr="008B63ED" w:rsidRDefault="009D46E6" w:rsidP="001D7F37">
      <w:pPr>
        <w:pStyle w:val="Objekt"/>
      </w:pPr>
      <w:r w:rsidRPr="001D1D98">
        <w:pict>
          <v:shape id="Graf 328" o:spid="_x0000_i1178" type="#_x0000_t75" style="width:472.2pt;height:595.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bx41S3gAAAAYBAAAPAAAAZHJzL2Rvd25y&#10;ZXYueG1sTI9PS8NAEMXvgt9hGcGb3bRqqDGbIlI9KBTTFtTbNjtmg/sn7G7S+O0dvejlwfAe7/2m&#10;XE3WsBFD7LwTMJ9lwNA1XnWuFbDfPVwsgcUknZLGOxTwhRFW1elJKQvlj67GcZtaRiUuFlKATqkv&#10;OI+NRivjzPfoyPvwwcpEZ2i5CvJI5dbwRZbl3MrO0YKWPd5rbD63gxXw/hx2w1Sbp9RdrV9e12/1&#10;+LjRQpyfTXe3wBJO6S8MP/iEDhUxHfzgVGRGAD2SfpW8m/wyB3ag0GJ+nQOvSv4fv/oG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">
            <v:imagedata r:id="rId172" o:title="" croptop="-844f" cropbottom="-225f" cropleft="-1696f" cropright="-876f"/>
            <o:lock v:ext="edit" aspectratio="f"/>
          </v:shape>
        </w:pict>
      </w:r>
    </w:p>
    <w:p w:rsidR="009D46E6" w:rsidRPr="008B63ED" w:rsidRDefault="009D46E6" w:rsidP="00866283">
      <w:pPr>
        <w:pStyle w:val="Zdroj"/>
      </w:pPr>
      <w:r w:rsidRPr="008B63ED">
        <w:t>Pozn.: Kritéria výběru: Počet publikací alespoň 30 v intervalu 2010-2012 a průměrný roční růst alespoň 10 %</w:t>
      </w:r>
    </w:p>
    <w:p w:rsidR="009D46E6" w:rsidRDefault="009D46E6" w:rsidP="00866283">
      <w:pPr>
        <w:pStyle w:val="Zdroj"/>
      </w:pPr>
      <w:r w:rsidRPr="008B63ED">
        <w:t>Zdroj: Thomson Reuters Web of Science, InCites</w:t>
      </w:r>
    </w:p>
    <w:p w:rsidR="009D46E6" w:rsidRDefault="009D46E6" w:rsidP="00866283"/>
    <w:p w:rsidR="009D46E6" w:rsidRDefault="009D46E6">
      <w:pPr>
        <w:spacing w:before="200" w:after="200" w:line="276" w:lineRule="auto"/>
        <w:jc w:val="left"/>
        <w:rPr>
          <w:b/>
          <w:szCs w:val="22"/>
        </w:rPr>
      </w:pPr>
      <w:r>
        <w:br w:type="page"/>
      </w:r>
    </w:p>
    <w:p w:rsidR="009D46E6" w:rsidRDefault="009D46E6" w:rsidP="003C6E2E">
      <w:pPr>
        <w:pStyle w:val="Heading3"/>
      </w:pPr>
      <w:bookmarkStart w:id="171" w:name="_Toc369091893"/>
      <w:r>
        <w:t>Relativní citační indexy a publikační aktivita podle skupin tvůrců</w:t>
      </w:r>
      <w:bookmarkEnd w:id="171"/>
    </w:p>
    <w:p w:rsidR="009D46E6" w:rsidRPr="00D938B2" w:rsidRDefault="009D46E6" w:rsidP="00866283">
      <w:r>
        <w:t>V posledních pěti sledovaných letech se zrychlil trend růstu publikační aktivity vysokých škol ve srovnání s výzkumnými institucemi AV ČR (Graf C.14). průměrný meziroční růst impaktovaných časopiseckých publikací (J</w:t>
      </w:r>
      <w:r>
        <w:rPr>
          <w:vertAlign w:val="subscript"/>
        </w:rPr>
        <w:t>imp</w:t>
      </w:r>
      <w:r>
        <w:t>) 15 % byl přibližně dvojnásobný proti AV ČR. Přibližně o 15 % meziročně rostl i počet publikací institucí mimo tyto dvě hlavní skupiny tvůrců</w:t>
      </w:r>
      <w:r w:rsidRPr="00245A72">
        <w:rPr>
          <w:rStyle w:val="FootnoteReference"/>
          <w:rFonts w:cs="MetaPro-Normal"/>
        </w:rPr>
        <w:footnoteReference w:id="39"/>
      </w:r>
      <w:r>
        <w:t>, avšak celkově z této oblasti pocházelo v roce 2011 pouze přibližně 17 % českého publikačního výstupu. Růst produkce impaktovaných publikací a jejich citovanosti jednoznačně indikuje růst významu vysokých škol v českém VaV systému. Impaktované publikace s alespoň jedním autore z AV ČR dosahovaly v průměru citovanosti přibližně 10 % nad světovým průměrem a citovanost rostla přibližně o několik procent ročně.</w:t>
      </w:r>
    </w:p>
    <w:p w:rsidR="009D46E6" w:rsidRPr="00A371FA" w:rsidRDefault="009D46E6" w:rsidP="00866283">
      <w:r>
        <w:t xml:space="preserve">V roce 2012 dále rostl (stejně jako v předcházejících letech) podíl v článků  impaktovaných periodikách. Úspěch českých publikací v mezinárodním </w:t>
      </w:r>
      <w:r w:rsidRPr="00A371FA">
        <w:rPr>
          <w:i/>
        </w:rPr>
        <w:t>peer-review</w:t>
      </w:r>
      <w:r>
        <w:rPr>
          <w:i/>
        </w:rPr>
        <w:t xml:space="preserve"> </w:t>
      </w:r>
      <w:r>
        <w:t>je rovněž indikátorem pozitivních změn v českém VaV.</w:t>
      </w:r>
    </w:p>
    <w:p w:rsidR="009D46E6" w:rsidRDefault="009D46E6" w:rsidP="00866283">
      <w:r w:rsidRPr="00F029F5">
        <w:t>Porovnávání citovanosti mezi uvedenými skupinami vyžaduje značnou opatrnost</w:t>
      </w:r>
      <w:r>
        <w:t xml:space="preserve"> a nelze z ní vyvozovat závěry o rozdílné kvalitě výzkumu v definovaných skupinách</w:t>
      </w:r>
      <w:r w:rsidRPr="00F029F5">
        <w:t>. Počty impaktovaných publikací ve jednotlivých oborových skupinách mohou být příliš nízké, což může způsobit meziroční fluktuace citovanosti a následně celkové průměry pro skupiny. Oborov</w:t>
      </w:r>
      <w:r>
        <w:t>ou</w:t>
      </w:r>
      <w:r w:rsidRPr="00F029F5">
        <w:t xml:space="preserve"> normalizac</w:t>
      </w:r>
      <w:r>
        <w:t>í</w:t>
      </w:r>
      <w:r w:rsidRPr="00F029F5">
        <w:t xml:space="preserve"> citovanosti </w:t>
      </w:r>
      <w:r>
        <w:t xml:space="preserve">jsou potlačeny </w:t>
      </w:r>
      <w:r w:rsidRPr="00F029F5">
        <w:t>rozdíly v citačních frekvencích a zvyklostech</w:t>
      </w:r>
      <w:r>
        <w:t xml:space="preserve"> oborů</w:t>
      </w:r>
      <w:r w:rsidRPr="00F029F5">
        <w:t xml:space="preserve">, </w:t>
      </w:r>
      <w:r>
        <w:t>avšak v důsledku nestejnoměrného zastoupení oborů v databázi WoS se do faktické míry reprezentace publikačních výstupů výzkumné instituce promítá oborová a tematická struktura jako</w:t>
      </w:r>
      <w:r w:rsidRPr="00F029F5">
        <w:t xml:space="preserve"> např. větší zacílení VŠ VaV směrem k</w:t>
      </w:r>
      <w:r>
        <w:t xml:space="preserve"> aplikovanému výzkumu či </w:t>
      </w:r>
      <w:r w:rsidRPr="00F029F5">
        <w:t>problematice více orientované na národní prostředí</w:t>
      </w:r>
      <w:r>
        <w:t>, což</w:t>
      </w:r>
      <w:r w:rsidRPr="00F029F5">
        <w:t xml:space="preserve"> </w:t>
      </w:r>
      <w:r>
        <w:t>vede k menší reprezentaci ve WoS. Z těchto důvodů spíše než rozdíly v citovanosti mezi jednotlivými skupinami jsou významné dlouhodobé trendy v rámci skupin, které jednoznačně dokumentují dynamiku VaV obou hlavních aktérů českého VaV.</w:t>
      </w:r>
    </w:p>
    <w:p w:rsidR="009D46E6" w:rsidRPr="00BD5EC7" w:rsidRDefault="009D46E6" w:rsidP="007C27E4">
      <w:pPr>
        <w:pStyle w:val="Caption"/>
        <w:tabs>
          <w:tab w:val="clear" w:pos="1276"/>
        </w:tabs>
        <w:ind w:left="1134" w:hanging="1134"/>
      </w:pPr>
      <w:bookmarkStart w:id="172" w:name="_Toc369092053"/>
      <w:r>
        <w:t xml:space="preserve">Graf </w:t>
      </w:r>
      <w:fldSimple w:instr=" STYLEREF 1 \s ">
        <w:r>
          <w:rPr>
            <w:noProof/>
          </w:rPr>
          <w:t>C</w:t>
        </w:r>
      </w:fldSimple>
      <w:r>
        <w:t>.</w:t>
      </w:r>
      <w:fldSimple w:instr=" SEQ Graf \* ARABIC \s 1 ">
        <w:r>
          <w:rPr>
            <w:noProof/>
          </w:rPr>
          <w:t>14</w:t>
        </w:r>
      </w:fldSimple>
      <w:r w:rsidRPr="00BD5EC7">
        <w:t xml:space="preserve">: </w:t>
      </w:r>
      <w:r w:rsidRPr="008B63ED">
        <w:t>Počet publikací vztažený k roku 2000 a oborově normalizované citační indexy vybraných skupin tvůrců</w:t>
      </w:r>
      <w:bookmarkEnd w:id="172"/>
    </w:p>
    <w:p w:rsidR="009D46E6" w:rsidRPr="003F23C5" w:rsidRDefault="009D46E6" w:rsidP="001D7F37">
      <w:pPr>
        <w:pStyle w:val="Objekt"/>
      </w:pPr>
      <w:r w:rsidRPr="001D1D98">
        <w:object w:dxaOrig="9236" w:dyaOrig="4474">
          <v:shape id="_x0000_i1179" type="#_x0000_t75" style="width:482.4pt;height:231.6pt;visibility:visible" o:ole="">
            <v:imagedata r:id="rId173" o:title="" croptop="-703f" cropbottom="-2270f" cropleft="-1632f" cropright="-1220f"/>
            <o:lock v:ext="edit" aspectratio="f"/>
          </v:shape>
          <o:OLEObject Type="Embed" ProgID="Excel.Chart.8" ShapeID="_x0000_i1179" DrawAspect="Content" ObjectID="_1443504525" r:id="rId174"/>
        </w:object>
      </w:r>
    </w:p>
    <w:p w:rsidR="009D46E6" w:rsidRPr="008B63ED" w:rsidRDefault="009D46E6" w:rsidP="00866283">
      <w:pPr>
        <w:pStyle w:val="Zdroj"/>
      </w:pPr>
      <w:r w:rsidRPr="008B63ED">
        <w:t>Pozn.: Společné publikace autorů z více skupin jsou započteny jako cela publikace každé skupině. Zdravotnická zařízení se statusem „fakultní“ jsou zařazena mezi ostatní tvůrce. V důsledku toho, že spoluautory publikací autorů z fakultních zdravotnických zařízení jsou ve většině mateřské univerzity, neovlivnilo toto třídění ani výslednou citovanost, ani počet publikací vysokých škol.</w:t>
      </w:r>
      <w:r w:rsidRPr="007C27E4">
        <w:t xml:space="preserve"> Údaje o citovanosti pro rok 2012 jsou zatíženy velkou statistickou chybou z důvodu malého počtu citaci jak českých publikací, tak i celosvětových, z nichž je odvozena oborově normalizovaná citovanost. Vypočtený nárůst citovanosti na téměř 150 % světového průměru neindikuje skokový růst kvality českého VaV.</w:t>
      </w:r>
    </w:p>
    <w:p w:rsidR="009D46E6" w:rsidRDefault="009D46E6" w:rsidP="00866283">
      <w:pPr>
        <w:pStyle w:val="Zdroj"/>
      </w:pPr>
      <w:r w:rsidRPr="008B63ED">
        <w:t>Zdroj: Thomson Reuters Web of Science, InCites</w:t>
      </w:r>
    </w:p>
    <w:p w:rsidR="009D46E6" w:rsidRDefault="009D46E6" w:rsidP="00866283"/>
    <w:p w:rsidR="009D46E6" w:rsidRDefault="009D46E6">
      <w:pPr>
        <w:spacing w:before="200" w:after="200" w:line="276" w:lineRule="auto"/>
        <w:jc w:val="left"/>
        <w:rPr>
          <w:b/>
          <w:sz w:val="24"/>
          <w:szCs w:val="22"/>
        </w:rPr>
      </w:pPr>
      <w:r>
        <w:br w:type="page"/>
      </w:r>
    </w:p>
    <w:p w:rsidR="009D46E6" w:rsidRDefault="009D46E6" w:rsidP="00866283">
      <w:pPr>
        <w:pStyle w:val="Heading2"/>
      </w:pPr>
      <w:bookmarkStart w:id="173" w:name="_Toc369091894"/>
      <w:r>
        <w:t>Patenty, užitné vzory a jejich licencování</w:t>
      </w:r>
      <w:bookmarkEnd w:id="173"/>
    </w:p>
    <w:p w:rsidR="009D46E6" w:rsidRDefault="009D46E6" w:rsidP="008D5057">
      <w:r>
        <w:t xml:space="preserve">Stejně jako existují na jedné straně statistické ukazatele měřící vstupy v oblasti vědy a techniky (finanční prostředky a lidské zdroje v oblasti výzkumu, vývoje a inovací - Kapitola A a B), existují také ukazatele vlastní produkce nových znalostí ve formě výstupů použitelných v praktických aplikacích, které mohou být chráněny prostřednictvím průmyslového nebo duševního vlastnictví (např. udělením patentu nebo zapsáním užitného vzoru). </w:t>
      </w:r>
      <w:r w:rsidRPr="00E53717">
        <w:t>K</w:t>
      </w:r>
      <w:r>
        <w:t>e</w:t>
      </w:r>
      <w:r w:rsidRPr="00E53717">
        <w:t xml:space="preserve"> komercializac</w:t>
      </w:r>
      <w:r>
        <w:t>i</w:t>
      </w:r>
      <w:r w:rsidRPr="00E53717">
        <w:t xml:space="preserve"> průmyslového práva a duševního vlastnictví </w:t>
      </w:r>
      <w:r>
        <w:t xml:space="preserve">dochází nejčastěji prostřednictvím institutu licence, tj. poskytnutí práva </w:t>
      </w:r>
      <w:r w:rsidRPr="00E53717">
        <w:t xml:space="preserve">dočasně užívat produkty </w:t>
      </w:r>
      <w:r>
        <w:t xml:space="preserve">VaV chráněné </w:t>
      </w:r>
      <w:r w:rsidRPr="00E53717">
        <w:t>předmět</w:t>
      </w:r>
      <w:r>
        <w:t>y</w:t>
      </w:r>
      <w:r w:rsidRPr="00E53717">
        <w:t xml:space="preserve"> průmyslov</w:t>
      </w:r>
      <w:r>
        <w:t xml:space="preserve">ého vlastnictví jako jsou </w:t>
      </w:r>
      <w:r w:rsidRPr="00E53717">
        <w:t>např. patent</w:t>
      </w:r>
      <w:r>
        <w:t>y</w:t>
      </w:r>
      <w:r w:rsidRPr="00E53717">
        <w:t>, průmyslov</w:t>
      </w:r>
      <w:r>
        <w:t xml:space="preserve">é nebo </w:t>
      </w:r>
      <w:r w:rsidRPr="00E53717">
        <w:t>užitn</w:t>
      </w:r>
      <w:r>
        <w:t xml:space="preserve">é </w:t>
      </w:r>
      <w:r w:rsidRPr="00E53717">
        <w:t>vzor</w:t>
      </w:r>
      <w:r>
        <w:t>y</w:t>
      </w:r>
      <w:r w:rsidRPr="00E53717">
        <w:t>, výrobně technick</w:t>
      </w:r>
      <w:r>
        <w:t>é</w:t>
      </w:r>
      <w:r w:rsidRPr="00E53717">
        <w:t xml:space="preserve"> poznatk</w:t>
      </w:r>
      <w:r>
        <w:t>y</w:t>
      </w:r>
      <w:r w:rsidRPr="00E53717">
        <w:t xml:space="preserve"> a postup</w:t>
      </w:r>
      <w:r>
        <w:t>y</w:t>
      </w:r>
      <w:r w:rsidRPr="00E53717">
        <w:t xml:space="preserve"> (know-how) a ostatní nehmotn</w:t>
      </w:r>
      <w:r>
        <w:t>é</w:t>
      </w:r>
      <w:r w:rsidRPr="00E53717">
        <w:t xml:space="preserve"> výsledk</w:t>
      </w:r>
      <w:r>
        <w:t>y</w:t>
      </w:r>
      <w:r w:rsidRPr="00E53717">
        <w:t xml:space="preserve"> </w:t>
      </w:r>
      <w:r>
        <w:t>VaV</w:t>
      </w:r>
      <w:r w:rsidRPr="00E53717">
        <w:t xml:space="preserve"> činnosti.</w:t>
      </w:r>
      <w:r>
        <w:t xml:space="preserve"> </w:t>
      </w:r>
    </w:p>
    <w:p w:rsidR="009D46E6" w:rsidRPr="008D5057" w:rsidRDefault="009D46E6" w:rsidP="003C6E2E">
      <w:pPr>
        <w:spacing w:before="240"/>
        <w:rPr>
          <w:rStyle w:val="Heading3Char"/>
          <w:lang w:eastAsia="en-US"/>
        </w:rPr>
      </w:pPr>
      <w:bookmarkStart w:id="174" w:name="_Toc369091895"/>
      <w:r w:rsidRPr="008D5057">
        <w:rPr>
          <w:rStyle w:val="Heading3Char"/>
          <w:lang w:eastAsia="en-US"/>
        </w:rPr>
        <w:t>Patentová aktivita tuzemských subjektů v ČR</w:t>
      </w:r>
      <w:bookmarkEnd w:id="174"/>
      <w:r w:rsidRPr="008D5057">
        <w:rPr>
          <w:rStyle w:val="Heading3Char"/>
          <w:lang w:eastAsia="en-US"/>
        </w:rPr>
        <w:t xml:space="preserve"> </w:t>
      </w:r>
    </w:p>
    <w:p w:rsidR="009D46E6" w:rsidRDefault="009D46E6" w:rsidP="00546662">
      <w:r w:rsidRPr="00AF69AA">
        <w:t xml:space="preserve">Patentové údaje přináší informace o výsledcích výzkumné, vývojové a inovační činnosti ve vybraných oblastech techniky, šíření vědeckých znalostí a o ekonomické atraktivitě sledovaného území. Např. počty podaných patentových přihlášek tuzemskými subjekty u ÚPV ČR mohou vypovídat spolu s dalšími ukazateli nejen o stavu výzkumu, vývoje, inovací a průmyslu v České republice, ale i o trendech a konkurenceschopnosti v jednotlivých oborech a oblastech techniky včetně jejich budoucnosti. </w:t>
      </w:r>
    </w:p>
    <w:p w:rsidR="009D46E6" w:rsidRDefault="009D46E6" w:rsidP="00546662">
      <w:r>
        <w:t>Ze statistických údajů o počtu podaných přihlášek vynálezů, udělených patentech</w:t>
      </w:r>
      <w:r>
        <w:rPr>
          <w:b/>
        </w:rPr>
        <w:t xml:space="preserve"> </w:t>
      </w:r>
      <w:r w:rsidRPr="00E06F3C">
        <w:t>a užitných vzorech</w:t>
      </w:r>
      <w:r>
        <w:t xml:space="preserve"> tuzemským subjektům v České republice plyne, že postupně dochází k nárůstu patentové aktivity u subjektů působících v ČR. </w:t>
      </w:r>
      <w:r w:rsidRPr="0004758E">
        <w:t>Otázkou zůstává, jestli jde o postupn</w:t>
      </w:r>
      <w:r>
        <w:t>é</w:t>
      </w:r>
      <w:r w:rsidRPr="0004758E">
        <w:t xml:space="preserve"> uvědomování si významu </w:t>
      </w:r>
      <w:r>
        <w:t xml:space="preserve">průmyslové ochrany </w:t>
      </w:r>
      <w:r w:rsidRPr="0004758E">
        <w:t>pro úspěch v podn</w:t>
      </w:r>
      <w:r>
        <w:t>ikání v podnikatelském sektoru,</w:t>
      </w:r>
      <w:r w:rsidRPr="0004758E">
        <w:t xml:space="preserve"> zvýšené výzkumné a vývojové aktivity </w:t>
      </w:r>
      <w:r>
        <w:t xml:space="preserve">a její kvality </w:t>
      </w:r>
      <w:r w:rsidRPr="0004758E">
        <w:t>ve vládním a vysokoškolském sektoru nebo jde</w:t>
      </w:r>
      <w:r>
        <w:t xml:space="preserve">, </w:t>
      </w:r>
      <w:r w:rsidRPr="0004758E">
        <w:t xml:space="preserve">především </w:t>
      </w:r>
      <w:r>
        <w:t xml:space="preserve">v případě </w:t>
      </w:r>
      <w:r w:rsidRPr="0004758E">
        <w:t>vysokých škol</w:t>
      </w:r>
      <w:r>
        <w:t>,</w:t>
      </w:r>
      <w:r w:rsidRPr="0004758E">
        <w:t xml:space="preserve"> spíše o důsledek změny v systému hodnocení VaV a jeho financování ze </w:t>
      </w:r>
      <w:r>
        <w:t>s</w:t>
      </w:r>
      <w:r w:rsidRPr="0004758E">
        <w:t>tátního rozpočtu České republiky.</w:t>
      </w:r>
    </w:p>
    <w:p w:rsidR="009D46E6" w:rsidRPr="00786253" w:rsidRDefault="009D46E6" w:rsidP="00786253"/>
    <w:p w:rsidR="009D46E6" w:rsidRPr="003C6E2E" w:rsidRDefault="009D46E6" w:rsidP="00786253">
      <w:pPr>
        <w:pStyle w:val="Heading4"/>
      </w:pPr>
      <w:r w:rsidRPr="003C6E2E">
        <w:t>Podané patentové přihlášky a udělené patenty v ČR tuzemským subjektům – základní údaje</w:t>
      </w:r>
    </w:p>
    <w:p w:rsidR="009D46E6" w:rsidRDefault="009D46E6" w:rsidP="00546662">
      <w:r>
        <w:t>Přihlašovatelé z ČR podali u ÚPV ČR v roce 2012 celkem 867 přihlášek vynálezů, tj. o 85 (11%) více než v roce předchozím a o 156 (22 %) více než před pěti lety. I v případě udělených patentů byl zaznamenán výrazný meziroční nárůst, kdy p</w:t>
      </w:r>
      <w:r w:rsidRPr="00E46419">
        <w:t>řihlašovatelům z České republiky bylo v roce 2012 uděleno či validováno ÚPV ČR celkem 423 patentů, tj. o čtvrtinu více než v roce předchozím.</w:t>
      </w:r>
      <w:r w:rsidRPr="00A07045">
        <w:rPr>
          <w:rStyle w:val="FootnoteReference"/>
          <w:rFonts w:cs="MetaPro-Normal"/>
        </w:rPr>
        <w:footnoteReference w:id="40"/>
      </w:r>
      <w:r>
        <w:rPr>
          <w:b/>
        </w:rPr>
        <w:t xml:space="preserve"> </w:t>
      </w:r>
      <w:r w:rsidRPr="00E46419">
        <w:t xml:space="preserve">   </w:t>
      </w:r>
    </w:p>
    <w:p w:rsidR="009D46E6" w:rsidRDefault="009D46E6" w:rsidP="00750D9B">
      <w:pPr>
        <w:pStyle w:val="Caption"/>
      </w:pPr>
      <w:bookmarkStart w:id="175" w:name="_Toc369092054"/>
      <w:r>
        <w:t>Graf C.</w:t>
      </w:r>
      <w:fldSimple w:instr=" SEQ Graf \* ARABIC \s 1 ">
        <w:r>
          <w:rPr>
            <w:noProof/>
          </w:rPr>
          <w:t>15</w:t>
        </w:r>
      </w:fldSimple>
      <w:r>
        <w:t>: Patentová aktivita tuzemských subjektů v ČR (počet a struktura)</w:t>
      </w:r>
      <w:bookmarkEnd w:id="175"/>
    </w:p>
    <w:p w:rsidR="009D46E6" w:rsidRPr="00786253" w:rsidRDefault="009D46E6" w:rsidP="00786253">
      <w:r w:rsidRPr="00786253">
        <w:tab/>
      </w:r>
      <w:r>
        <w:tab/>
      </w:r>
      <w:r w:rsidRPr="00786253">
        <w:t>a) Podané patentové přihlášky u ÚPV ČR</w:t>
      </w:r>
    </w:p>
    <w:p w:rsidR="009D46E6" w:rsidRDefault="009D46E6" w:rsidP="001D7F37">
      <w:pPr>
        <w:pStyle w:val="Objekt"/>
      </w:pPr>
      <w:r w:rsidRPr="0064299D">
        <w:t xml:space="preserve"> </w:t>
      </w:r>
      <w:r w:rsidRPr="001D1D98">
        <w:pict>
          <v:shape id="Graf 240" o:spid="_x0000_i1180" type="#_x0000_t75" style="width:317.4pt;height:140.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Gj6fc3QAAAAUBAAAPAAAAZHJzL2Rvd25y&#10;ZXYueG1sTI9BS8NAEIXvgv9hGcGb3TSVUGI2RQpWEQ+2FfS4zY7ZYHY2ZDft9t87etHLg+EN732v&#10;WiXXiyOOofOkYD7LQCA13nTUKnjbP9wsQYSoyejeEyo4Y4BVfXlR6dL4E23xuIut4BAKpVZgYxxK&#10;KUNj0ekw8wMSe59+dDryObbSjPrE4a6XeZYV0umOuMHqAdcWm6/d5BRsPsKUzuunvd0URereX8Pz&#10;/PFFqeurdH8HImKKf8/wg8/oUDPTwU9kgugV8JD4q+wVi1uecVCQLxc5yLqS/+nrbw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">
            <v:imagedata r:id="rId175" o:title="" croptop="-2120f" cropbottom="-2194f" cropleft="-317f" cropright="-3610f"/>
            <o:lock v:ext="edit" aspectratio="f"/>
          </v:shape>
        </w:pict>
      </w:r>
      <w:r w:rsidRPr="001D1D98">
        <w:pict>
          <v:shape id="Graf 241" o:spid="_x0000_i1181" type="#_x0000_t75" style="width:156pt;height:141.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">
            <v:imagedata r:id="rId176" o:title="" croptop="-2159f" cropbottom="-3439f" cropleft="-7993f" cropright="-642f"/>
            <o:lock v:ext="edit" aspectratio="f"/>
          </v:shape>
        </w:pict>
      </w:r>
    </w:p>
    <w:p w:rsidR="009D46E6" w:rsidRDefault="009D46E6">
      <w:pPr>
        <w:spacing w:before="200" w:after="200" w:line="276" w:lineRule="auto"/>
        <w:jc w:val="left"/>
      </w:pPr>
      <w:r>
        <w:br w:type="page"/>
      </w:r>
    </w:p>
    <w:p w:rsidR="009D46E6" w:rsidRPr="00786253" w:rsidRDefault="009D46E6" w:rsidP="00786253">
      <w:r w:rsidRPr="00786253">
        <w:tab/>
      </w:r>
      <w:r>
        <w:tab/>
      </w:r>
      <w:r w:rsidRPr="00786253">
        <w:t xml:space="preserve">b) Udělené nebo validované patenty ÚPV ČR   </w:t>
      </w:r>
    </w:p>
    <w:p w:rsidR="009D46E6" w:rsidRDefault="009D46E6" w:rsidP="001D7F37">
      <w:pPr>
        <w:pStyle w:val="Objekt"/>
      </w:pPr>
      <w:r w:rsidRPr="0064299D">
        <w:t xml:space="preserve"> </w:t>
      </w:r>
      <w:r w:rsidRPr="001D1D98">
        <w:pict>
          <v:shape id="Graf 242" o:spid="_x0000_i1182" type="#_x0000_t75" style="width:317.4pt;height:140.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KuKea3gAAAAUBAAAPAAAAZHJzL2Rvd25y&#10;ZXYueG1sTI9PS8NAEMXvgt9hGcGLtBtTCTVmU1RQeyhIWwWPk+yYBPdPyG7a6Kd39KKXB8Mb3vu9&#10;YjVZIw40hM47BZfzBAS52uvONQpe9g+zJYgQ0Wk03pGCTwqwKk9PCsy1P7otHXaxERziQo4K2hj7&#10;XMpQt2QxzH1Pjr13P1iMfA6N1AMeOdwamSZJJi12jhta7Om+pfpjN1oFb4/X6x6zp4t0o7dfz+vq&#10;le5Go9T52XR7AyLSFP+e4Qef0aFkpsqPTgdhFPCQ+KvsZYsrnlEpSJeLFGRZyP/05TcA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">
            <v:imagedata r:id="rId177" o:title="" croptop="-2120f" cropbottom="-2194f" cropleft="-954f" cropright="-3984f"/>
            <o:lock v:ext="edit" aspectratio="f"/>
          </v:shape>
        </w:pict>
      </w:r>
      <w:r w:rsidRPr="001D1D98">
        <w:pict>
          <v:shape id="Graf 243" o:spid="_x0000_i1183" type="#_x0000_t75" style="width:156pt;height:141.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svk4/2wAAAAUBAAAPAAAAZHJzL2Rvd25y&#10;ZXYueG1sTI9Ba8JAEIXvgv9hmYIXqRsjSEizES30INKDWu9rdpqkzc6G3Y2m/77TXtrLwOMN732v&#10;2Iy2Ezf0oXWkYLlIQCBVzrRUK3g7vzxmIELUZHTnCBV8YYBNOZ0UOjfuTke8nWItOIRCrhU0Mfa5&#10;lKFq0OqwcD0Se+/OWx1Z+loar+8cbjuZJslaWt0SNzS6x+cGq8/TYLl3uz9f6GN/8QHlYZ3thuOr&#10;mys1exi3TyAijvHvGX7wGR1KZrq6gUwQnQIeEn8ve6tlyvKqIM1WKciykP/py28A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">
            <v:imagedata r:id="rId178" o:title="" croptop="-2159f" cropbottom="-3439f" cropleft="-7993f" cropright="-642f"/>
            <o:lock v:ext="edit" aspectratio="f"/>
          </v:shape>
        </w:pict>
      </w:r>
    </w:p>
    <w:p w:rsidR="009D46E6" w:rsidRDefault="009D46E6" w:rsidP="00546662">
      <w:pPr>
        <w:pStyle w:val="Zdroj"/>
      </w:pPr>
      <w:r>
        <w:t>Poznámka: VŠ – veřejná vysoká škola; VVI – veřejná výzkumná instituce;  FO – podnikající nebo nepodnikající fyzická osoba</w:t>
      </w:r>
    </w:p>
    <w:p w:rsidR="009D46E6" w:rsidRDefault="009D46E6" w:rsidP="00546662">
      <w:pPr>
        <w:pStyle w:val="Zdroj"/>
      </w:pPr>
      <w:r>
        <w:t>Zdroj: ČSÚ 2013 podle údajů ÚPV ČR a vlastních dopočtů</w:t>
      </w:r>
    </w:p>
    <w:p w:rsidR="009D46E6" w:rsidRDefault="009D46E6" w:rsidP="00546662"/>
    <w:p w:rsidR="009D46E6" w:rsidRDefault="009D46E6" w:rsidP="00546662">
      <w:r>
        <w:t>V roce 2012 došlo k výraznému, pětinovému, meziročnímu nárůstu počtu vynálezů podaných k patentové ochraně především ze strany tuzemských podniků, které podaly v tomto roce 378 přihlášek, tj. nejvíce od roku 1995, kdy má ČSÚ tyto údaje k dispozici v podrobném členění. Ještě větší nárůst, více než třetinový, byl zaznamenán u počtu patentů udělených podnikům. Naopak</w:t>
      </w:r>
      <w:r w:rsidRPr="000338B1">
        <w:t xml:space="preserve"> v čase výrazně klesá podíl fyzických osob </w:t>
      </w:r>
      <w:r>
        <w:t xml:space="preserve">jak </w:t>
      </w:r>
      <w:r w:rsidRPr="000338B1">
        <w:t>na počtu podaných přihlášek vynálezů u ÚPV ČR</w:t>
      </w:r>
      <w:r>
        <w:t>, tak i v případě udělených patentů.</w:t>
      </w:r>
      <w:r w:rsidRPr="0095517C">
        <w:rPr>
          <w:rStyle w:val="FootnoteReference"/>
          <w:rFonts w:cs="MetaPro-Normal"/>
        </w:rPr>
        <w:t xml:space="preserve"> </w:t>
      </w:r>
    </w:p>
    <w:p w:rsidR="009D46E6" w:rsidRDefault="009D46E6" w:rsidP="00546662">
      <w:r>
        <w:t>V delším časovém horizontu zaznamenáváme výrazný nárůst v oblasti patentové aktivity především ze strany českých veřejných vysokých škol (dále jen VVŠ). Zatímco ještě v roce 2007 se VVŠ podílely z 10 % na tuzemských patentových přihláškách (v roce 2000 to byl pouze 2 %), tak v roce 2012 byl jejich podíl téměř čtvrtinový. Na rozdíl od VVŠ, v posledních letech již nedochází k výraznému nárůstu počtu podaných patentových přihlášek ze strany veřejných výzkumných institucí (dále jen VVI). Jestliže ještě v roce 2005 podaly VVI více patentových přihlášek než VVŠ tak v roce 2012 dosáhl jejich počet pouze třetiny počtu podaných přihlášek ze strany VVŠ. V případě udělených patentů jich sice v roce 2012 stále patřilo nejvíce podnikům (169), ale na druhém místě byly již VVŠ. Nárůst udělených patentů VVŠ je důsledkem stále vyššího počtu přihlášek podávaných k patentovému řízení ze strany těchto subjektů v posledních letech.</w:t>
      </w:r>
      <w:r w:rsidRPr="0095517C">
        <w:rPr>
          <w:rStyle w:val="FootnoteReference"/>
          <w:rFonts w:cs="MetaPro-Normal"/>
        </w:rPr>
        <w:t xml:space="preserve"> </w:t>
      </w:r>
      <w:r>
        <w:rPr>
          <w:rStyle w:val="FootnoteReference"/>
          <w:rFonts w:cs="MetaPro-Normal"/>
        </w:rPr>
        <w:footnoteReference w:id="41"/>
      </w:r>
      <w:r>
        <w:t xml:space="preserve"> </w:t>
      </w:r>
    </w:p>
    <w:p w:rsidR="009D46E6" w:rsidRDefault="009D46E6" w:rsidP="00546662">
      <w:r>
        <w:t xml:space="preserve">Z téměř 2 tisíc patentových přihlášek podaných podniky v letech 2007 až 2012 u ÚPV ČR, jich dvě třetiny pocházela od domácích firem a třetina od firem pod zahraniční kontrolou. V případě udělených patentů byl podíl domácích firem o 10 procentních bodů nižší. </w:t>
      </w:r>
      <w:r w:rsidRPr="00F350FC">
        <w:t>Z hlediska odvětvového bylo nejvíce přihlášek vynálezů v tomto období podáno ve strojírenském (224), automobilovém (190) a farmaceutickém (158) průmyslu. V roce 2012 podalo u ÚPV ČR alespoň jednu patentovou přihlášku 226 tuzemských firem a patent byl udělen 118 firmám.</w:t>
      </w:r>
      <w:r>
        <w:t xml:space="preserve"> Nejvíce patentových přihlášek podávají již od roku 2005 v ČR firmy </w:t>
      </w:r>
      <w:r w:rsidRPr="00165D2C">
        <w:t xml:space="preserve">Zentiva Group, a.s. </w:t>
      </w:r>
      <w:r w:rsidRPr="00C64C02">
        <w:t>a Škoda Auto a.s.</w:t>
      </w:r>
      <w:r>
        <w:t xml:space="preserve">, které např. v roce 2012 podaly k patentovému řízení u ÚPV ČR 34 resp. 26 přihlášek vynálezů. </w:t>
      </w:r>
      <w:r w:rsidRPr="008D5D66">
        <w:t xml:space="preserve">Za posledních </w:t>
      </w:r>
      <w:r>
        <w:t>6</w:t>
      </w:r>
      <w:r w:rsidRPr="008D5D66">
        <w:t xml:space="preserve"> let pak bylo oběma subjekty podáno cca 1</w:t>
      </w:r>
      <w:r>
        <w:t>3</w:t>
      </w:r>
      <w:r w:rsidRPr="008D5D66">
        <w:t>0 patentových přihlášek</w:t>
      </w:r>
      <w:r>
        <w:t xml:space="preserve"> a bylo jim uděleno 92, resp. 44 patentů.   </w:t>
      </w:r>
    </w:p>
    <w:p w:rsidR="009D46E6" w:rsidRDefault="009D46E6" w:rsidP="00546662">
      <w:r>
        <w:t xml:space="preserve">Celkem v roce 2012 podalo patentovou přihlášku 17 z 26 veřejných a státních vysokých škol (v roce 2007 to bylo 13 a v roce 2000 pak pouze 3 VVŠ). </w:t>
      </w:r>
      <w:r w:rsidRPr="00056CA3">
        <w:t>I když je České vysoké učení technické v</w:t>
      </w:r>
      <w:r>
        <w:t> </w:t>
      </w:r>
      <w:r w:rsidRPr="00056CA3">
        <w:t>Praze</w:t>
      </w:r>
      <w:r>
        <w:t xml:space="preserve"> (dále jen ČVUT)</w:t>
      </w:r>
      <w:r w:rsidRPr="00056CA3">
        <w:t xml:space="preserve"> v rámci </w:t>
      </w:r>
      <w:r>
        <w:t xml:space="preserve">VVŠ </w:t>
      </w:r>
      <w:r w:rsidRPr="00056CA3">
        <w:t>subjekt</w:t>
      </w:r>
      <w:r>
        <w:t>em</w:t>
      </w:r>
      <w:r w:rsidRPr="00056CA3">
        <w:t xml:space="preserve"> s nejvyšší patentovou aktivitou </w:t>
      </w:r>
      <w:r>
        <w:t xml:space="preserve">již </w:t>
      </w:r>
      <w:r w:rsidRPr="00056CA3">
        <w:t xml:space="preserve">od roku 1995, jeho podíl na udělených patentech vysokým školám v čase klesá. </w:t>
      </w:r>
      <w:r>
        <w:t xml:space="preserve">Pokud jde o podané patentové přihlášky, téměř čtvrtina, tj. 218 patentových přihlášek v sledovaném období (2007 až 2012) pocházela od výše zmíněného ČVUT v Praze, po cca deseti procentech si pak připsaly další čtyři technické univerzity: VŠB-TU v Ostravě (107 přihlášek), Vysoké učení technické v Brně (97), Technická univerzita v Liberci (94) a VŠCHT v Praze (81). </w:t>
      </w:r>
    </w:p>
    <w:p w:rsidR="009D46E6" w:rsidRDefault="009D46E6" w:rsidP="00546662">
      <w:r>
        <w:t xml:space="preserve">V roce 2012 podalo patentovou přihlášku celkem 29 VVI ze 73 oproti 24 v roce 2007. Přestože v rámci VVI připadala v letech 2007 až 2012 více jak polovina přihlášek vynálezů na ústavy AV ČR, tak v posledních třech letech jich podávají více resortní veřejné výzkumné instituce. Jde především o </w:t>
      </w:r>
      <w:r w:rsidRPr="00F24E07">
        <w:t>Výzkumný ústav živočišné výroby</w:t>
      </w:r>
      <w:r>
        <w:t xml:space="preserve">, </w:t>
      </w:r>
      <w:r w:rsidRPr="00F24E07">
        <w:t>Výzkumný ústav potravinářský Praha a Výzkumný ústav rostlinné výroby</w:t>
      </w:r>
      <w:r>
        <w:t>, tj. tři resortní VVI</w:t>
      </w:r>
      <w:r w:rsidRPr="00F24E07">
        <w:t xml:space="preserve"> z oblasti potravinářství, rostlinné a živočišné výroby</w:t>
      </w:r>
      <w:r>
        <w:t xml:space="preserve">. Naopak u udělených patentů ústavy AV ČR stále výrazně dominují. V letech 2007 až 2012 více jak dvě třetiny z udělených patentů VVI patřilo právě ústavům AV ČR. Šlo především o </w:t>
      </w:r>
      <w:r w:rsidRPr="00F24E07">
        <w:t>Ústav organické chemie a biochemie s 22 udělenými patenty</w:t>
      </w:r>
      <w:r>
        <w:t xml:space="preserve"> v tomto období </w:t>
      </w:r>
      <w:r w:rsidRPr="00F24E07">
        <w:t xml:space="preserve">a </w:t>
      </w:r>
      <w:r>
        <w:t xml:space="preserve">o </w:t>
      </w:r>
      <w:r w:rsidRPr="00F24E07">
        <w:t xml:space="preserve">Mikrobiologický ústav a Ústav chemických procesů </w:t>
      </w:r>
      <w:r>
        <w:t>v obou případech s 15 udělenými patenty</w:t>
      </w:r>
      <w:r w:rsidRPr="00F24E07">
        <w:t>.</w:t>
      </w:r>
    </w:p>
    <w:p w:rsidR="009D46E6" w:rsidRPr="003C6E2E" w:rsidRDefault="009D46E6" w:rsidP="00786253">
      <w:pPr>
        <w:pStyle w:val="Heading4"/>
      </w:pPr>
      <w:r w:rsidRPr="003C6E2E">
        <w:t>Patenty platné k 31.12.2012 pro území ČR patřící tuzemským subjektům</w:t>
      </w:r>
    </w:p>
    <w:p w:rsidR="009D46E6" w:rsidRDefault="009D46E6" w:rsidP="00546662">
      <w:r>
        <w:t xml:space="preserve">Udělený patent může poskytovat na vynález právní ochranu až po dobu dvaceti let pokud jsou hrazeny udržovací poplatky. Za posledních dvacet let, tj. od roku 1993 bylo uděleno tuzemským přihlašovatelům ÚPV ČR celkem 6 556 patentů, ale k 31.12.2012 jich </w:t>
      </w:r>
      <w:r w:rsidRPr="00A4112F">
        <w:t>byl</w:t>
      </w:r>
      <w:r>
        <w:t>a</w:t>
      </w:r>
      <w:r w:rsidRPr="00A4112F">
        <w:t xml:space="preserve"> evidován</w:t>
      </w:r>
      <w:r>
        <w:t>a</w:t>
      </w:r>
      <w:r w:rsidRPr="00A4112F">
        <w:t>, jako stále platn</w:t>
      </w:r>
      <w:r>
        <w:t>á</w:t>
      </w:r>
      <w:r w:rsidRPr="00A4112F">
        <w:t xml:space="preserve">, </w:t>
      </w:r>
      <w:r>
        <w:t>pouze třetina z nich (2 200 patentů)</w:t>
      </w:r>
      <w:r w:rsidRPr="00A4112F">
        <w:t xml:space="preserve">. </w:t>
      </w:r>
      <w:r>
        <w:t xml:space="preserve">S tím jako roste počet podaných patentových přihlášek a udělených patentů VVŠ, tak roste i zastoupení tohoto typu přihlašovatele na platných patentech v ČR. </w:t>
      </w:r>
    </w:p>
    <w:p w:rsidR="009D46E6" w:rsidRDefault="009D46E6" w:rsidP="00750D9B">
      <w:pPr>
        <w:pStyle w:val="Caption"/>
      </w:pPr>
      <w:bookmarkStart w:id="176" w:name="_Toc369092055"/>
      <w:r>
        <w:t>Graf C.</w:t>
      </w:r>
      <w:fldSimple w:instr=" SEQ Graf \* ARABIC \s 1 ">
        <w:r>
          <w:rPr>
            <w:noProof/>
          </w:rPr>
          <w:t>16</w:t>
        </w:r>
      </w:fldSimple>
      <w:r>
        <w:t xml:space="preserve">: </w:t>
      </w:r>
      <w:r w:rsidRPr="00072FDA">
        <w:t>Platné patenty v ČR k 31.12</w:t>
      </w:r>
      <w:r>
        <w:t>.</w:t>
      </w:r>
      <w:r w:rsidRPr="00072FDA">
        <w:t xml:space="preserve"> patřící tuzemským subjektům (počet a struktura)</w:t>
      </w:r>
      <w:bookmarkEnd w:id="176"/>
    </w:p>
    <w:p w:rsidR="009D46E6" w:rsidRDefault="009D46E6" w:rsidP="001D7F37">
      <w:pPr>
        <w:pStyle w:val="Objekt"/>
      </w:pPr>
      <w:r w:rsidRPr="00EB7DE5">
        <w:t xml:space="preserve"> </w:t>
      </w:r>
      <w:r w:rsidRPr="00E80247">
        <w:t xml:space="preserve"> </w:t>
      </w:r>
      <w:r w:rsidRPr="00602B8B">
        <w:t xml:space="preserve"> </w:t>
      </w:r>
      <w:r>
        <w:t xml:space="preserve">  </w:t>
      </w:r>
      <w:r w:rsidRPr="001D1D98">
        <w:pict>
          <v:shape id="Graf 244" o:spid="_x0000_i1184" type="#_x0000_t75" style="width:255pt;height:166.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">
            <v:imagedata r:id="rId179" o:title="" croptop="-2806f" cropbottom="-2889f" cropleft="-793f" cropright="-3474f"/>
            <o:lock v:ext="edit" aspectratio="f"/>
          </v:shape>
        </w:pict>
      </w:r>
      <w:r w:rsidRPr="001D1D98">
        <w:pict>
          <v:shape id="Graf 245" o:spid="_x0000_i1185" type="#_x0000_t75" style="width:195.6pt;height:166.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Frjrx3AAAAAUBAAAPAAAAZHJzL2Rvd25y&#10;ZXYueG1sTI9PS8NAEMXvgt9hGcGb3aQtxcRsigg9CF6sRXLcZid/6O5szG6b+O0dvdjL8IY3vPeb&#10;Yjs7Ky44ht6TgnSRgECqvempVXD42D08gghRk9HWEyr4xgDb8vam0LnxE73jZR9bwSEUcq2gi3HI&#10;pQx1h06HhR+Q2Gv86HTkdWylGfXE4c7KZZJspNM9cUOnB3zpsD7tz05BdWiq6tN+7Zr1nGav08nL&#10;+m2t1P3d/PwEIuIc/4/hF5/RoWSmoz+TCcIq4Efi32RvlaVLEEcWq2wDsizkNX35Aw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">
            <v:imagedata r:id="rId180" o:title="" croptop="-2453f" cropbottom="-4565f" cropleft="-7905f" cropright="-3295f"/>
            <o:lock v:ext="edit" aspectratio="f"/>
          </v:shape>
        </w:pict>
      </w:r>
    </w:p>
    <w:p w:rsidR="009D46E6" w:rsidRDefault="009D46E6" w:rsidP="00546662">
      <w:pPr>
        <w:pStyle w:val="Zdroj"/>
      </w:pPr>
      <w:r>
        <w:t>Poznámka: VŠ – veřejná vysoká škola; VVI – veřejná výzkumná instituce;  FO – podnikající nebo nepodnikající fyzická osoba</w:t>
      </w:r>
    </w:p>
    <w:p w:rsidR="009D46E6" w:rsidRDefault="009D46E6" w:rsidP="00546662">
      <w:pPr>
        <w:pStyle w:val="Zdroj"/>
      </w:pPr>
      <w:r>
        <w:t>Zdroj: ČSÚ 2013 podle údajů ÚPV ČR a vlastních dopočtů</w:t>
      </w:r>
    </w:p>
    <w:p w:rsidR="009D46E6" w:rsidRDefault="009D46E6" w:rsidP="00546662"/>
    <w:p w:rsidR="009D46E6" w:rsidRDefault="009D46E6" w:rsidP="00546662">
      <w:r>
        <w:t xml:space="preserve">Z 245 platných patentů VVI patřily tři čtvrtiny ústavům Akademie věd ČR, z nich 28 vlastní Mikrobiologický ústav, 27 Ústav organické chemie a biochemie a 24 Ústav makromolekulární chemie. U VVŠ téměř třetina, tj. 117 platných patentů patří ČVUT v Praze, 49 VŠCHT v Praze a 40 VUT v Brně. V podnikatelském sektoru, sice zdaleka nejvíce platných patentů (127; 11 %) patří firmě </w:t>
      </w:r>
      <w:r w:rsidRPr="00C64C02">
        <w:t>Zentiva Group</w:t>
      </w:r>
      <w:r>
        <w:t xml:space="preserve"> a.s., ale z hlediska odvětvového se na prvním místě s počtem 181 platných patentů řadí podniky ze strojírenského průmyslu. </w:t>
      </w:r>
    </w:p>
    <w:p w:rsidR="009D46E6" w:rsidRDefault="009D46E6" w:rsidP="00546662">
      <w:r>
        <w:t xml:space="preserve">V případě tuzemských přihlašovatelů byla pouze třetina z platných patentů ke konci roku 2012 starší 5 let a jen 9 % starší deseti let. V případě VVŠ šlo dokonce o pouhých 8 %, resp. 1 % patentů starších deseti let. Naopak 45 % a v případě VVŠ i z výše uvedených důvodů o rozvoji jejich patentové aktivity v posledních letech, dokonce 75 % z platných patentů je mladší 3 let.  </w:t>
      </w:r>
    </w:p>
    <w:p w:rsidR="009D46E6" w:rsidRPr="00165D2C" w:rsidRDefault="009D46E6" w:rsidP="00546662">
      <w:r>
        <w:t xml:space="preserve">Je logické, že všechny patenty udělené v roce 2012 tuzemským přihlašovatelům k poslednímu dni roku stále platily. V případě patentů udělených v dřívějších letech je však situace zcela jiná a lze vypozorovat, že čím více se vracíme do minulosti, tím méně patentů do současnosti stále platí a je udržováno placením příslušných poplatků. </w:t>
      </w:r>
      <w:r w:rsidRPr="00165D2C">
        <w:t>Například jestliže k poslednímu dni roku 2012 platily dvě třetiny (66 %)</w:t>
      </w:r>
      <w:r>
        <w:t xml:space="preserve"> </w:t>
      </w:r>
      <w:r w:rsidRPr="00165D2C">
        <w:t>z patentů udělených přihlašovatelům z ČR v roce 2008, pak u patentů z roku 2005 platila již necelá polovina a z roku 2000 dokonce jen přibližně desetina. U tohoto ukazatele najdeme poměrně výrazné rozdíly v závislosti na typu majitele platných patentů. Jestliže z udělených patentů v letech 1995 až 2004 bylo stále platných u fyzických osob 6 %, u VVŠ 5 %, tak u podniků to bylo 14 % (243 z 1675) a VVI dokonce 16 % (35 z 214) z udělených patentů ÚPV ČR v tomto období.</w:t>
      </w:r>
    </w:p>
    <w:p w:rsidR="009D46E6" w:rsidRPr="00360EC6" w:rsidRDefault="009D46E6" w:rsidP="00546662">
      <w:r>
        <w:t>Vzhledem k tomu, že</w:t>
      </w:r>
      <w:r w:rsidRPr="00165D2C">
        <w:t xml:space="preserve"> základní ukazatel ochrany průmyslových práv</w:t>
      </w:r>
      <w:r>
        <w:t>, kterým je</w:t>
      </w:r>
      <w:r w:rsidRPr="00165D2C">
        <w:t xml:space="preserve"> počet udělených patentů, </w:t>
      </w:r>
      <w:r>
        <w:t>popisuje</w:t>
      </w:r>
      <w:r w:rsidRPr="00165D2C">
        <w:t xml:space="preserve"> situaci v oblasti výzkumu, vývoje a inovací s cca 3 až 5letým zpožděním</w:t>
      </w:r>
      <w:r>
        <w:t>,</w:t>
      </w:r>
      <w:r w:rsidRPr="00165D2C">
        <w:t xml:space="preserve"> </w:t>
      </w:r>
      <w:r>
        <w:t>budou v </w:t>
      </w:r>
      <w:r w:rsidRPr="00165D2C">
        <w:t>této</w:t>
      </w:r>
      <w:r>
        <w:t xml:space="preserve"> kapitole</w:t>
      </w:r>
      <w:r w:rsidRPr="00165D2C">
        <w:t xml:space="preserve"> </w:t>
      </w:r>
      <w:r w:rsidRPr="00360EC6">
        <w:t>rozveden</w:t>
      </w:r>
      <w:r>
        <w:t>y</w:t>
      </w:r>
      <w:r w:rsidRPr="00165D2C">
        <w:t xml:space="preserve"> podrobné informace o patentové aktivitě</w:t>
      </w:r>
      <w:r w:rsidRPr="00360EC6">
        <w:t xml:space="preserve"> tuzemských subjektů pouze za podané patentové přihlášky. </w:t>
      </w:r>
    </w:p>
    <w:p w:rsidR="009D46E6" w:rsidRDefault="009D46E6">
      <w:pPr>
        <w:spacing w:before="200" w:after="200" w:line="276" w:lineRule="auto"/>
        <w:jc w:val="left"/>
        <w:rPr>
          <w:b/>
          <w:i/>
        </w:rPr>
      </w:pPr>
      <w:r>
        <w:rPr>
          <w:b/>
          <w:i/>
        </w:rPr>
        <w:br w:type="page"/>
      </w:r>
    </w:p>
    <w:p w:rsidR="009D46E6" w:rsidRPr="003C6E2E" w:rsidRDefault="009D46E6" w:rsidP="00786253">
      <w:pPr>
        <w:pStyle w:val="Heading4"/>
      </w:pPr>
      <w:r w:rsidRPr="003C6E2E">
        <w:t>Oborové členění u podaných patentových přihlášek u ÚPV ČR tuzemskými subjekty</w:t>
      </w:r>
    </w:p>
    <w:p w:rsidR="009D46E6" w:rsidRDefault="009D46E6" w:rsidP="00546662">
      <w:r w:rsidRPr="003737D2">
        <w:t xml:space="preserve">Klasifikační systém pro zatřiďování vynálezů je založen na vztahu vynálezu k určité oblasti techniky. Patentové přihlášky jsou tříděny podle Mezinárodního patentového třídění (MPT). Toto třídění, které obsahuje 7 základních sekcí, se dále člení na třídy, skupiny a podskupiny. V posledních šesti letech bylo podáno tuzemskými subjekty nejvíce vynálezů k patentovému řízení u ÚPV ČR v sekci Průmyslové techniky (930) a Chemie a hutnictví (894), </w:t>
      </w:r>
      <w:r w:rsidRPr="005E1085">
        <w:t xml:space="preserve">podíl těchto sekcí na celkovém počtu podaných patentových přihlášek se pohybuje stabilně kolem 20 %, resp. 19 %. Na základě MPT je dále definováno 31 oborů. Přihlašovatelé z ČR podali v roce 2012 nejvíce přihlášek v oboru Doprava a skladování, která zahrnuje i třídu Vozidla, letadla a lodě. K dalším významným oborům patří </w:t>
      </w:r>
      <w:r>
        <w:t>Měření a optika;</w:t>
      </w:r>
      <w:r w:rsidRPr="005E1085">
        <w:t xml:space="preserve"> Stavby</w:t>
      </w:r>
      <w:r w:rsidRPr="003737D2">
        <w:t>; Zdraví</w:t>
      </w:r>
      <w:r>
        <w:t>;</w:t>
      </w:r>
      <w:r w:rsidRPr="003737D2">
        <w:t xml:space="preserve"> Motory nebo Organická a Anorganická </w:t>
      </w:r>
      <w:r>
        <w:t>c</w:t>
      </w:r>
      <w:r w:rsidRPr="003737D2">
        <w:t xml:space="preserve">hemie. </w:t>
      </w:r>
      <w:r w:rsidRPr="00AC647B">
        <w:t>Údaje za speciální kategorie jako je high-tech jsou uvedeny níže v této kapitole.</w:t>
      </w:r>
      <w:r>
        <w:t xml:space="preserve"> </w:t>
      </w:r>
    </w:p>
    <w:p w:rsidR="009D46E6" w:rsidRDefault="009D46E6" w:rsidP="00546662">
      <w:r>
        <w:t xml:space="preserve">Pokud jde o oborové členění podaných patentových přihlášek u jednotlivých typů přihlašovatelů lze najít poměrně výrazné rozdíly. Zatímco u VVŠ a VVI dominuje obor Měření a optika, u podniků i fyzických osob je to obor Doprava a skladování.   </w:t>
      </w:r>
    </w:p>
    <w:p w:rsidR="009D46E6" w:rsidRPr="003C6E2E" w:rsidRDefault="009D46E6" w:rsidP="00786253">
      <w:pPr>
        <w:pStyle w:val="Heading4"/>
      </w:pPr>
      <w:r w:rsidRPr="003C6E2E">
        <w:t>Regionální členění u podaných patentových přihlášek u ÚPV ČR tuzemskými subjekty</w:t>
      </w:r>
    </w:p>
    <w:p w:rsidR="009D46E6" w:rsidRDefault="009D46E6" w:rsidP="00546662">
      <w:r w:rsidRPr="0040749F">
        <w:t>Nejvíce patentových přihlášek</w:t>
      </w:r>
      <w:r>
        <w:t>, třetina</w:t>
      </w:r>
      <w:r w:rsidRPr="0040749F">
        <w:t xml:space="preserve"> (1 625)</w:t>
      </w:r>
      <w:r>
        <w:t>,</w:t>
      </w:r>
      <w:r w:rsidRPr="0040749F">
        <w:t xml:space="preserve"> bylo v</w:t>
      </w:r>
      <w:r>
        <w:t xml:space="preserve"> letech </w:t>
      </w:r>
      <w:r w:rsidRPr="0040749F">
        <w:t>2007 až 2012 uděleno přihlašovatelům, kteří mají sídlo v Praze. V roce 2012 to byl</w:t>
      </w:r>
      <w:r>
        <w:t>o</w:t>
      </w:r>
      <w:r w:rsidRPr="0040749F">
        <w:t xml:space="preserve"> již </w:t>
      </w:r>
      <w:r>
        <w:t xml:space="preserve">dokonce </w:t>
      </w:r>
      <w:r w:rsidRPr="0040749F">
        <w:t xml:space="preserve">36 %, tj. trojnásobně vyšší podíl než počet přihlášek podaných v tomto roce přihlašovateli z Moravskoslezského nebo Jihomoravského kraje. Podíl ostatních krajů je podstatně nižší. </w:t>
      </w:r>
    </w:p>
    <w:p w:rsidR="009D46E6" w:rsidRPr="0040749F" w:rsidRDefault="009D46E6" w:rsidP="00546662">
      <w:r w:rsidRPr="0040749F">
        <w:t xml:space="preserve">Podíl Prahy jakožto sídla původce podané patentové přihlášky není zdaleka tak vysoký jako podíl Prahy jakožto sídla přihlašovatele vynálezu. V roce 2012 byl podíl původců z Prahy o cca 10 % menší než podíl přihlašovatelů. </w:t>
      </w:r>
    </w:p>
    <w:p w:rsidR="009D46E6" w:rsidRPr="003C6E2E" w:rsidRDefault="009D46E6" w:rsidP="00786253">
      <w:pPr>
        <w:pStyle w:val="Heading4"/>
      </w:pPr>
      <w:r w:rsidRPr="003C6E2E">
        <w:t xml:space="preserve">Ženy jako původkyně vynálezů přihlášených do patentového řízení </w:t>
      </w:r>
    </w:p>
    <w:p w:rsidR="009D46E6" w:rsidRDefault="009D46E6" w:rsidP="00546662">
      <w:r w:rsidRPr="005E1085">
        <w:t xml:space="preserve">Původcem vynálezu, který je přihlášen do patentového řízení, je vždy fyzická osoba, která jej vytvořila vlastní tvůrčí prací. Podíl žen jako původců vynálezů na podaných patentových přihláškách je u nás dlouhodobě velmi nízký. Podíl žen tvořil v období 2007 až 2012 pouze 9,2 % (435) ze všech původců patentových přihlášek podaných u ÚPV ČR přihlašovateli z ČR. V čase, i s tím jak roste podíl VVŠ na podaných patentových přihláškách, dochází k mírnému nárůstu podílu žen vynálezkyň na podaných patentových přihláškách. Například, jestliže v roce 2012 se muži podíleli ze 79 % na podaných patentových přihláškách, tak před deseti lety ty bylo dokonce z 95 %. Stejně jako i u ostatních ukazatelů i zde jsou patrné rozdíly mezi jednotlivými typy přihlašovatelů. Pokud byl přihlašovatelem podnik, byl podíl žen v posledních šesti letech 7,8 %. Ještě nižší podíl byl v případě fyzických osob, kdy za stejné období činil pouze 5,0 %. Poněkud příznivější situace byla v případě veřejného výzkumu. Podíl žen (původců) činil u patentových přihlášek podaných v letech 2007 až 2012 VVŠ 12,4 %. Nejvyšší podíl žen, téměř čtvrtinový (22,0 %), ze všech sledovaných typů přihlašovatelů, zaznamenaly VVI. Výše uvedené údaje více či méně odrážejí situaci v počtu výzkumných pracovnic, resp. jejich zastoupení na celkovém počtu výzkumných pracovníků jak v ČR celkem, tak i v rámci jednotlivých sektorů provádění. Více viz kapitola B1. </w:t>
      </w:r>
    </w:p>
    <w:p w:rsidR="009D46E6" w:rsidRPr="003C6E2E" w:rsidRDefault="009D46E6" w:rsidP="00786253">
      <w:pPr>
        <w:pStyle w:val="Heading4"/>
      </w:pPr>
      <w:r w:rsidRPr="003C6E2E">
        <w:t xml:space="preserve">Spolupráce v oblasti patentové ochrany </w:t>
      </w:r>
    </w:p>
    <w:p w:rsidR="009D46E6" w:rsidRDefault="009D46E6" w:rsidP="00546662">
      <w:r>
        <w:t xml:space="preserve">Většinu přihlášek patentů u ÚPV ČR podávají tuzemští přihlašovatelé samostatně. Podíl přihlášek, které podali přihlašovatelé z ČR ve spolupráci s jiným subjektem, se v letech 2007 až 2012 pohyboval v průměru kolem 32 % a v čase, kromě VVŠ roste. Patrný je zejména vysoký podíl spolupráce u VVI, který se navíc v průběhu sledovaného období výrazně zvýšil. Zajímavostí je vyšší míra spolupráce u fyzických osob než VVŠ. Nepřekvapuje nízký podíl spolupráce u podniků, který ovšem v čase výrazně vzrostl. </w:t>
      </w:r>
    </w:p>
    <w:p w:rsidR="009D46E6" w:rsidRDefault="009D46E6" w:rsidP="00EA6164">
      <w:pPr>
        <w:pStyle w:val="Caption"/>
        <w:tabs>
          <w:tab w:val="clear" w:pos="1276"/>
          <w:tab w:val="left" w:pos="1134"/>
        </w:tabs>
        <w:ind w:left="1134" w:hanging="1134"/>
      </w:pPr>
      <w:bookmarkStart w:id="177" w:name="_Toc369092056"/>
      <w:r w:rsidRPr="005E1085">
        <w:t>Graf C.</w:t>
      </w:r>
      <w:fldSimple w:instr=" SEQ Graf \* ARABIC \s 1 ">
        <w:r>
          <w:rPr>
            <w:noProof/>
          </w:rPr>
          <w:t>17</w:t>
        </w:r>
      </w:fldSimple>
      <w:r w:rsidRPr="005E1085">
        <w:t>: Patentové přihlášky podané v období 2007 až 2012 u ÚPV ČR tuzemskými</w:t>
      </w:r>
      <w:r w:rsidRPr="00BA6776">
        <w:t xml:space="preserve"> přihlašovateli ve spolupráci s jiným subjektem</w:t>
      </w:r>
      <w:bookmarkEnd w:id="177"/>
    </w:p>
    <w:p w:rsidR="009D46E6" w:rsidRDefault="009D46E6" w:rsidP="001D7F37">
      <w:pPr>
        <w:pStyle w:val="Objekt"/>
      </w:pPr>
      <w:r w:rsidRPr="001D1D98">
        <w:pict>
          <v:shape id="Graf 246" o:spid="_x0000_i1186" type="#_x0000_t75" style="width:226.8pt;height:194.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olfDy3gAAAAUBAAAPAAAAZHJzL2Rvd25y&#10;ZXYueG1sTI9BS8NAEIXvgv9hGcGb3dhqtDGbUiqCB7G1FaS3aXbMBrOzIbtNor/e1YteBh7v8d43&#10;+WK0jeip87VjBZeTBARx6XTNlYLX3cPFLQgfkDU2jknBJ3lYFKcnOWbaDfxC/TZUIpawz1CBCaHN&#10;pPSlIYt+4lri6L27zmKIsquk7nCI5baR0yRJpcWa44LBllaGyo/t0Sp4DPdP61Uve71McfP2POz2&#10;hr+UOj8bl3cgAo3hLww/+BEdish0cEfWXjQK4iPh90bv6nqWgjgomM1vpiCLXP6nL74B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">
            <v:imagedata r:id="rId181" o:title="" croptop="-1146f" cropbottom="-1215f" cropleft="-155f" cropright="-4520f"/>
            <o:lock v:ext="edit" aspectratio="f"/>
          </v:shape>
        </w:pict>
      </w:r>
      <w:r w:rsidRPr="001D1D98">
        <w:pict>
          <v:shape id="Graf 247" o:spid="_x0000_i1187" type="#_x0000_t75" style="width:219.6pt;height:198.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6YIZE2wAAAAUBAAAPAAAAZHJzL2Rvd25y&#10;ZXYueG1sTI9BS8NAEIXvQv/DMgVvdmMtrY3ZlLborQrWgtdJdkyC2dmQ3Tbx3zt60cuD4Q3vfS/b&#10;jK5VF+pD49nA7SwBRVx623Bl4PT2dHMPKkRki61nMvBFATb55CrD1PqBX+lyjJWSEA4pGqhj7FKt&#10;Q1mTwzDzHbF4H753GOXsK217HCTctXqeJEvtsGFpqLGjfU3l5/HspDfZVaXzuN6+PLvh/RAf6VCc&#10;jLmejtsHUJHG+PcMP/iCDrkwFf7MNqjWgAyJvyreYrFagioM3K1Xc9B5pv/T598A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">
            <v:imagedata r:id="rId182" o:title="" croptop="-3186f" cropbottom="-735f" cropleft="-2093f" cropright="-2327f"/>
            <o:lock v:ext="edit" aspectratio="f"/>
          </v:shape>
        </w:pict>
      </w:r>
      <w:r w:rsidRPr="00E06F3C">
        <w:t xml:space="preserve"> </w:t>
      </w:r>
      <w:r w:rsidRPr="00EB7DE5">
        <w:t xml:space="preserve"> </w:t>
      </w:r>
      <w:r w:rsidRPr="008D75E8">
        <w:t xml:space="preserve">  </w:t>
      </w:r>
      <w:r>
        <w:t xml:space="preserve"> </w:t>
      </w:r>
      <w:r w:rsidRPr="008D75E8">
        <w:t xml:space="preserve"> </w:t>
      </w:r>
      <w:r>
        <w:t xml:space="preserve"> </w:t>
      </w:r>
    </w:p>
    <w:p w:rsidR="009D46E6" w:rsidRDefault="009D46E6" w:rsidP="00546662">
      <w:pPr>
        <w:pStyle w:val="Zdroj"/>
      </w:pPr>
      <w:r>
        <w:t>Poznámka č.1: VŠ – veřejná vysoká škola; VVI – veřejná výzkumná instituce; FO – podnikající nebo nepodnikající fyzická osoba</w:t>
      </w:r>
    </w:p>
    <w:p w:rsidR="009D46E6" w:rsidRPr="003737D2" w:rsidRDefault="009D46E6" w:rsidP="00546662">
      <w:pPr>
        <w:pStyle w:val="Zdroj"/>
      </w:pPr>
      <w:r w:rsidRPr="005E1085">
        <w:t>Poznámka č.2: 1% za období 2007 až 2009 se u VŠ rovná 9,9;  u VVI: 4,9; u podniků: 48,9 a u FO pak 14,6 podaným patentovým přihláškám ve spolupráci s jiným subjektem; 1% za období 2010 až 2012 se u VŠ rovná 19,5;  u VVI: 3,3; u podniků: 35,0 a u FO pak 12,5 podaným patentovým přihláškám ve spolupráci s jiným subjektem</w:t>
      </w:r>
      <w:r>
        <w:t>.</w:t>
      </w:r>
    </w:p>
    <w:p w:rsidR="009D46E6" w:rsidRDefault="009D46E6" w:rsidP="00546662">
      <w:pPr>
        <w:pStyle w:val="Zdroj"/>
      </w:pPr>
      <w:r>
        <w:t>Zdroj: ČSÚ 2013 podle údajů ÚPV ČR a vlastních dopočtů</w:t>
      </w:r>
    </w:p>
    <w:p w:rsidR="009D46E6" w:rsidRDefault="009D46E6" w:rsidP="00546662"/>
    <w:p w:rsidR="009D46E6" w:rsidRDefault="009D46E6" w:rsidP="00546662">
      <w:r>
        <w:t xml:space="preserve">Partneři podle typů přihlašovatele jsou zobrazeni v druhé části výše uvedeného grafu, kde jsou opět uvedeny údaje za období 2007 až 2012. Jak je z grafu patrné, existovaly zde výrazné rozdíly mezi jednotlivými typy přihlašovatelů. Velmi úzce byla ve sledovaném období zaměřena spolupráce fyzických osob. Jiná fyzická osoba či osoby tvořily podstatnou část spolupracujících subjektů. Společným jevem pro ostatní typy přihlašovatelů byla poměrně vysoká spolupráce s podniky, která byla významnější u VVŠ než u VVI. Za povšimnutí stojí skutečnost, že vysoké školy spolupracovaly více s VVI než s jinou VVŠ. Podobné konstatování platí i pro VVI, které spolupracovaly více s vysokými školami než navzájem. </w:t>
      </w:r>
    </w:p>
    <w:p w:rsidR="009D46E6" w:rsidRPr="003C6E2E" w:rsidRDefault="009D46E6" w:rsidP="00786253">
      <w:pPr>
        <w:pStyle w:val="Heading4"/>
      </w:pPr>
      <w:r w:rsidRPr="003C6E2E">
        <w:t>Patentové ochrany v high-tech oblasti</w:t>
      </w:r>
    </w:p>
    <w:p w:rsidR="009D46E6" w:rsidRDefault="009D46E6" w:rsidP="00546662">
      <w:r>
        <w:t>Jedním ze způsobu jak částečně odvodit kvalitu patentové ochrany mimo příjmů z licenčních poplatků (viz dále) nebo patentových citací (zdroj Eurostat a OECD), je informace o podílu patentových přihlášek patřících mezi tzv. vyspělé (high-tech) technologie. Tyto údaje byly zpracovány ČSÚ na základě Mezinárodního patentového třídění a definic uvedených v Patentovém manuálu OECD. Kromě skupiny tzv. high-tech patentů, která se dále dělí do šesti podskupin (komunikační technologie, lasery, letectví, mikroorganické a genetické inženýrství, počítače a automatizované systémy řízení a polovodiče.), zpracoval ČSÚ i údaje za oblast biotechnologií a obnovitelných zdrojů.</w:t>
      </w:r>
    </w:p>
    <w:p w:rsidR="009D46E6" w:rsidRDefault="009D46E6" w:rsidP="00546662">
      <w:r>
        <w:t xml:space="preserve">Počet high-tech přihlášek se v posledních třech letech u nás nijak výrazně nemění a osciluje kolem 60 </w:t>
      </w:r>
      <w:r w:rsidRPr="005E1085">
        <w:t xml:space="preserve">podaných přihlášek za rok. V celém sledovaném období (2007 až 2012) bylo u ÚPV ČR podáno celkem 349 (7,5 %) patentových přihlášek v high-tech oborech. </w:t>
      </w:r>
      <w:r>
        <w:t>Zatímco</w:t>
      </w:r>
      <w:r w:rsidRPr="005E1085">
        <w:t xml:space="preserve"> podíl high-tech přihlášek na celkovém počtu patentových přihlášek se u VVI od roku 2007 pohybuje v průměru kolem jedné pětiny (v roce 2012 byl zaznamenán výrazný pokles na 8 % podíl), u ostatních typů přihlašovatelů je to pouze kolem 5 %. V letech 2007 až 2012 bylo podáno tuzemskými přihlašovateli u ÚPV ČR dále 131 přihlášek v oblasti</w:t>
      </w:r>
      <w:r w:rsidRPr="00E06F3C">
        <w:t xml:space="preserve"> biotechnologií a pouze 10 v oblasti obnovitelných zdrojů.</w:t>
      </w:r>
    </w:p>
    <w:p w:rsidR="009D46E6" w:rsidRDefault="009D46E6" w:rsidP="00EA6164">
      <w:pPr>
        <w:pStyle w:val="Caption"/>
        <w:tabs>
          <w:tab w:val="clear" w:pos="1276"/>
          <w:tab w:val="left" w:pos="1134"/>
        </w:tabs>
        <w:ind w:left="1134" w:hanging="1134"/>
      </w:pPr>
      <w:bookmarkStart w:id="178" w:name="_Toc369092057"/>
      <w:r>
        <w:t>Graf C.</w:t>
      </w:r>
      <w:fldSimple w:instr=" SEQ Graf \* ARABIC \s 1 ">
        <w:r>
          <w:rPr>
            <w:noProof/>
          </w:rPr>
          <w:t>18</w:t>
        </w:r>
      </w:fldSimple>
      <w:r>
        <w:t xml:space="preserve">: </w:t>
      </w:r>
      <w:r w:rsidRPr="003D1617">
        <w:t>Patentové přihlášky podané u ÚPV ČR tuzemskými přihlašovateli v high-tech oblasti</w:t>
      </w:r>
      <w:r>
        <w:t>; 2007-2012 (počet a struktura)</w:t>
      </w:r>
      <w:bookmarkEnd w:id="178"/>
    </w:p>
    <w:p w:rsidR="009D46E6" w:rsidRDefault="009D46E6" w:rsidP="001D7F37">
      <w:pPr>
        <w:pStyle w:val="Objekt"/>
      </w:pPr>
      <w:r w:rsidRPr="003D1617">
        <w:t xml:space="preserve"> </w:t>
      </w:r>
      <w:r w:rsidRPr="001D1D98">
        <w:pict>
          <v:shape id="Graf 248" o:spid="_x0000_i1188" type="#_x0000_t75" style="width:236.4pt;height:154.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Pl5su2wAAAAUBAAAPAAAAZHJzL2Rvd25y&#10;ZXYueG1sTI/BTsMwEETvSPyDtUjcqN20ghLiVAipHJFIOcBtEy9xRLyObLcNfD2GC1xWGs1o5m21&#10;nd0ojhTi4FnDcqFAEHfeDNxreNnvrjYgYkI2OHomDZ8UYVufn1VYGn/iZzo2qRe5hGOJGmxKUyll&#10;7Cw5jAs/EWfv3QeHKcvQSxPwlMvdKAulrqXDgfOCxYkeLHUfzcFpkG+vDd6op679Gnbki9v2cWWD&#10;1pcX8/0diERz+gvDD35Ghzoztf7AJopRQ34k/d7srTfFGkSrYbUsFMi6kv/p628A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">
            <v:imagedata r:id="rId183" o:title="" croptop="-3481f" cropbottom="-1469f" cropleft="-289f" cropright="-7434f"/>
            <o:lock v:ext="edit" aspectratio="f"/>
          </v:shape>
        </w:pict>
      </w:r>
      <w:r w:rsidRPr="001D1D98">
        <w:pict>
          <v:shape id="Graf 249" o:spid="_x0000_i1189" type="#_x0000_t75" style="width:194.4pt;height:15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">
            <v:imagedata r:id="rId184" o:title="" croptop="-10512f" cropbottom="-1619f" cropleft="-541f" cropright="-7945f"/>
            <o:lock v:ext="edit" aspectratio="f"/>
          </v:shape>
        </w:pict>
      </w:r>
    </w:p>
    <w:p w:rsidR="009D46E6" w:rsidRDefault="009D46E6" w:rsidP="001D7F37">
      <w:pPr>
        <w:pStyle w:val="Objekt"/>
      </w:pPr>
      <w:r w:rsidRPr="003D1617">
        <w:t xml:space="preserve"> </w:t>
      </w:r>
      <w:r w:rsidRPr="00AA3CF8">
        <w:t xml:space="preserve"> </w:t>
      </w:r>
      <w:r w:rsidRPr="001D1D98">
        <w:pict>
          <v:shape id="Graf 250" o:spid="_x0000_i1190" type="#_x0000_t75" style="width:236.4pt;height:154.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s9jTM3AAAAAUBAAAPAAAAZHJzL2Rvd25y&#10;ZXYueG1sTI9RS8MwFIXfhf2HcAe+iEtaRWZtOoagICLi1Pe0ubZlyU3XJGv3742+6MuFwzmc891y&#10;M1vDjjj63pGEbCWAITVO99RK+Hh/uFwD80GRVsYRSjihh021OCtVod1Eb3jchZalEvKFktCFMBSc&#10;+6ZDq/zKDUjJ+3KjVSHJseV6VFMqt4bnQtxwq3pKC50a8L7DZr+LVgI9v14c4klMn9NTvY+30Tzq&#10;FyPl+XLe3gELOIe/MPzgJ3SoElPtImnPjIT0SPi9ybteZzmwWsJVlgvgVcn/01ffAA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">
            <v:imagedata r:id="rId185" o:title="" croptop="-3481f" cropbottom="-1469f" cropleft="-265f" cropright="-1466f"/>
            <o:lock v:ext="edit" aspectratio="f"/>
          </v:shape>
        </w:pict>
      </w:r>
      <w:r w:rsidRPr="001D1D98">
        <w:pict>
          <v:shape id="Graf 251" o:spid="_x0000_i1191" type="#_x0000_t75" style="width:198.6pt;height:15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">
            <v:imagedata r:id="rId186" o:title="" croptop="-10512f" cropbottom="-1619f" cropleft="-553f" cropright="-9591f"/>
            <o:lock v:ext="edit" aspectratio="f"/>
          </v:shape>
        </w:pict>
      </w:r>
      <w:r w:rsidRPr="00C74ACE">
        <w:t xml:space="preserve"> </w:t>
      </w:r>
      <w:r w:rsidRPr="001C113E">
        <w:t xml:space="preserve"> </w:t>
      </w:r>
      <w:r>
        <w:t xml:space="preserve">  </w:t>
      </w:r>
    </w:p>
    <w:p w:rsidR="009D46E6" w:rsidRDefault="009D46E6" w:rsidP="00546662">
      <w:pPr>
        <w:pStyle w:val="Zdroj"/>
      </w:pPr>
      <w:r>
        <w:t>Poznámka: VŠ – veřejná vysoká škola; VVI – veřejná výzkumná instituce; FO – podnikající nebo nepodnikající fyzická osoba</w:t>
      </w:r>
    </w:p>
    <w:p w:rsidR="009D46E6" w:rsidRDefault="009D46E6" w:rsidP="00546662">
      <w:pPr>
        <w:pStyle w:val="Zdroj"/>
      </w:pPr>
      <w:r>
        <w:t>Zdroj: ČSÚ 2013 podle údajů ÚPV ČR a vlastních dopočtů</w:t>
      </w:r>
    </w:p>
    <w:p w:rsidR="009D46E6" w:rsidRDefault="009D46E6" w:rsidP="00546662"/>
    <w:p w:rsidR="009D46E6" w:rsidRDefault="009D46E6" w:rsidP="00546662">
      <w:r>
        <w:t>Pokud jde o jednotlivé obory sledované v rámci kategorie high-tech, bylo zjištěno, že v ČR dominuje obor Mikroorganické a genetické inženýrství a obor Počítačové a automatizované řídicí systémy. Zatímco u podniků a fyzických osob převládají Počítače a automatizované systémy řízení, tak u VVI jde především o patentové přihlášky z oblasti Mikroorganického a genetického inženýrství.</w:t>
      </w:r>
    </w:p>
    <w:p w:rsidR="009D46E6" w:rsidRPr="003C6E2E" w:rsidRDefault="009D46E6" w:rsidP="00786253">
      <w:pPr>
        <w:pStyle w:val="Heading4"/>
      </w:pPr>
      <w:r w:rsidRPr="003C6E2E">
        <w:t>Užitné vzory zapsané v České republice u ÚPV ČR tuzemským přihlašovatelům</w:t>
      </w:r>
    </w:p>
    <w:p w:rsidR="009D46E6" w:rsidRDefault="009D46E6" w:rsidP="00546662">
      <w:r>
        <w:t xml:space="preserve">I když celosvětově v oblasti průmyslového vlastnictví patří patenty jako právní ochrana technických řešení a </w:t>
      </w:r>
      <w:r w:rsidRPr="005E1085">
        <w:t>vynálezů k tradičním a současně nejvýznamnějším institutům, v České republice je od zavedení institutu užitného vzoru před 21 roky čím dál větší podíl technických řešení chráněn právě prostřednictvím této právní ochrany.</w:t>
      </w:r>
      <w:r w:rsidRPr="005E1085">
        <w:rPr>
          <w:rStyle w:val="FootnoteReference"/>
          <w:rFonts w:cs="MetaPro-Normal"/>
        </w:rPr>
        <w:footnoteReference w:id="42"/>
      </w:r>
      <w:r w:rsidRPr="005E1085">
        <w:t xml:space="preserve"> Např. v roce </w:t>
      </w:r>
      <w:r>
        <w:t xml:space="preserve">2012 tuzemské subjekty podaly </w:t>
      </w:r>
      <w:r w:rsidRPr="005E1085">
        <w:t>2krát častěji k zápisu užitný vzor než patentovou přihlášku a bylo jim zapsáno 3,5krát více užitných vzorů než uděleno patentů. Tento typ ochrany byl v minulosti velmi populární zejména mezi individuálními přihlašovateli, a to zejména díky nižší ceně a rychlejšímu získání osvědčení. V posledních letech byl tento způsob ochrany více využíván i ostatními typy přihlašovatelů, zejména VVŠ, které tento institut před rokem 2007 téměř neznaly, resp. nepoužívaly. V posledních dvou letech využívají pro ochranu svých technických řešení institutu</w:t>
      </w:r>
      <w:r>
        <w:t xml:space="preserve"> užitného vzoru častěji než patentu již všechny typy přihlašovatelů. </w:t>
      </w:r>
    </w:p>
    <w:p w:rsidR="009D46E6" w:rsidRDefault="009D46E6" w:rsidP="00750D9B">
      <w:pPr>
        <w:pStyle w:val="Caption"/>
      </w:pPr>
      <w:bookmarkStart w:id="179" w:name="_Toc369092058"/>
      <w:r>
        <w:t>Graf C.</w:t>
      </w:r>
      <w:fldSimple w:instr=" SEQ Graf \* ARABIC \s 1 ">
        <w:r>
          <w:rPr>
            <w:noProof/>
          </w:rPr>
          <w:t>19</w:t>
        </w:r>
      </w:fldSimple>
      <w:r>
        <w:t xml:space="preserve">: Užitné vzory zapsané </w:t>
      </w:r>
      <w:r w:rsidRPr="002B0845">
        <w:t xml:space="preserve">ÚPV ČR </w:t>
      </w:r>
      <w:r>
        <w:t>tuzemským p</w:t>
      </w:r>
      <w:r w:rsidRPr="002B0845">
        <w:t>řihlašovatel</w:t>
      </w:r>
      <w:r>
        <w:t>ům</w:t>
      </w:r>
      <w:r w:rsidRPr="002B0845">
        <w:t xml:space="preserve"> (počet a struktura)</w:t>
      </w:r>
      <w:bookmarkEnd w:id="179"/>
    </w:p>
    <w:p w:rsidR="009D46E6" w:rsidRDefault="009D46E6" w:rsidP="001D7F37">
      <w:pPr>
        <w:pStyle w:val="Objekt"/>
      </w:pPr>
      <w:r w:rsidRPr="00E06F3C">
        <w:t xml:space="preserve"> </w:t>
      </w:r>
      <w:r w:rsidRPr="00580AC0">
        <w:t xml:space="preserve"> </w:t>
      </w:r>
      <w:r w:rsidRPr="0064299D">
        <w:t xml:space="preserve"> </w:t>
      </w:r>
      <w:r w:rsidRPr="001D1D98">
        <w:pict>
          <v:shape id="Graf 255" o:spid="_x0000_i1192" type="#_x0000_t75" style="width:308.4pt;height:166.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KURd73AAAAAUBAAAPAAAAZHJzL2Rvd25y&#10;ZXYueG1sTI/NasMwEITvhbyD2EAvpZFjF+M6lkMo9NJDoUkhV9la/yTWylhK4r59t720l4Fllplv&#10;iu1sB3HFyfeOFKxXEQik2pmeWgWfh9fHDIQPmoweHKGCL/SwLRd3hc6Nu9EHXvehFRxCPtcKuhDG&#10;XEpfd2i1X7kRib3GTVYHPqdWmknfONwOMo6iVFrdEzd0esSXDuvz/mIVPLynsnl+O1WH1O4aSpL4&#10;WB2tUvfLebcBEXAOf8/wg8/oUDJT5S5kvBgU8JDwq+ylccYzKgXJU5SBLAv5n778Bg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">
            <v:imagedata r:id="rId187" o:title="" croptop="-2408f" cropbottom="-3287f" cropleft="-414f" cropright="-2672f"/>
            <o:lock v:ext="edit" aspectratio="f"/>
          </v:shape>
        </w:pict>
      </w:r>
      <w:r w:rsidRPr="001D1D98">
        <w:pict>
          <v:shape id="Graf 256" o:spid="_x0000_i1193" type="#_x0000_t75" style="width:156pt;height:169.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">
            <v:imagedata r:id="rId188" o:title="" croptop="-2372f" cropbottom="-2248f" cropleft="-7993f" cropright="-642f"/>
            <o:lock v:ext="edit" aspectratio="f"/>
          </v:shape>
        </w:pict>
      </w:r>
    </w:p>
    <w:p w:rsidR="009D46E6" w:rsidRDefault="009D46E6" w:rsidP="00546662">
      <w:pPr>
        <w:pStyle w:val="Zdroj"/>
      </w:pPr>
      <w:r>
        <w:t>Poznámka: VŠ – veřejná vysoká škola; VVI – veřejná výzkumná instituce;  FO – podnikající nebo nepodnikající fyzická osoba</w:t>
      </w:r>
    </w:p>
    <w:p w:rsidR="009D46E6" w:rsidRDefault="009D46E6" w:rsidP="00546662">
      <w:pPr>
        <w:pStyle w:val="Zdroj"/>
      </w:pPr>
      <w:r>
        <w:t>Zdroj: ČSÚ 2013 podle údajů ÚPV ČR a vlastních dopočtů</w:t>
      </w:r>
    </w:p>
    <w:p w:rsidR="009D46E6" w:rsidRDefault="009D46E6" w:rsidP="00546662"/>
    <w:p w:rsidR="009D46E6" w:rsidRPr="002B0845" w:rsidRDefault="009D46E6" w:rsidP="00546662">
      <w:r w:rsidRPr="002B0845">
        <w:t xml:space="preserve">V roce 2012 došlo v České republice k dalšímu meziročnímu nárůstu počtu zapsaných užitných vzorů, i když už ne tak výraznému jako v roce 2011. Nejvýrazněji se na tomto nárůstu podílely </w:t>
      </w:r>
      <w:r>
        <w:t>VVŠ</w:t>
      </w:r>
      <w:r w:rsidRPr="002B0845">
        <w:t xml:space="preserve">. Počet zapsaných užitných vzorů </w:t>
      </w:r>
      <w:r>
        <w:t xml:space="preserve">VVI </w:t>
      </w:r>
      <w:r w:rsidRPr="002B0845">
        <w:t xml:space="preserve">a fyzickým osobám se oproti loňskému roku příliš nezměnil. Pokud v případě počtu přihlášek vynálezů či podaných patentů můžeme v případě </w:t>
      </w:r>
      <w:r>
        <w:t>VVŠ</w:t>
      </w:r>
      <w:r w:rsidRPr="002B0845">
        <w:t xml:space="preserve"> hovořit o výrazném nárůstu v posledních cca 6 letech, tak v případě zapsaných užitných vzorů lze označit tento nárůst dokonce za enormní. Jestliže v roce 2005 bylo deset užitných vzorů zapsáno dvěma </w:t>
      </w:r>
      <w:r>
        <w:t>VVŠ</w:t>
      </w:r>
      <w:r w:rsidRPr="002B0845">
        <w:t xml:space="preserve">, tak </w:t>
      </w:r>
      <w:r>
        <w:t xml:space="preserve">o sedm let později </w:t>
      </w:r>
      <w:r w:rsidRPr="002B0845">
        <w:t xml:space="preserve">to bylo již 516 užitných vzorů zapsaných 18 </w:t>
      </w:r>
      <w:r>
        <w:t>VVŠ</w:t>
      </w:r>
      <w:r w:rsidRPr="002B0845">
        <w:t xml:space="preserve">. </w:t>
      </w:r>
      <w:r>
        <w:t xml:space="preserve">  </w:t>
      </w:r>
    </w:p>
    <w:p w:rsidR="009D46E6" w:rsidRDefault="009D46E6" w:rsidP="00546662">
      <w:r>
        <w:t xml:space="preserve">Na rozdíl od patentových přihlášek nebo udělených patentů, bylo v roce 2012, nejvíce užitných vzorů, téměř třetina, v rámci VVŠ zapsána České zemědělské univerzitě v Praze. Počet zapsaných užitných vzorů této univerzitě (156 v toce 2012) je téměř dvojnásobný oproti počtu zapsaných užitných vzorů druhé VVŠ v pořadí a dokonce téměř 8násobný oproti podniku a VVI s nejvíce zapsanými užitnými vzory. V rámci VVI mnohem více (79 %) ze zapsaných užitných vzorů, na rozdíl např. od udělených patentů, patřilo v posledních šesti letech resortním VVI.  </w:t>
      </w:r>
    </w:p>
    <w:p w:rsidR="009D46E6" w:rsidRDefault="009D46E6" w:rsidP="00546662">
      <w:r>
        <w:t xml:space="preserve">Stejně tak u podniků, mnohem více než v případě udělených patentů, využívají institut užitného vzoru domácí podniky oproti podnikům pod zahraniční kontrolou. Například v letech 2007 až 2012 patřilo 8 z 10 zapsaných užitných vzorů domácím podnikům a v roce 2012 byl tento poměr dokonce 9 ku 10 ve prospěch domácích podniků.  </w:t>
      </w:r>
    </w:p>
    <w:p w:rsidR="009D46E6" w:rsidRPr="00786253" w:rsidRDefault="009D46E6" w:rsidP="00786253"/>
    <w:p w:rsidR="009D46E6" w:rsidRPr="003C6E2E" w:rsidRDefault="009D46E6" w:rsidP="003C6E2E">
      <w:pPr>
        <w:pStyle w:val="Heading3"/>
      </w:pPr>
      <w:bookmarkStart w:id="180" w:name="_Toc369091896"/>
      <w:r w:rsidRPr="003C6E2E">
        <w:t>Patentová aktivita zahraničních subjektů v ČR</w:t>
      </w:r>
      <w:bookmarkEnd w:id="180"/>
      <w:r w:rsidRPr="003C6E2E">
        <w:t xml:space="preserve"> </w:t>
      </w:r>
    </w:p>
    <w:p w:rsidR="009D46E6" w:rsidRDefault="009D46E6" w:rsidP="00546662">
      <w:r>
        <w:t>Na rozdíl od patentových přihlášek</w:t>
      </w:r>
      <w:r w:rsidRPr="00A0023C">
        <w:rPr>
          <w:rStyle w:val="FootnoteReference"/>
          <w:rFonts w:cs="MetaPro-Normal"/>
        </w:rPr>
        <w:footnoteReference w:id="43"/>
      </w:r>
      <w:r w:rsidRPr="00A0023C">
        <w:t xml:space="preserve"> </w:t>
      </w:r>
      <w:r>
        <w:t>má v případě udělených patentů v České republice smysl sledovat i jejich počet udělený zahraničním přihlašovatelům, a tím poskytnout jeden z ukazatelů zachycující ekonomickou atraktivitu území České republiky.</w:t>
      </w:r>
    </w:p>
    <w:p w:rsidR="009D46E6" w:rsidRDefault="009D46E6" w:rsidP="00546662">
      <w:r>
        <w:t>Patenty platné pro Českou republiku mohou být uděleny ÚPV ČR dvojím způsobem – národní cestou nebo validací evropských patentů</w:t>
      </w:r>
      <w:r>
        <w:rPr>
          <w:rStyle w:val="FootnoteReference"/>
          <w:rFonts w:cs="MetaPro-Normal"/>
        </w:rPr>
        <w:footnoteReference w:id="44"/>
      </w:r>
      <w:r>
        <w:t xml:space="preserve"> pro území České republiky.  Druhá možnost existuje pro území České republiky od roku 2002, ale do praxe se promítla ve větší míře až po roce 2004. V roce 2012 tvořily evropské patenty validované pro území České republiky již 87 % všech patentů udělených v tomto roce. Kromě 23 patentů byly všechny Evropské patenty validované ÚPV ČR (4 660) pro území ČR v tomto roce uděleny zahraničním přihlašovatelům. Z 670 patentů udělených národní cestou jich 60 % pocházelo od tuzemských a 40 % od zahraničních přihlašovatelů.</w:t>
      </w:r>
    </w:p>
    <w:p w:rsidR="009D46E6" w:rsidRDefault="009D46E6" w:rsidP="00750D9B">
      <w:pPr>
        <w:pStyle w:val="Caption"/>
      </w:pPr>
      <w:bookmarkStart w:id="181" w:name="_Toc369092059"/>
      <w:r>
        <w:t>Graf C.</w:t>
      </w:r>
      <w:fldSimple w:instr=" SEQ Graf \* ARABIC \s 1 ">
        <w:r>
          <w:rPr>
            <w:noProof/>
          </w:rPr>
          <w:t>20</w:t>
        </w:r>
      </w:fldSimple>
      <w:r>
        <w:t>: Patenty udělené (validované) ÚPV ČR pro území ČR podle způsobu udělení</w:t>
      </w:r>
      <w:bookmarkEnd w:id="181"/>
    </w:p>
    <w:p w:rsidR="009D46E6" w:rsidRDefault="009D46E6" w:rsidP="001D7F37">
      <w:pPr>
        <w:pStyle w:val="Objekt"/>
      </w:pPr>
      <w:r w:rsidRPr="001D1D98">
        <w:pict>
          <v:shape id="Graf 257" o:spid="_x0000_i1194" type="#_x0000_t75" style="width:314.4pt;height:196.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h6dHB2wAAAAUBAAAPAAAAZHJzL2Rvd25y&#10;ZXYueG1sTI/BSsRADIbvgu8wRPAi7tQKa62dLiIsCIKuVdTjtBPbYidTOtnd7tsbveglEP7w5fuL&#10;1ewHtcMp9oEMXCwSUEhNcD21Bl5f1ucZqMiWnB0CoYEDRliVx0eFzV3Y0zPuKm6VQCjm1kDHPOZa&#10;x6ZDb+MijEiSfYbJW5Z1arWb7F7gftBpkiy1tz3Jh86OeNdh81VtvVA8P9bZWfVAIX5sDvX67en+&#10;3RtzejLf3oBinPnvGH70RR1KcarDllxUgwEpwr9TsmWaSY3awOX1VQq6LPR/+/Ib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">
            <v:imagedata r:id="rId189" o:title="" croptop="-2951f" cropbottom="-3367f" cropleft="-306f" cropright="-559f"/>
            <o:lock v:ext="edit" aspectratio="f"/>
          </v:shape>
        </w:pict>
      </w:r>
      <w:r w:rsidRPr="001D1D98">
        <w:pict>
          <v:shape id="Graf 258" o:spid="_x0000_i1195" type="#_x0000_t75" style="width:156pt;height:198.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SMe1C2gAAAAUBAAAPAAAAZHJzL2Rvd25y&#10;ZXYueG1sTI9BT8MwDIXvSPyHyEjcWLpOwFaaTgi0EwfEQIJj2nhttcQpdbaVf4/hAhfLT896/l65&#10;noJXRxy5j2RgPstAITXR9dQaeHvdXC1BcbLkrI+EBr6QYV2dn5W2cPFEL3jcplZJCHFhDXQpDYXW&#10;3HQYLM/igCTeLo7BJpFjq91oTxIevM6z7EYH25N86OyADx02++0hGPjcP3O92j0+6Xfnr3mxWX60&#10;zMZcXkz3d6ASTunvGH7wBR0qYarjgRwrb0CKpN8p3mKei6xlWd3moKtS/6evvgE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">
            <v:imagedata r:id="rId190" o:title="" croptop="-1479f" cropbottom="-1221f" cropleft="-7755f" cropright="-3009f"/>
            <o:lock v:ext="edit" aspectratio="f"/>
          </v:shape>
        </w:pict>
      </w:r>
    </w:p>
    <w:p w:rsidR="009D46E6" w:rsidRDefault="009D46E6" w:rsidP="00546662">
      <w:pPr>
        <w:pStyle w:val="Zdroj"/>
      </w:pPr>
      <w:r>
        <w:t xml:space="preserve">Zdroj: ČSÚ 2013 podle údajů ÚPV ČR a vlastních dopočtů </w:t>
      </w:r>
    </w:p>
    <w:p w:rsidR="009D46E6" w:rsidRDefault="009D46E6" w:rsidP="00546662"/>
    <w:p w:rsidR="009D46E6" w:rsidRDefault="009D46E6" w:rsidP="00546662">
      <w:r>
        <w:t xml:space="preserve">Od roku 1995 bylo pro území České republiky ÚPV ČR uděleno nebo validováno téměř 50 tisíc patentů, z nichž téměř 90 % patřilo zahraničním subjektům. Především z výše uvedených důvodů (možnost validace Evropských patentů pro území České republiky od roku 2002) došlo k tomu, že jestliže v roce 1995 se tuzemští přihlašovatelé podíleli 44 % na udělených patentech v České republice, tak v roce 2005 to bylo z </w:t>
      </w:r>
      <w:r w:rsidRPr="00B93BFE">
        <w:t>15</w:t>
      </w:r>
      <w:r>
        <w:t xml:space="preserve"> % a v roce 2012 již jen z 8 %. </w:t>
      </w:r>
    </w:p>
    <w:p w:rsidR="009D46E6" w:rsidRDefault="009D46E6" w:rsidP="00546662">
      <w:r w:rsidRPr="002513BD">
        <w:t xml:space="preserve">Nejvyšší podíl na počtu udělených patentů </w:t>
      </w:r>
      <w:r>
        <w:t xml:space="preserve">v ČR </w:t>
      </w:r>
      <w:r w:rsidRPr="002513BD">
        <w:t xml:space="preserve">mají </w:t>
      </w:r>
      <w:r>
        <w:t xml:space="preserve">dlouhodobě </w:t>
      </w:r>
      <w:r w:rsidRPr="002513BD">
        <w:t>přihlašovatelé z Německa. Každý rok je téměř třetina všech patentů udělena</w:t>
      </w:r>
      <w:r>
        <w:t xml:space="preserve"> (validována)</w:t>
      </w:r>
      <w:r w:rsidRPr="002513BD">
        <w:t xml:space="preserve"> </w:t>
      </w:r>
      <w:r>
        <w:t xml:space="preserve">ÚPV ČR </w:t>
      </w:r>
      <w:r w:rsidRPr="002513BD">
        <w:t>přihlašovatelům našeho západního souseda</w:t>
      </w:r>
      <w:r>
        <w:t>. V roce 2012 šlo konkrétně o 1,5 tisíce udělených patentů</w:t>
      </w:r>
      <w:r w:rsidRPr="002513BD">
        <w:t xml:space="preserve">. </w:t>
      </w:r>
      <w:r>
        <w:t>Podíl Německa na přihlašovatelích ze zemí EU s uděleným (validovaným) patentem pro území ČR se pak dlouhodobě pohybuje kolem 50 %. Státy EU se v letech 2007 až 2012 podílely z 68 % na udělených patentech v ČR zahraničním přihlašovatelům, tj. pro zajímavost stejně jako v letech 1995 až 2000. S</w:t>
      </w:r>
      <w:r w:rsidRPr="002513BD">
        <w:t>pojené státy</w:t>
      </w:r>
      <w:r>
        <w:t xml:space="preserve"> jsou od roku 1996 d</w:t>
      </w:r>
      <w:r w:rsidRPr="002513BD">
        <w:t xml:space="preserve">ruhým nejvýznamnějším </w:t>
      </w:r>
      <w:r>
        <w:t xml:space="preserve">zahraničním </w:t>
      </w:r>
      <w:r w:rsidRPr="002513BD">
        <w:t xml:space="preserve">přihlašovatelem </w:t>
      </w:r>
      <w:r>
        <w:t xml:space="preserve">s nejvyšším počtem udělených patentů v ČR. V roce 2012 jim bylo v ČR uděleno 786 patentů. Na dalších místech se umístilo Švýcarsko (v roce 1995 bylo na druhém místě) a Francie, v obou případech s 389 udělenými patenty v roce 2012. </w:t>
      </w:r>
    </w:p>
    <w:p w:rsidR="009D46E6" w:rsidRDefault="009D46E6" w:rsidP="00786253">
      <w:r>
        <w:t xml:space="preserve">Ze 44 tisíc patentů udělených v ČR od roku 1995 zahraničním přihlašovatelům jich k 31.12.2012 bylo stále platných 60 % (26,5 tisíc), tj. téměř dvakrát větší podíl než v případě tuzemských přihlašovatelů. Téměř třetina (8,9 tisíc) z platných patentů v ČR patřila německým subjektům. Jde o hodnotu 4krát vyšší než v případě tuzemských subjektů. Kromě Německa a Spojených státu i subjekty z Francie vlastní více patentů v ČR než tuzemští přihlašovatelé. </w:t>
      </w:r>
    </w:p>
    <w:p w:rsidR="009D46E6" w:rsidRDefault="009D46E6" w:rsidP="00786253">
      <w:r>
        <w:t>Zajímavou skutečností je i to, že na základě dostupných údajů z minulosti, je u zahraničních přihlašovatelů větší pravděpodobnost, že budou u svých udělených patentů déle platit poplatky na udržení jejich platnosti. Například, jestliže z 2 tisíc udělených patentů tuzemským přihlašovatelům v letech 1995 až 2000 je jich stále platných 5,</w:t>
      </w:r>
      <w:r w:rsidRPr="00245052">
        <w:t>8</w:t>
      </w:r>
      <w:r>
        <w:t xml:space="preserve"> % tak u zahraničních přihlašovatelů je tento podíl téměř dvojnásobný a z cca 6,5 tisíce udělených patentů v tomto období je jich stále platných téměř 700. V případě Rakouska dosahuje tento ukazatel 28 % a v případě Izraele dokonce necelou polovinu.       </w:t>
      </w:r>
    </w:p>
    <w:p w:rsidR="009D46E6" w:rsidRDefault="009D46E6" w:rsidP="00786253">
      <w:r>
        <w:t xml:space="preserve">Pokud jde o oborové členění u platných patentů k 31.12.2012 pro území České republiky patřících zahraničním subjektům, nejvíce, 3,8 tisíce (14 %), jich patří pod obor Organická chemie, 3 tisíce (11 %) pod Dopravu a skladování a 2,7 tisíce (10 %) pod Lékařské, zubní  a hygienické přípravky.    </w:t>
      </w:r>
    </w:p>
    <w:p w:rsidR="009D46E6" w:rsidRDefault="009D46E6" w:rsidP="00750D9B">
      <w:pPr>
        <w:pStyle w:val="Caption"/>
      </w:pPr>
      <w:bookmarkStart w:id="182" w:name="_Toc369092060"/>
      <w:r>
        <w:t>Graf C.</w:t>
      </w:r>
      <w:fldSimple w:instr=" SEQ Graf \* ARABIC \s 1 ">
        <w:r>
          <w:rPr>
            <w:noProof/>
          </w:rPr>
          <w:t>21</w:t>
        </w:r>
      </w:fldSimple>
      <w:r>
        <w:t>: Patentová aktivita zahraničních subjektů v ČR (počet a struktura)</w:t>
      </w:r>
      <w:bookmarkEnd w:id="182"/>
    </w:p>
    <w:p w:rsidR="009D46E6" w:rsidRDefault="009D46E6" w:rsidP="001D7F37">
      <w:pPr>
        <w:pStyle w:val="Objekt"/>
      </w:pPr>
      <w:r w:rsidRPr="001D1D98">
        <w:pict>
          <v:shape id="Graf 259" o:spid="_x0000_i1196" type="#_x0000_t75" style="width:183.6pt;height:333.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gXVt33gAAAAUBAAAPAAAAZHJzL2Rvd25y&#10;ZXYueG1sTI/BTsMwEETvSP0Ha5G4UYdglSqNU7VIhRMVBDhwc+NtEtVeR7HbhH49phe4rDSa0czb&#10;fDlaw07Y+9aRhLtpAgypcrqlWsLH++Z2DswHRVoZRyjhGz0si8lVrjLtBnrDUxlqFkvIZ0pCE0KX&#10;ce6rBq3yU9chRW/veqtClH3Nda+GWG4NT5Nkxq1qKS40qsPHBqtDebQSXjdPX61JP1+eS5GK85Bu&#10;16v1Vsqb63G1ABZwDH9h+MWP6FBEpp07kvbMSIiPhMuN3v2DEMB2EmbzRAAvcv6fvvgB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">
            <v:imagedata r:id="rId191" o:title="" croptop="-573f" cropbottom="-1106f" cropleft="-345f" cropright="-2051f"/>
            <o:lock v:ext="edit" aspectratio="f"/>
          </v:shape>
        </w:pict>
      </w:r>
      <w:r w:rsidRPr="001D1D98">
        <w:pict>
          <v:shape id="Graf 260" o:spid="_x0000_i1197" type="#_x0000_t75" style="width:141.6pt;height:333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0Cbhw2wAAAAUBAAAPAAAAZHJzL2Rvd25y&#10;ZXYueG1sTI/NTsMwEITvSH0Haytxo3aDKVGIU/F75EAL4urE2ySqvQ6x26Zvj+ECl5VGM5r5tlxP&#10;zrIjjqH3pGC5EMCQGm96ahW8b1+ucmAhajLaekIFZwywrmYXpS6MP9EbHjexZamEQqEVdDEOBeeh&#10;6dDpsPADUvJ2fnQ6Jjm23Iz6lMqd5ZkQK+50T2mh0wM+dtjsNwen4Pn24+ssb6Krt2IvP1+tfHjy&#10;UqnL+XR/ByziFP/C8IOf0KFKTLU/kAnMKkiPxN+bvCy/zoDVCla5kMCrkv+nr74B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">
            <v:imagedata r:id="rId192" o:title="" croptop="-1061f" cropbottom="-1501f" cropleft="-2908f" cropright="-3211f"/>
            <o:lock v:ext="edit" aspectratio="f"/>
          </v:shape>
        </w:pict>
      </w:r>
      <w:r w:rsidRPr="001D1D98">
        <w:pict>
          <v:shape id="Graf 261" o:spid="_x0000_i1198" type="#_x0000_t75" style="width:141.6pt;height:340.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RmqUh2wAAAAUBAAAPAAAAZHJzL2Rvd25y&#10;ZXYueG1sTI/BTsMwEETvSPyDtUi9UYeUVlGIU0GriispcN/G2yRtvA6xm4S/x+UCl5VGM5p5m60n&#10;04qBetdYVvAwj0AQl1Y3XCn4eN/dJyCcR9bYWiYF3+Rgnd/eZJhqO3JBw95XIpSwS1FB7X2XSunK&#10;mgy6ue2Ig3e0vUEfZF9J3eMYyk0r4yhaSYMNh4UaO9rUVJ73F6OgexmKz/FUFK+nYbNYOjl+bXdv&#10;Ss3upucnEJ4m/xeGK35AhzwwHeyFtROtgvCI/73Bi5NFDOKgYJVEjyDzTP6nz38A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">
            <v:imagedata r:id="rId193" o:title="" croptop="-379f" cropbottom="-1883f" cropleft="-2650f" cropright="-2700f"/>
            <o:lock v:ext="edit" aspectratio="f"/>
          </v:shape>
        </w:pict>
      </w:r>
      <w:r w:rsidRPr="00215823">
        <w:t xml:space="preserve">  </w:t>
      </w:r>
    </w:p>
    <w:p w:rsidR="009D46E6" w:rsidRDefault="009D46E6" w:rsidP="00546662">
      <w:pPr>
        <w:pStyle w:val="Zdroj"/>
      </w:pPr>
      <w:r w:rsidRPr="00215823">
        <w:t>* Podíl na celkovém počtu udělených/platných patentů v ČR patřících zahraničním subjektům</w:t>
      </w:r>
    </w:p>
    <w:p w:rsidR="009D46E6" w:rsidRDefault="009D46E6" w:rsidP="00546662">
      <w:pPr>
        <w:pStyle w:val="Zdroj"/>
      </w:pPr>
      <w:r>
        <w:t>Zdroj: ČSÚ 2013 podle údajů ÚPV ČR a vlastních dopočtů</w:t>
      </w:r>
    </w:p>
    <w:p w:rsidR="009D46E6" w:rsidRPr="00786253" w:rsidRDefault="009D46E6" w:rsidP="00786253"/>
    <w:p w:rsidR="009D46E6" w:rsidRPr="003C6E2E" w:rsidRDefault="009D46E6" w:rsidP="003C6E2E">
      <w:pPr>
        <w:pStyle w:val="Heading3"/>
      </w:pPr>
      <w:bookmarkStart w:id="183" w:name="_Toc369091897"/>
      <w:r w:rsidRPr="003C6E2E">
        <w:t>Přihlašovatelé z ČR u mezinárodních patentových úřadů</w:t>
      </w:r>
      <w:bookmarkEnd w:id="183"/>
    </w:p>
    <w:p w:rsidR="009D46E6" w:rsidRDefault="009D46E6" w:rsidP="00546662">
      <w:r>
        <w:t xml:space="preserve">Kromě údajů o patentové aktivitě tuzemských subjektů v ČR, jsou k dispozici také informace o patentové aktivitě přihlašovatelů z ČR u největších ať už mezinárodních nebo významných národních patentových úřadů. Jde především o výše zmíněný Evropský patentový úřad (dále jen EPO) a </w:t>
      </w:r>
      <w:r w:rsidRPr="00AE0C35">
        <w:t>Úřad pro patenty a ochranné známky ve Spojených státech (</w:t>
      </w:r>
      <w:r>
        <w:t xml:space="preserve">dále jen </w:t>
      </w:r>
      <w:r w:rsidRPr="00AE0C35">
        <w:t>USPTO – The United States Patent and Trademark Office)</w:t>
      </w:r>
      <w:r>
        <w:t xml:space="preserve">.  </w:t>
      </w:r>
    </w:p>
    <w:p w:rsidR="009D46E6" w:rsidRDefault="009D46E6" w:rsidP="00546662">
      <w:r>
        <w:t xml:space="preserve">I když </w:t>
      </w:r>
      <w:r w:rsidRPr="00455154">
        <w:t xml:space="preserve">postupně dochází k nárůstu patentové aktivity </w:t>
      </w:r>
      <w:r>
        <w:t xml:space="preserve">tuzemských subjektů v zahraničí, stále, spolu s ostatními novými členskými státy EU, výrazně zaostáváme za vyspělými zeměmi EU. V letech 2007 až 2012 podaly subjekty z České republiky u EPO celkem 809 patentových přihlášek, ale tento počet tvořil pouze 0,09 % z celkového počtu přihlášek podaných u EPO za stejné období. Například přihlašovatelé z Finska, Dánska nebo Rakouska ve shodném období podali u EPO kolem 10 tisících patentových přihláškách, přihlašovatelé z Nizozemska téměř 38 tisíc a z Německa dokonce 158 tisíc. Obdobné údaje vycházejí i u udělených patentů EPO, kdy přihlašovatelům z ČR bylo od roku 2007 uděleno 276 patentů oproti téměř 4 tisícům přihlašovatelům z Rakouska nebo Finska a 76 tisícům z Německa. Pokud jde o patentovou aktivitu subjektů z ČR u USPTO, zůstává v posledních cca 6 letech téměř konstantní v průměru s 18 udělenými patenty ročně. Tímto počtem se na celkovém počtu udělených patentů u tohoto úřadu podílíme pouhými 0,01%. </w:t>
      </w:r>
    </w:p>
    <w:p w:rsidR="009D46E6" w:rsidRDefault="009D46E6" w:rsidP="00750D9B">
      <w:pPr>
        <w:pStyle w:val="Caption"/>
      </w:pPr>
      <w:bookmarkStart w:id="184" w:name="_Toc369092061"/>
      <w:r w:rsidRPr="00A723C4">
        <w:t>Graf C.</w:t>
      </w:r>
      <w:fldSimple w:instr=" SEQ Graf \* ARABIC \s 1 ">
        <w:r>
          <w:rPr>
            <w:noProof/>
          </w:rPr>
          <w:t>22</w:t>
        </w:r>
      </w:fldSimple>
      <w:r w:rsidRPr="00A723C4">
        <w:t xml:space="preserve">: Patentová aktivita tuzemských subjektů </w:t>
      </w:r>
      <w:r>
        <w:t>u EPO</w:t>
      </w:r>
      <w:r w:rsidRPr="00A723C4">
        <w:t xml:space="preserve"> (počet a struktura)</w:t>
      </w:r>
      <w:bookmarkEnd w:id="184"/>
    </w:p>
    <w:p w:rsidR="009D46E6" w:rsidRDefault="009D46E6" w:rsidP="001D7F37">
      <w:pPr>
        <w:pStyle w:val="Objekt"/>
      </w:pPr>
      <w:r w:rsidRPr="00A723C4">
        <w:t xml:space="preserve"> </w:t>
      </w:r>
      <w:r w:rsidRPr="007F4835">
        <w:t xml:space="preserve"> </w:t>
      </w:r>
      <w:r w:rsidRPr="001D1D98">
        <w:pict>
          <v:shape id="Graf 262" o:spid="_x0000_i1199" type="#_x0000_t75" style="width:318.6pt;height:190.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SfU+N3QAAAAUBAAAPAAAAZHJzL2Rvd25y&#10;ZXYueG1sTI9BS8NAEIXvgv9hGcGb3dhqLWk2RQQvASmNRehtkp0m0exsyG678d+7eqmXgcd7vPdN&#10;tplML840us6ygvtZAoK4trrjRsH+/fVuBcJ5ZI29ZVLwTQ42+fVVhqm2gXd0Ln0jYgm7FBW03g+p&#10;lK5uyaCb2YE4ekc7GvRRjo3UI4ZYbno5T5KlNNhxXGhxoJeW6q/yZBQMwRVFvQulOewPn+Gt2FYf&#10;j1ulbm+m5zUIT5O/hOEXP6JDHpkqe2LtRK8gPuL/bvSWi6c5iErBYpU8gMwz+Z8+/wE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">
            <v:imagedata r:id="rId194" o:title="" croptop="-2492f" cropbottom="-2827f" cropleft="-196f" cropright="-103f"/>
            <o:lock v:ext="edit" aspectratio="f"/>
          </v:shape>
        </w:pict>
      </w:r>
      <w:r w:rsidRPr="001D1D98">
        <w:pict>
          <v:shape id="Graf 263" o:spid="_x0000_i1200" type="#_x0000_t75" style="width:154.2pt;height:198.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CHs6j3AAAAAUBAAAPAAAAZHJzL2Rvd25y&#10;ZXYueG1sTI8xT8MwEIV3JP6DdUhs1GmQgIY4FUJFDAyIBIZu1/iaBGI72E4a+PVcWWA53dM7vfte&#10;vp5NLybyoXNWwXKRgCBbO93ZRsFr9XBxAyJEtBp7Z0nBFwVYF6cnOWbaHewLTWVsBIfYkKGCNsYh&#10;kzLULRkMCzeQZW/vvMHI0jdSezxwuOllmiRX0mBn+UOLA923VH+Uo1GwTavpvRvLp83nM8bvyu83&#10;j2+TUudn890tiEhz/DuGIz6jQ8FMOzdaHUSvgIvE38ne5TJlueNldZ2CLHL5n774AQ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">
            <v:imagedata r:id="rId195" o:title="" croptop="-3504f" cropbottom="-3395f" cropleft="-859f" cropright="-4092f"/>
            <o:lock v:ext="edit" aspectratio="f"/>
          </v:shape>
        </w:pict>
      </w:r>
    </w:p>
    <w:p w:rsidR="009D46E6" w:rsidRDefault="009D46E6" w:rsidP="00546662">
      <w:pPr>
        <w:pStyle w:val="Zdroj"/>
      </w:pPr>
      <w:r>
        <w:t>Poznámka č.1: VŠ – veřejná vysoká škola; VVI – veřejná výzkumná instituce;  FO – Fyzická osoba</w:t>
      </w:r>
    </w:p>
    <w:p w:rsidR="009D46E6" w:rsidRPr="003737D2" w:rsidRDefault="009D46E6" w:rsidP="00546662">
      <w:pPr>
        <w:pStyle w:val="Zdroj"/>
      </w:pPr>
      <w:r w:rsidRPr="003737D2">
        <w:t>Poznámka č.2: 1% za období 200</w:t>
      </w:r>
      <w:r>
        <w:t>0</w:t>
      </w:r>
      <w:r w:rsidRPr="003737D2">
        <w:t xml:space="preserve"> až 20</w:t>
      </w:r>
      <w:r>
        <w:t>04</w:t>
      </w:r>
      <w:r w:rsidRPr="003737D2">
        <w:t xml:space="preserve"> se </w:t>
      </w:r>
      <w:r>
        <w:t>rovná</w:t>
      </w:r>
      <w:r w:rsidRPr="003737D2">
        <w:t xml:space="preserve"> </w:t>
      </w:r>
      <w:r>
        <w:t>4,6 a  za období 2005 až 2009 pak 8,3 podaným patentovým přihláškám</w:t>
      </w:r>
    </w:p>
    <w:p w:rsidR="009D46E6" w:rsidRDefault="009D46E6" w:rsidP="00546662">
      <w:pPr>
        <w:pStyle w:val="Zdroj"/>
      </w:pPr>
      <w:r>
        <w:t>Zdroj: ČSÚ 2013 podle údajů EPO, OECD a Eurostatu</w:t>
      </w:r>
    </w:p>
    <w:p w:rsidR="009D46E6" w:rsidRDefault="009D46E6" w:rsidP="00546662"/>
    <w:p w:rsidR="009D46E6" w:rsidRPr="00786253" w:rsidRDefault="009D46E6" w:rsidP="00546662">
      <w:r>
        <w:t xml:space="preserve">Během celého období, stejně jako v případě ostatních zemí EU, pocházelo nejvíce patentových přihlášek podaných českými přihlašovateli u EPO z podnikatelského sektoru, v letech 2005–2009 (údaje za pozdější roky nejsou k dispozici) se jednalo o 596 (72 %) přihlášek. V zemích EU27 dosáhla tato hodnoty za stejné období v průměru 84 %. Od soukromých fyzických osob pak za stejné období pocházelo 102 patentových přihlášek. Přihlašovatelé z vládního sektoru podali během zmiňovaného období u EPO 38 patentových přihlášek a z vysokoškolského sektoru bylo podáno 42 přihlášek. </w:t>
      </w:r>
      <w:r w:rsidRPr="007E09AC">
        <w:t>Jak v případě vysokých škol</w:t>
      </w:r>
      <w:r>
        <w:t>,</w:t>
      </w:r>
      <w:r w:rsidRPr="007E09AC">
        <w:t xml:space="preserve"> tak i veřejných výzkumných institucí došlo v posledních letech k poměrně výraznému nárůstu počtu podaných patentových </w:t>
      </w:r>
      <w:r w:rsidRPr="00786253">
        <w:t xml:space="preserve">přihlášek u EPO. </w:t>
      </w:r>
    </w:p>
    <w:p w:rsidR="009D46E6" w:rsidRPr="00455154" w:rsidRDefault="009D46E6" w:rsidP="00786253">
      <w:pPr>
        <w:pStyle w:val="Heading4"/>
      </w:pPr>
      <w:r w:rsidRPr="00455154">
        <w:t>Mezinárodní srovnání</w:t>
      </w:r>
    </w:p>
    <w:p w:rsidR="009D46E6" w:rsidRDefault="009D46E6" w:rsidP="00546662">
      <w:r>
        <w:t xml:space="preserve">V roce 2012 podaly subjekty z ČR u EPO 138 patentových přihlášek (o 24 méně než v roce předchozím) a na milion obyvatel tak připadalo 13 přihlášek. V rámci celé Evropské unie bylo podáno u EPO ve stejném roce 65 tisíc přihlášek patentů a ty se podílely 45 % na všech přihláškách podaných u EPO. Spojené státy se již od roku 2005 podílejí přibližně jednou čtvrtinou na všech patentových přihláškách podaných u EPO a Japonsko přibližně 15 %. Z evropských států ukrajuje největší podíl z přihlášek podaných u EPO dlouhodobě Německo, a to 18 % již od roku 2005. Za Německem se s velkým odstupem nachází Francie (6,5 % podíl v letech 2007 až 2012), Švýcarsko a Nizozemsko s přibližně 4,5 % podílem za stejné období. </w:t>
      </w:r>
    </w:p>
    <w:p w:rsidR="009D46E6" w:rsidRDefault="009D46E6" w:rsidP="00750D9B">
      <w:pPr>
        <w:pStyle w:val="Caption"/>
      </w:pPr>
      <w:bookmarkStart w:id="185" w:name="_Toc369092062"/>
      <w:r>
        <w:t>Graf C.</w:t>
      </w:r>
      <w:fldSimple w:instr=" SEQ Graf \* ARABIC \s 1 ">
        <w:r>
          <w:rPr>
            <w:noProof/>
          </w:rPr>
          <w:t>23</w:t>
        </w:r>
      </w:fldSimple>
      <w:r>
        <w:t>: Patentové přihlášky podané u EPO, 2007-2012 (počet na milion obyvatel)*</w:t>
      </w:r>
      <w:bookmarkEnd w:id="185"/>
    </w:p>
    <w:p w:rsidR="009D46E6" w:rsidRDefault="009D46E6" w:rsidP="00546662">
      <w:pPr>
        <w:pStyle w:val="Zdroj"/>
      </w:pPr>
      <w:r>
        <w:rPr>
          <w:noProof/>
          <w:lang w:eastAsia="cs-CZ"/>
        </w:rPr>
        <w:pict>
          <v:group id="_x0000_s1040" style="position:absolute;left:0;text-align:left;margin-left:22.5pt;margin-top:13.2pt;width:11.3pt;height:13.75pt;z-index:251653120" coordsize="144000,174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">
            <v:line id="Přímá spojovací čára 4" o:spid="_x0000_s1041" style="position:absolute;flip:y;visibility:visible" from="0,66675" to="144000,174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Av3ccAAADcAAAADwAAAGRycy9kb3ducmV2LnhtbESPQWvCQBSE7wX/w/KE3upG26pEV7Et&#10;LQoeWhVsb4/sMxvMvg3ZNUn/fVcQehxm5htmvuxsKRqqfeFYwXCQgCDOnC44V3DYvz9MQfiArLF0&#10;TAp+ycNy0bubY6pdy1/U7EIuIoR9igpMCFUqpc8MWfQDVxFH7+RqiyHKOpe6xjbCbSlHSTKWFguO&#10;CwYrejWUnXcXq2Arw6o5Dk8vPxvz9vgxuXwenr5bpe773WoGIlAX/sO39lorGI2f4XomH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4C/dxwAAANwAAAAPAAAAAAAA&#10;AAAAAAAAAKECAABkcnMvZG93bnJldi54bWxQSwUGAAAAAAQABAD5AAAAlQMAAAAA&#10;" strokecolor="windowText" strokeweight="2pt"/>
            <v:line id="Přímá spojovací čára 5" o:spid="_x0000_s1042" style="position:absolute;flip:y;visibility:visible" from="0,0" to="144000,108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KxqscAAADcAAAADwAAAGRycy9kb3ducmV2LnhtbESPT0vDQBTE70K/w/IK3uymVdISsy1V&#10;URQ82D/QentkX7LB7NuQ3Sbx27uC4HGYmd8w+Wa0jeip87VjBfNZAoK4cLrmSsHx8HyzAuEDssbG&#10;MSn4Jg+b9eQqx0y7gXfU70MlIoR9hgpMCG0mpS8MWfQz1xJHr3SdxRBlV0nd4RDhtpGLJEmlxZrj&#10;gsGWHg0VX/uLVfAuw7Y/zcuHzzfzdPuyvHwc786DUtfTcXsPItAY/sN/7VetYJGm8HsmHg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MrGqxwAAANwAAAAPAAAAAAAA&#10;AAAAAAAAAKECAABkcnMvZG93bnJldi54bWxQSwUGAAAAAAQABAD5AAAAlQMAAAAA&#10;" strokecolor="windowText" strokeweight="2pt"/>
          </v:group>
        </w:pict>
      </w:r>
      <w:r>
        <w:rPr>
          <w:noProof/>
          <w:lang w:eastAsia="cs-CZ"/>
        </w:rPr>
        <w:pict>
          <v:group id="_x0000_s1043" style="position:absolute;left:0;text-align:left;margin-left:388.4pt;margin-top:12.75pt;width:11.3pt;height:13.75pt;z-index:251654144" coordsize="144000,174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">
            <v:line id="Přímá spojovací čára 4" o:spid="_x0000_s1044" style="position:absolute;flip:y;visibility:visible" from="0,66675" to="144000,174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GAQ8QAAADcAAAADwAAAGRycy9kb3ducmV2LnhtbERPy2rCQBTdF/yH4Ra604kPtKSO4oNK&#10;Cy6sCra7S+aaCWbuhMyYpH/fWQhdHs57vuxsKRqqfeFYwXCQgCDOnC44V3A+vfdfQfiArLF0TAp+&#10;ycNy0XuaY6pdy1/UHEMuYgj7FBWYEKpUSp8ZsugHriKO3NXVFkOEdS51jW0Mt6UcJclUWiw4Nhis&#10;aGMoux3vVsFehlVzGV7XP59mO97N7ofz5LtV6uW5W72BCNSFf/HD/aEVjKZxbTwTj4Bc/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4YBDxAAAANwAAAAPAAAAAAAAAAAA&#10;AAAAAKECAABkcnMvZG93bnJldi54bWxQSwUGAAAAAAQABAD5AAAAkgMAAAAA&#10;" strokecolor="windowText" strokeweight="2pt"/>
            <v:line id="Přímá spojovací čára 5" o:spid="_x0000_s1045" style="position:absolute;flip:y;visibility:visible" from="0,0" to="144000,108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0l2MgAAADcAAAADwAAAGRycy9kb3ducmV2LnhtbESPT2vCQBTE7wW/w/KE3upGW/wTXcW2&#10;tCh4aFWwvT2yz2ww+zZk1yT99l2h0OMwM79hFqvOlqKh2heOFQwHCQjizOmCcwXHw9vDFIQPyBpL&#10;x6Tghzyslr27BabatfxJzT7kIkLYp6jAhFClUvrMkEU/cBVx9M6uthiirHOpa2wj3JZylCRjabHg&#10;uGCwohdD2WV/tQp2Mqyb0/D8/L01r4/vk+vH8emrVeq+363nIAJ14T/8195oBaPxDG5n4hGQy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60l2MgAAADcAAAADwAAAAAA&#10;AAAAAAAAAAChAgAAZHJzL2Rvd25yZXYueG1sUEsFBgAAAAAEAAQA+QAAAJYDAAAAAA==&#10;" strokecolor="windowText" strokeweight="2pt"/>
          </v:group>
        </w:pict>
      </w:r>
      <w:r w:rsidRPr="001D1D98">
        <w:rPr>
          <w:noProof/>
          <w:lang w:eastAsia="cs-CZ"/>
        </w:rPr>
        <w:pict>
          <v:shape id="Graf 50" o:spid="_x0000_i1201" type="#_x0000_t75" style="width:471.6pt;height:201.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rzQUA2wAAAAUBAAAPAAAAZHJzL2Rvd25y&#10;ZXYueG1sTI/BTsMwEETvSPyDtUjcqNMAEYQ4VYXEBXGAgDhv420c1V6H2GmTv8dwgctKoxnNvK02&#10;s7PiSGPoPStYrzIQxK3XPXcKPt6fru5AhIis0XomBQsF2NTnZxWW2p/4jY5N7EQq4VCiAhPjUEoZ&#10;WkMOw8oPxMnb+9FhTHLspB7xlMqdlXmWFdJhz2nB4ECPhtpDMzkFL/ulNZ/9c/G1DaF79YdlsreN&#10;UpcX8/YBRKQ5/oXhBz+hQ52Ydn5iHYRVkB6Jvzd598U6B7FTcJNd5yDrSv6nr78B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">
            <v:imagedata r:id="rId196" o:title="" croptop="-3202f" cropbottom="-2252f" cropleft="-406f" cropright="-1315f"/>
            <o:lock v:ext="edit" aspectratio="f"/>
          </v:shape>
        </w:pict>
      </w:r>
    </w:p>
    <w:p w:rsidR="009D46E6" w:rsidRPr="00D3718C" w:rsidRDefault="009D46E6" w:rsidP="00546662">
      <w:pPr>
        <w:pStyle w:val="Zdroj"/>
      </w:pPr>
      <w:r>
        <w:t xml:space="preserve">*Průměrný roční počet podaných přihlášek patentů v letech 2007 až 2012 vztažený na milion obyvatel </w:t>
      </w:r>
    </w:p>
    <w:p w:rsidR="009D46E6" w:rsidRDefault="009D46E6" w:rsidP="00546662">
      <w:pPr>
        <w:pStyle w:val="Zdroj"/>
      </w:pPr>
      <w:r>
        <w:t>Zdroj: ČSÚ 2013 podle údajů EPO</w:t>
      </w:r>
    </w:p>
    <w:p w:rsidR="009D46E6" w:rsidRDefault="009D46E6" w:rsidP="00546662">
      <w:r>
        <w:t>Pokud patentové přihlášky vztáhneme k milionu obyvatel, dosahuje nejvyšších hodnot Švýcarsko s 832 patenty na milion obyvatel v roce 2012. Více než 300 přihlášek připadalo na milion obyvatel v Lucembursku, Nizozemsku, Německu, Finsku a Švédsku. Průměr za EU27 dosáhl ve stejném roce u tohoto ukazatele hodnoty 129 patentových přihlášek oproti 13 v České republice. V tomto ukazateli jsme tak stále hluboko pod průměrem EU27 a na pomyslném žebříčku v rámci EU27 bychom se v tomto ukazateli umístili na 18 místě. Kromě Estonska, Slovinska, Kypru a Malty jsme ale před všemi novými členskými zeměmi EU27.</w:t>
      </w:r>
    </w:p>
    <w:p w:rsidR="009D46E6" w:rsidRDefault="009D46E6" w:rsidP="00546662">
      <w:r>
        <w:t>Společně se zvyšujícím se počtem patentových přihlášek pak narůstá, během posledních let, i počet patentů udělených EPO přihlašovatelům z ČR. Zatímco v roce 2005 obdrželi přihlašovatelé z České republiky od Evropského patentového úřadu 27 patentů, tak v posledních dvou letech se jednalo již o 55 udělených patentů ročně. Přesto přepočteno na milión obyvatel (5,2), i v tomto ukazateli výrazně zaostáváme za průměrem EU27 (58,7 v roce 2012). Nejvíce patentů udělených Evropským patentovým úřadem na milion obyvatel připadalo stejně jako v případě patentových přihlášek na Švýcarsko, Lucembursko, Německo, Švédsko a Finsko.</w:t>
      </w:r>
    </w:p>
    <w:p w:rsidR="009D46E6" w:rsidRDefault="009D46E6" w:rsidP="00546662"/>
    <w:p w:rsidR="009D46E6" w:rsidRPr="00D3718C" w:rsidRDefault="009D46E6" w:rsidP="003C6E2E">
      <w:pPr>
        <w:pStyle w:val="Heading3"/>
      </w:pPr>
      <w:bookmarkStart w:id="186" w:name="_Toc369091898"/>
      <w:r>
        <w:t xml:space="preserve">Příjmy z licenčních poplatků </w:t>
      </w:r>
      <w:r w:rsidRPr="00D3718C">
        <w:t>na patenty a užitné vzory</w:t>
      </w:r>
      <w:bookmarkEnd w:id="186"/>
    </w:p>
    <w:p w:rsidR="009D46E6" w:rsidRPr="001F6152" w:rsidRDefault="009D46E6" w:rsidP="00546662">
      <w:r w:rsidRPr="00405CCD">
        <w:t xml:space="preserve">Poskytování </w:t>
      </w:r>
      <w:r>
        <w:t xml:space="preserve">patentových a vzorových </w:t>
      </w:r>
      <w:r w:rsidRPr="00405CCD">
        <w:t xml:space="preserve">licencí je jedním z prostředků k získání finančních příjmů nebo jiné formy prospěchu z výsledků vynálezecké činnosti. </w:t>
      </w:r>
      <w:r w:rsidRPr="003F4EBC">
        <w:t xml:space="preserve">Především u veřejných vysokých škol </w:t>
      </w:r>
      <w:r>
        <w:t xml:space="preserve">(dále jen VVŠ) </w:t>
      </w:r>
      <w:r w:rsidRPr="003F4EBC">
        <w:t xml:space="preserve">a </w:t>
      </w:r>
      <w:r>
        <w:t xml:space="preserve">veřejných </w:t>
      </w:r>
      <w:r w:rsidRPr="003F4EBC">
        <w:t>výzkumných institucí</w:t>
      </w:r>
      <w:r>
        <w:t xml:space="preserve"> (dále jen VVI)</w:t>
      </w:r>
      <w:r w:rsidRPr="003F4EBC">
        <w:t xml:space="preserve"> bychom mohli očekávat, že vynálezy nebo nová technická řešení vzniklá z jejich výzkumných a vývojových aktivit, které se chrání prostřednictvím patentu nebo užitného vzoru budou komerčně využívat prostřednictvím jejich licencování třetím subjektům (podnikům). Dalo by se předpokládat, že s tím jak v posledních letech u nás výrazně roste počet udělených patentů a zapsaných užitných vzorů, především veřejným vysokým školám (viz předchozí kapitoly), mohlo by dojít i k nárůstu počtu uzavřených licenčních smluv na tyto instituty průmyslového vlastnictví a zvýšení příjmů </w:t>
      </w:r>
      <w:r w:rsidRPr="001F6152">
        <w:t xml:space="preserve">z těchto licencí. Z dat získaných z výše uvedeného šetření o licencích tento předpoklad jednoznačně nevyplývá. Zatímco za poslední dva roky bylo VVŠ uděleno 249 patentů a zapsáno 898 užitných vzorů, tyto instituce za stejné období uzavřely 36 nových licenčních smluv na patenty a 12 na užitné vzory. </w:t>
      </w:r>
    </w:p>
    <w:p w:rsidR="009D46E6" w:rsidRDefault="009D46E6" w:rsidP="00546662">
      <w:r w:rsidRPr="001F6152">
        <w:t>V roce 2012 bylo v České republice zjištěno celkem 748 platných licencí (v roce 2011 to bylo 599) poskytnutých na právo využívat vynález nebo technické řešení chráněné patentem nebo užitným vzorem. Těchto 748 patentových nebo vzorových licencí poskytovalo 122 subjektů, z nichž polovinu tvořily podniky, 31 patřilo fyzickým osobám, ve 13 případech šlo o VVI a ve 13 o VVŠ. Ve stejném roce dosáhl příjem z těchto licencí 1 675 mil. Kč. Je ovšem třeba zdůraznit, že na této částce se dle veřejně dostupných informací podílel z 82 % Ústav organické chemie a biochemie AV ČR. Obdobný podíl dosahoval tentýž subjekt i v předchozích letech. Pokud nebudeme počítat licenční příjmy této instituce, dosahují výnosy z komercializace výzkumné a vývojové aktivity prostřednictvím licencování patentů a užitných vzorů v České republice zanedbatelných hodnot, a to především u VVŠ a ostatních VVI (viz i údaje získané v rámci Ročního šetření o výzkumu vývoji VTR 5-01 uvedené v kapitole A1).</w:t>
      </w:r>
      <w:r>
        <w:t xml:space="preserve"> </w:t>
      </w:r>
    </w:p>
    <w:p w:rsidR="009D46E6" w:rsidRDefault="009D46E6" w:rsidP="00DC7CA9">
      <w:r>
        <w:t xml:space="preserve">Z celkového počtu poskytnutých licencí na patenty a užitné vzory platných v roce 2012 jich byla pětina (160) uzavřena nově právě v roce 2012. Na jednu nově uzavřenou licenci pak připadalo v průměru 78 tisíc Kč inkasovaných licenčních poplatků. Poměrně překvapivým zjištěním je skutečnost, že vyšší příjmy z nově uzavřených licenčních smluv v roce 2011 plynuly z práv poskytnutých na využívání technických řešeních chráněných užitným vzorem než vynálezů chráněných patentem (12,6 mil. Kč oproti 3,4 mil. Kč). V roce 2012 se tento poměr obrátil a příjmy z nově uzavřených licenčních smluv na užitné vzory dosáhly 4,5 mil. Kč oproti 8,1 mil. Kč za patentové licence.  </w:t>
      </w:r>
    </w:p>
    <w:p w:rsidR="009D46E6" w:rsidRDefault="009D46E6" w:rsidP="00546662"/>
    <w:p w:rsidR="009D46E6" w:rsidRDefault="009D46E6" w:rsidP="00950C86">
      <w:pPr>
        <w:pStyle w:val="Caption"/>
        <w:tabs>
          <w:tab w:val="clear" w:pos="1276"/>
          <w:tab w:val="left" w:pos="1134"/>
        </w:tabs>
        <w:ind w:left="1134" w:hanging="1134"/>
      </w:pPr>
      <w:bookmarkStart w:id="187" w:name="_Toc369092063"/>
      <w:r>
        <w:t>Graf C.</w:t>
      </w:r>
      <w:fldSimple w:instr=" SEQ Graf \* ARABIC \s 1 ">
        <w:r>
          <w:rPr>
            <w:noProof/>
          </w:rPr>
          <w:t>24</w:t>
        </w:r>
      </w:fldSimple>
      <w:r>
        <w:t>: Příjmy subjektů působících v ČR z licenčních poplatků za poskytnuté právo využívat vynálezy/technické řešení chráněné patentem nebo užitným vzorem (mil. Kč, %)</w:t>
      </w:r>
      <w:bookmarkEnd w:id="187"/>
      <w:r>
        <w:t xml:space="preserve"> </w:t>
      </w:r>
    </w:p>
    <w:p w:rsidR="009D46E6" w:rsidRDefault="009D46E6" w:rsidP="001D7F37">
      <w:pPr>
        <w:pStyle w:val="Objekt"/>
      </w:pPr>
      <w:r w:rsidRPr="001D1D98">
        <w:pict>
          <v:shape id="Graf 270" o:spid="_x0000_i1202" type="#_x0000_t75" style="width:308.4pt;height:196.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Y4W4I3gAAAAUBAAAPAAAAZHJzL2Rvd25y&#10;ZXYueG1sTI/BTsMwEETvSPyDtUhcKuq0iUIb4lQRqBKnqpR+gBsvSUS8DrHbBL6ehQtcRlrNauZN&#10;vplsJy44+NaRgsU8AoFUOdNSreD4ur1bgfBBk9GdI1TwiR42xfVVrjPjRnrByyHUgkPIZ1pBE0Kf&#10;SemrBq32c9cjsffmBqsDn0MtzaBHDredXEZRKq1uiRsa3eNjg9X74WwVJF+zcrubyqdFsh/vZ7uP&#10;5HkfJ0rd3kzlA4iAU/h7hh98RoeCmU7uTMaLTgEPCb/KXrpc8YyTgngdpyCLXP6nL74B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">
            <v:imagedata r:id="rId197" o:title="" croptop="-5666f" cropbottom="-3726f" cropleft="-311f" cropright="-1597f"/>
            <o:lock v:ext="edit" aspectratio="f"/>
          </v:shape>
        </w:pict>
      </w:r>
      <w:r w:rsidRPr="001D1D98">
        <w:pict>
          <v:shape id="Graf 271" o:spid="_x0000_i1203" type="#_x0000_t75" style="width:153pt;height:196.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T19Jk2wAAAAUBAAAPAAAAZHJzL2Rvd25y&#10;ZXYueG1sTI9BT8MwDIXvSPyHyEhcEEu2obGVphOaBOdRYBK3rPHaisapkmwt/Ho8LnCx/PSs5+/l&#10;69F14oQhtp40TCcKBFLlbUu1hrfXp9sliJgMWdN5Qg1fGGFdXF7kJrN+oBc8lakWHEIxMxqalPpM&#10;ylg16Eyc+B6JvYMPziSWoZY2mIHDXSdnSi2kMy3xh8b0uGmw+iyPTsON+q7irny2m5V6H8L2w9/X&#10;uzutr6/GxwcQCcf0dwxnfEaHgpn2/kg2ik4DF0m/k735dMZyz8tqvgBZ5PI/ffED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">
            <v:imagedata r:id="rId198" o:title="" croptop="-5651f" cropbottom="-3527f" cropleft="-645f" cropright="-3158f"/>
            <o:lock v:ext="edit" aspectratio="f"/>
          </v:shape>
        </w:pict>
      </w:r>
    </w:p>
    <w:p w:rsidR="009D46E6" w:rsidRDefault="009D46E6" w:rsidP="00546662">
      <w:pPr>
        <w:pStyle w:val="Zdroj"/>
      </w:pPr>
      <w:r>
        <w:t xml:space="preserve">*Bez licenčních příjmů Ústavu organické chemie a biochemie AV ČR, v.v.i. uvedených v příslušných výročních zprávách </w:t>
      </w:r>
    </w:p>
    <w:p w:rsidR="009D46E6" w:rsidRDefault="009D46E6" w:rsidP="00546662">
      <w:pPr>
        <w:pStyle w:val="Zdroj"/>
      </w:pPr>
      <w:r>
        <w:t>Poznámka č.1: VŠ – veřejná vysoká škola; VVI – veřejná výzkumná instituce; FO – podnikající nebo nepodnikající fyzická osoba</w:t>
      </w:r>
    </w:p>
    <w:p w:rsidR="009D46E6" w:rsidRPr="00D3718C" w:rsidRDefault="009D46E6" w:rsidP="00546662">
      <w:pPr>
        <w:pStyle w:val="Zdroj"/>
      </w:pPr>
      <w:r>
        <w:t xml:space="preserve">Poznámka č.2: V roce 2012 se 1 % příjmů z licenčních smluv celkem* rovná a z nově uzavřených   </w:t>
      </w:r>
    </w:p>
    <w:p w:rsidR="009D46E6" w:rsidRDefault="009D46E6" w:rsidP="00546662">
      <w:pPr>
        <w:pStyle w:val="Zdroj"/>
      </w:pPr>
      <w:r>
        <w:t>Zdroj: Český statistický úřad 2013, Roční šetření o licencích Lic 5-01</w:t>
      </w:r>
    </w:p>
    <w:p w:rsidR="009D46E6" w:rsidRPr="00DC7CA9" w:rsidRDefault="009D46E6" w:rsidP="00DC7CA9"/>
    <w:p w:rsidR="009D46E6" w:rsidRPr="00BD47BF" w:rsidRDefault="009D46E6" w:rsidP="00DC7CA9">
      <w:pPr>
        <w:pStyle w:val="Heading4"/>
      </w:pPr>
      <w:r w:rsidRPr="001F6152">
        <w:t>Patentové licence</w:t>
      </w:r>
    </w:p>
    <w:p w:rsidR="009D46E6" w:rsidRPr="001F6152" w:rsidRDefault="009D46E6" w:rsidP="00546662">
      <w:r>
        <w:t xml:space="preserve">V roce 2012 získaly subjekty z České republiky za poskytnuté licence na patenty sice téměř 1,5 mld. Kč, ale jen 8 mil. Kč pocházelo z nových licencí. Jak již bylo uvedeno výše, v získaných licenčních příjmech </w:t>
      </w:r>
      <w:r w:rsidRPr="001F6152">
        <w:t xml:space="preserve">z průmyslového vlastnictví u nás dominuje Ústav organické chemie a biochemie AV ČR, v.v.i., který za své vynálezy vzešlé z práce týmu </w:t>
      </w:r>
      <w:r>
        <w:t>p</w:t>
      </w:r>
      <w:r w:rsidRPr="001F6152">
        <w:t>rof. Antonína Holého především v 80 letech minulého století, každoročně získává na české poměry výrazné licenční poplatky</w:t>
      </w:r>
      <w:r w:rsidRPr="001F6152">
        <w:rPr>
          <w:rStyle w:val="FootnoteReference"/>
          <w:rFonts w:cs="MetaPro-Normal"/>
        </w:rPr>
        <w:footnoteReference w:id="45"/>
      </w:r>
      <w:r w:rsidRPr="001F6152">
        <w:t xml:space="preserve">. Bez těchto příjmů, výše všech ostatních přijatých poplatků z patentových licencí se v České republice pohybuje pouze v řádu desítek miliónu korun, s tím, že většina z nich tvoří příjmy podnikatelských subjektů. V roce 2012 šlo konkrétně o 100 mil. Kč, z nichž 70 % (49 mil. Kč) připadalo na podniky a pouze 6 mil. Kč na ostatní VVI a 2 mil. Kč na VVŠ.   </w:t>
      </w:r>
    </w:p>
    <w:p w:rsidR="009D46E6" w:rsidRPr="000919E5" w:rsidRDefault="009D46E6" w:rsidP="00546662">
      <w:r w:rsidRPr="001F6152">
        <w:t>V České republice je 73 subjektů, které měly v roce 2012 uzavřenou platnou licenční smlouvu poskytující</w:t>
      </w:r>
      <w:r w:rsidRPr="000919E5">
        <w:t xml:space="preserve"> právo použít vynález či technické řešení chráněné uděleným patentem, tj. o </w:t>
      </w:r>
      <w:r>
        <w:t>15</w:t>
      </w:r>
      <w:r w:rsidRPr="000919E5">
        <w:t xml:space="preserve"> více než v předchozím roce a o </w:t>
      </w:r>
      <w:r>
        <w:t>33</w:t>
      </w:r>
      <w:r w:rsidRPr="000919E5">
        <w:t xml:space="preserve"> </w:t>
      </w:r>
      <w:r>
        <w:t xml:space="preserve">více </w:t>
      </w:r>
      <w:r w:rsidRPr="000919E5">
        <w:t xml:space="preserve">než v roce 2007. Z těchto </w:t>
      </w:r>
      <w:r>
        <w:t>73</w:t>
      </w:r>
      <w:r w:rsidRPr="000919E5">
        <w:t xml:space="preserve"> subjektů, 60 % patřilo </w:t>
      </w:r>
      <w:r>
        <w:t>do podnikatelského sektoru (podniky nebo podnikající fyzické osoby)</w:t>
      </w:r>
      <w:r w:rsidRPr="000919E5">
        <w:t xml:space="preserve">. Zatímco podniky, fyzické osoby a částečně </w:t>
      </w:r>
      <w:r>
        <w:t>i VVI</w:t>
      </w:r>
      <w:r w:rsidRPr="000919E5">
        <w:t xml:space="preserve"> využívaly licencování svých patentů i před rokem 2011, vysoké školy začaly s licencováním svých vynálezu až v posledních dvou letech. Jestliže v roce 2012 mělo 12 </w:t>
      </w:r>
      <w:r>
        <w:t>VVŠ</w:t>
      </w:r>
      <w:r w:rsidRPr="000919E5">
        <w:t xml:space="preserve"> uzavřeno 51 </w:t>
      </w:r>
      <w:r>
        <w:t xml:space="preserve">patentových </w:t>
      </w:r>
      <w:r w:rsidRPr="000919E5">
        <w:t>licencí poskytujících právo používat jejich vynález či technické řešení</w:t>
      </w:r>
      <w:r>
        <w:t>,</w:t>
      </w:r>
      <w:r w:rsidRPr="000919E5">
        <w:t xml:space="preserve"> tak v roce 2007 to byly 4 vysoké školy se 7</w:t>
      </w:r>
      <w:r>
        <w:t xml:space="preserve"> patentovými </w:t>
      </w:r>
      <w:r w:rsidRPr="000919E5">
        <w:t>licencemi a příjmy ve výši 200 tis. Kč.</w:t>
      </w:r>
    </w:p>
    <w:p w:rsidR="009D46E6" w:rsidRDefault="009D46E6" w:rsidP="00546662">
      <w:r>
        <w:t>V roce 2012 osm z deseti subjektů s uzavřenou platnou licenční smlouvou na poskytnutí práva využívat vynález chráněny patentem, mělo tuto smlouvu uzavřenou s tuzemským subjektem a čtyři z deseti jich podepsalo novou smlouvu právě v roce 2012. Zajímavé zjištění přináší informace o počtu poskytovatelů licencí na patenty podle výše, za ně přijatých, ročních poplatků. V roce 2012 jen pětina subjektů za své licence obdržela více jak jeden milión korun a naopak téměř 40 % poskytovalo právo využívat svůj chráněný vynález nebo technické řešení bez jakýchkoliv licenčních příjmů v sledovaném roce.</w:t>
      </w:r>
    </w:p>
    <w:p w:rsidR="009D46E6" w:rsidRDefault="009D46E6">
      <w:pPr>
        <w:spacing w:before="200" w:after="200" w:line="276" w:lineRule="auto"/>
        <w:jc w:val="left"/>
      </w:pPr>
      <w:r>
        <w:br w:type="page"/>
      </w:r>
    </w:p>
    <w:p w:rsidR="009D46E6" w:rsidRDefault="009D46E6" w:rsidP="00A3662F">
      <w:pPr>
        <w:pStyle w:val="Caption"/>
        <w:tabs>
          <w:tab w:val="clear" w:pos="1276"/>
        </w:tabs>
        <w:ind w:left="1134" w:hanging="1134"/>
      </w:pPr>
      <w:bookmarkStart w:id="188" w:name="_Toc369092064"/>
      <w:r w:rsidRPr="00C76ECA">
        <w:t>Graf C.</w:t>
      </w:r>
      <w:fldSimple w:instr=" SEQ Graf \* ARABIC \s 1 ">
        <w:r>
          <w:rPr>
            <w:noProof/>
          </w:rPr>
          <w:t>25</w:t>
        </w:r>
      </w:fldSimple>
      <w:r w:rsidRPr="00C76ECA">
        <w:t>: Počet subjektů v ČR s uzavřenou platnou licencí</w:t>
      </w:r>
      <w:r>
        <w:t xml:space="preserve"> poskytnutou na </w:t>
      </w:r>
      <w:r w:rsidRPr="003971A6">
        <w:t xml:space="preserve">právo využívat </w:t>
      </w:r>
      <w:r>
        <w:t xml:space="preserve">své </w:t>
      </w:r>
      <w:r w:rsidRPr="003971A6">
        <w:t xml:space="preserve">vynálezy chráněné patentem </w:t>
      </w:r>
      <w:r>
        <w:t>třetí osobou</w:t>
      </w:r>
      <w:bookmarkEnd w:id="188"/>
    </w:p>
    <w:p w:rsidR="009D46E6" w:rsidRPr="0064299D" w:rsidRDefault="009D46E6" w:rsidP="00DC7CA9">
      <w:r>
        <w:tab/>
      </w:r>
      <w:r>
        <w:tab/>
      </w:r>
      <w:r w:rsidRPr="0064299D">
        <w:t xml:space="preserve">a) </w:t>
      </w:r>
      <w:r>
        <w:t>Celkem</w:t>
      </w:r>
    </w:p>
    <w:p w:rsidR="009D46E6" w:rsidRDefault="009D46E6" w:rsidP="001D7F37">
      <w:pPr>
        <w:pStyle w:val="Objekt"/>
      </w:pPr>
      <w:r w:rsidRPr="0064299D">
        <w:t xml:space="preserve"> </w:t>
      </w:r>
      <w:r w:rsidRPr="003971A6">
        <w:t xml:space="preserve"> </w:t>
      </w:r>
      <w:r w:rsidRPr="001D1D98">
        <w:pict>
          <v:shape id="Graf 273" o:spid="_x0000_i1204" type="#_x0000_t75" style="width:212.4pt;height:124.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UECq03gAAAAUBAAAPAAAAZHJzL2Rvd25y&#10;ZXYueG1sTI/BTsMwEETvSP0HaytxQdTBtBUKcaoCakUPVKL0A9x4m0SN11HstIGvZ+ECl5FWs5p5&#10;ky0G14gzdqH2pOFukoBAKrytqdSw/1jdPoAI0ZA1jSfU8IkBFvnoKjOp9Rd6x/MuloJDKKRGQxVj&#10;m0oZigqdCRPfIrF39J0zkc+ulLYzFw53jVRJMpfO1MQNlWnxucLitOudhvXT/uttG25eX6xaqbWv&#10;+/vjZqv19XhYPoKIOMS/Z/jBZ3TImenge7JBNBp4SPxV9qZqyjMOGtRsNgeZZ/I/ff4N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">
            <v:imagedata r:id="rId199" o:title="" croptop="-2357f" cropbottom="-2028f" cropleft="-1568f" cropright="-2335f"/>
            <o:lock v:ext="edit" aspectratio="f"/>
          </v:shape>
        </w:pict>
      </w:r>
      <w:r w:rsidRPr="001D1D98">
        <w:pict>
          <v:shape id="Graf 274" o:spid="_x0000_i1205" type="#_x0000_t75" style="width:236.4pt;height:124.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3ycD3gAAAAUBAAAPAAAAZHJzL2Rvd25y&#10;ZXYueG1sTI9PS8NAEMXvQr/DMgVvdmNoS4nZFCMoCoL2H3icZqdJMDsbsps29tO7emkvA4/3eO83&#10;6XIwjThS52rLCu4nEQjiwuqaSwXbzfPdAoTzyBoby6Tghxwss9FNiom2J17Rce1LEUrYJaig8r5N&#10;pHRFRQbdxLbEwTvYzqAPsiul7vAUyk0j4yiaS4M1h4UKW3qqqPhe90bBx+btsCv7+v38kn/i+ZXy&#10;FX7lSt2Oh8cHEJ4GfwnDH35Ahyww7W3P2olGQXjE/9/gTRfxFMReQTybzUFmqbymz34B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">
            <v:imagedata r:id="rId200" o:title="" croptop="-2357f" cropbottom="-2028f" cropleft="-2237f" cropright="-2222f"/>
            <o:lock v:ext="edit" aspectratio="f"/>
          </v:shape>
        </w:pict>
      </w:r>
    </w:p>
    <w:p w:rsidR="009D46E6" w:rsidRPr="00DC7CA9" w:rsidRDefault="009D46E6" w:rsidP="00DC7CA9">
      <w:r w:rsidRPr="00DC7CA9">
        <w:tab/>
      </w:r>
      <w:r>
        <w:tab/>
      </w:r>
      <w:r w:rsidRPr="00DC7CA9">
        <w:t xml:space="preserve">b) S nově uzavřenou patentovou licencí v sledovaném roce   </w:t>
      </w:r>
    </w:p>
    <w:p w:rsidR="009D46E6" w:rsidRDefault="009D46E6" w:rsidP="001D7F37">
      <w:pPr>
        <w:pStyle w:val="Objekt"/>
      </w:pPr>
      <w:r w:rsidRPr="003971A6">
        <w:t xml:space="preserve"> </w:t>
      </w:r>
      <w:r w:rsidRPr="0064299D">
        <w:t xml:space="preserve"> </w:t>
      </w:r>
      <w:r w:rsidRPr="001D1D98">
        <w:pict>
          <v:shape id="Graf 275" o:spid="_x0000_i1206" type="#_x0000_t75" style="width:212.4pt;height:124.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">
            <v:imagedata r:id="rId201" o:title="" croptop="-2357f" cropbottom="-2028f" cropleft="-1583f" cropright="-3001f"/>
            <o:lock v:ext="edit" aspectratio="f"/>
          </v:shape>
        </w:pict>
      </w:r>
      <w:r w:rsidRPr="001D1D98">
        <w:pict>
          <v:shape id="Graf 276" o:spid="_x0000_i1207" type="#_x0000_t75" style="width:236.4pt;height:124.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biZBM2gAAAAUBAAAPAAAAZHJzL2Rvd25y&#10;ZXYueG1sTI/NboMwEITvlfoO1kbqrTGhhEYUE0WVeuKUnwdY8AZQ8JpiJ9C3r9NLc1lpNKOZb/Pt&#10;bHpxo9F1lhWslhEI4trqjhsFp+PX6waE88gae8uk4IccbIvnpxwzbSfe0+3gGxFK2GWooPV+yKR0&#10;dUsG3dIOxME729GgD3JspB5xCuWml3EUpdJgx2GhxYE+W6ovh6tRMEXlm/H16p3x/M3p7lSVyVwq&#10;9bKYdx8gPM3+Pwx3/IAORWCq7JW1E72C8Ij/u8FLNnEColIQr9cpyCKXj/TFLwA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">
            <v:imagedata r:id="rId202" o:title="" croptop="-2357f" cropbottom="-2028f" cropleft="-2237f" cropright="-2222f"/>
            <o:lock v:ext="edit" aspectratio="f"/>
          </v:shape>
        </w:pict>
      </w:r>
    </w:p>
    <w:p w:rsidR="009D46E6" w:rsidRDefault="009D46E6" w:rsidP="00546662">
      <w:pPr>
        <w:pStyle w:val="Zdroj"/>
      </w:pPr>
      <w:r>
        <w:t>Poznámka č.1: VŠ – veřejná vysoká škola; VVI – veřejná výzkumná instituce; FO – podnikající nebo nepodnikající fyzická osoba</w:t>
      </w:r>
    </w:p>
    <w:p w:rsidR="009D46E6" w:rsidRDefault="009D46E6" w:rsidP="00546662">
      <w:pPr>
        <w:pStyle w:val="Zdroj"/>
      </w:pPr>
      <w:r>
        <w:t>Zdroj: Český statistický úřad 2013, Roční šetření o licencích Lic 5-01</w:t>
      </w:r>
    </w:p>
    <w:p w:rsidR="009D46E6" w:rsidRDefault="009D46E6" w:rsidP="00546662">
      <w:pPr>
        <w:rPr>
          <w:highlight w:val="yellow"/>
        </w:rPr>
      </w:pPr>
    </w:p>
    <w:p w:rsidR="009D46E6" w:rsidRDefault="009D46E6" w:rsidP="00546662">
      <w:r w:rsidRPr="00BE6812">
        <w:t xml:space="preserve">Výše uvedených 73 subjektů mělo uzavřeno celkem 418 platných licencí na 214 patentů, přičemž 80 z nich bylo uzavřeno právě v roce 2012. Většina poskytnutých patentových licencí pochází dlouhodobě od podniků, v roce 2012 se jednalo o </w:t>
      </w:r>
      <w:r>
        <w:t xml:space="preserve">více jak </w:t>
      </w:r>
      <w:r w:rsidRPr="00BE6812">
        <w:t>polovinu (215) z platných licencí. V</w:t>
      </w:r>
      <w:r>
        <w:t>VI</w:t>
      </w:r>
      <w:r w:rsidRPr="00BE6812">
        <w:t xml:space="preserve"> měly ve stejném roce 59 </w:t>
      </w:r>
      <w:r>
        <w:t>(</w:t>
      </w:r>
      <w:r w:rsidRPr="00BE6812">
        <w:t xml:space="preserve">49 </w:t>
      </w:r>
      <w:r>
        <w:t xml:space="preserve">z nich </w:t>
      </w:r>
      <w:r w:rsidRPr="00BE6812">
        <w:t>patřil</w:t>
      </w:r>
      <w:r>
        <w:t>o</w:t>
      </w:r>
      <w:r w:rsidRPr="00BE6812">
        <w:t xml:space="preserve"> ústavům Akademie věd ČR</w:t>
      </w:r>
      <w:r>
        <w:t>)</w:t>
      </w:r>
      <w:r w:rsidRPr="00BE6812">
        <w:t xml:space="preserve"> a </w:t>
      </w:r>
      <w:r>
        <w:t xml:space="preserve">VVŠ </w:t>
      </w:r>
      <w:r w:rsidRPr="00BE6812">
        <w:t>51 patentových licencí.  V posledních dvou letech je počet nově poskytnutých licencí výrazně vyšší u VVŠ než VVI. V roce 2012 šlo konkrétně o 16 licencí v případě VVŠ oproti 5 u VVI, ale příjmy z těchto nově poskytnutých licencí byly u obou typů subjektů téměř stejné (588 tisíc Kč pro VVŠ a 661 tisíc Kč pro VVI).</w:t>
      </w:r>
      <w:r>
        <w:t xml:space="preserve">    </w:t>
      </w:r>
    </w:p>
    <w:p w:rsidR="009D46E6" w:rsidRDefault="009D46E6" w:rsidP="00546662">
      <w:r>
        <w:t>Pokud porovnáme počet platných patentů pro území České republiky patřících tuzemských subjektům s počtem těch, ke kterým byla uzavřena licenční smlouva, můžeme konstatovat, že p</w:t>
      </w:r>
      <w:r w:rsidRPr="003C4451">
        <w:t xml:space="preserve">odíl licencovaných patentů je </w:t>
      </w:r>
      <w:r>
        <w:t xml:space="preserve">u nás stále </w:t>
      </w:r>
      <w:r w:rsidRPr="003C4451">
        <w:t xml:space="preserve">velmi nízký. </w:t>
      </w:r>
      <w:r>
        <w:t xml:space="preserve">Lze tedy předpokládat, </w:t>
      </w:r>
      <w:r w:rsidRPr="003C4451">
        <w:t xml:space="preserve">že nárůst počtu patentů </w:t>
      </w:r>
      <w:r>
        <w:t xml:space="preserve">v posledních letech </w:t>
      </w:r>
      <w:r w:rsidRPr="003C4451">
        <w:t xml:space="preserve">odpovídá </w:t>
      </w:r>
      <w:r>
        <w:t xml:space="preserve">spíše </w:t>
      </w:r>
      <w:r w:rsidRPr="003C4451">
        <w:t xml:space="preserve">tomu, že </w:t>
      </w:r>
      <w:r>
        <w:t xml:space="preserve">některé </w:t>
      </w:r>
      <w:r w:rsidRPr="003C4451">
        <w:t xml:space="preserve">výzkumné organizace chrání své duševní vlastnictví spíše pro získání bodů podle metodiky hodnocení VaV než pro jeho skutečnou komerční hodnotu. </w:t>
      </w:r>
    </w:p>
    <w:p w:rsidR="009D46E6" w:rsidRDefault="009D46E6" w:rsidP="00546662">
      <w:r w:rsidRPr="00BE6812">
        <w:t>Z 2 200 patentů platných k 31. 12. 2012 v České republice, které patřily tuzemským subjektům jich v roce 2012 byl licencován jen každý desátý. Nejvíce těchto licencovaných patentů vlastnily VVI. Konkrétně se jednalo o 59 patentů, tj. 28 % ze všech licencovaných patentů českých přihlašovatelů. Zajímavým poznatkem je skutečnost, že zatím co v případě VVI byl v roce 2012 licencován každý čtvrtý patent, tak v případě VVŠ to byl cca každý osmý a u podniků a fyzických osob přibližně každý patnáctý. Pouze čtvrtina (55) z licencovaných patentů přinesla v roce 2012 svým majitelům na přijatých licenčních poplatcích více</w:t>
      </w:r>
      <w:r>
        <w:t xml:space="preserve"> než</w:t>
      </w:r>
      <w:r w:rsidRPr="00BE6812">
        <w:t xml:space="preserve"> milión korun.</w:t>
      </w:r>
      <w:r>
        <w:t xml:space="preserve">  </w:t>
      </w:r>
    </w:p>
    <w:p w:rsidR="009D46E6" w:rsidRDefault="009D46E6" w:rsidP="00750D9B">
      <w:pPr>
        <w:pStyle w:val="Caption"/>
      </w:pPr>
      <w:bookmarkStart w:id="189" w:name="_Toc369092065"/>
      <w:r>
        <w:t>Graf C.</w:t>
      </w:r>
      <w:fldSimple w:instr=" SEQ Graf \* ARABIC \s 1 ">
        <w:r>
          <w:rPr>
            <w:noProof/>
          </w:rPr>
          <w:t>26</w:t>
        </w:r>
      </w:fldSimple>
      <w:r>
        <w:t>: Licencované patenty podle typu poskytovatele a přijatých poplatků, 2012</w:t>
      </w:r>
      <w:bookmarkEnd w:id="189"/>
    </w:p>
    <w:p w:rsidR="009D46E6" w:rsidRPr="00933635" w:rsidRDefault="009D46E6" w:rsidP="001D7F37">
      <w:pPr>
        <w:pStyle w:val="Objekt"/>
      </w:pPr>
      <w:r w:rsidRPr="00506026">
        <w:t xml:space="preserve"> </w:t>
      </w:r>
      <w:r w:rsidRPr="001D1D98">
        <w:pict>
          <v:shape id="Graf 277" o:spid="_x0000_i1208" type="#_x0000_t75" style="width:210pt;height:153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">
            <v:imagedata r:id="rId203" o:title="" croptop="-3551f" cropbottom="-2836f" cropleft="-3908f" cropright="-4757f"/>
            <o:lock v:ext="edit" aspectratio="f"/>
          </v:shape>
        </w:pict>
      </w:r>
      <w:r w:rsidRPr="001D1D98">
        <w:pict>
          <v:shape id="Graf 279" o:spid="_x0000_i1209" type="#_x0000_t75" style="width:261pt;height:15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">
            <v:imagedata r:id="rId204" o:title="" croptop="-4771f" cropbottom="-3354f" cropleft="-2590f" cropright="-2239f"/>
            <o:lock v:ext="edit" aspectratio="f"/>
          </v:shape>
        </w:pict>
      </w:r>
    </w:p>
    <w:p w:rsidR="009D46E6" w:rsidRDefault="009D46E6" w:rsidP="00546662">
      <w:pPr>
        <w:pStyle w:val="Zdroj"/>
      </w:pPr>
      <w:r>
        <w:t xml:space="preserve">*Podíl na celkovém počtu platných patentů patřících danému typu subjektů </w:t>
      </w:r>
    </w:p>
    <w:p w:rsidR="009D46E6" w:rsidRDefault="009D46E6" w:rsidP="00546662">
      <w:pPr>
        <w:pStyle w:val="Zdroj"/>
      </w:pPr>
      <w:r>
        <w:t>Poznámka č.1: VŠ – veřejná vysoká škola; VVI – veřejná výzkumná instituce; FO – podnikající nebo nepodnikající fyzická osoba</w:t>
      </w:r>
    </w:p>
    <w:p w:rsidR="009D46E6" w:rsidRDefault="009D46E6" w:rsidP="00546662">
      <w:pPr>
        <w:pStyle w:val="Zdroj"/>
      </w:pPr>
      <w:r>
        <w:t xml:space="preserve">Zdroj: Český statistický úřad 2013, vlastní dopočty podle Ročního šetření o licencích Lic 5-01 a údajů ÚPV ČR </w:t>
      </w:r>
    </w:p>
    <w:p w:rsidR="009D46E6" w:rsidRDefault="009D46E6" w:rsidP="00546662">
      <w:pPr>
        <w:rPr>
          <w:highlight w:val="yellow"/>
        </w:rPr>
      </w:pPr>
    </w:p>
    <w:p w:rsidR="009D46E6" w:rsidRDefault="009D46E6" w:rsidP="00546662">
      <w:r>
        <w:t>V roce 2012 bylo 64 nově licencovaných patentů, tj. patentů</w:t>
      </w:r>
      <w:r w:rsidRPr="00506026">
        <w:t>, na které byla uzavřena lice</w:t>
      </w:r>
      <w:r>
        <w:t xml:space="preserve">nční smlouva poprvé v roce 2012, přičemž </w:t>
      </w:r>
      <w:r w:rsidRPr="00506026">
        <w:t>tyto patenty pocházely od 28 různých subjektů</w:t>
      </w:r>
      <w:r>
        <w:t xml:space="preserve"> (</w:t>
      </w:r>
      <w:r w:rsidRPr="00506026">
        <w:t xml:space="preserve">8 z nich tvořily </w:t>
      </w:r>
      <w:r>
        <w:t>VVŠ a</w:t>
      </w:r>
      <w:r w:rsidRPr="00506026">
        <w:t xml:space="preserve"> 4 </w:t>
      </w:r>
      <w:r>
        <w:t>VVI)</w:t>
      </w:r>
      <w:r w:rsidRPr="00506026">
        <w:t xml:space="preserve">. Ani u jednoho z těchto patentů nedosáhly licenční příjmy </w:t>
      </w:r>
      <w:r>
        <w:t xml:space="preserve">ve stejném roce </w:t>
      </w:r>
      <w:r w:rsidRPr="00506026">
        <w:t>miliónu a více korun.</w:t>
      </w:r>
    </w:p>
    <w:p w:rsidR="009D46E6" w:rsidRPr="005B22B7" w:rsidRDefault="009D46E6" w:rsidP="00DC7CA9">
      <w:pPr>
        <w:pStyle w:val="Heading4"/>
      </w:pPr>
      <w:r w:rsidRPr="005B22B7">
        <w:t>Mezinárodní srovnání</w:t>
      </w:r>
    </w:p>
    <w:p w:rsidR="009D46E6" w:rsidRDefault="009D46E6" w:rsidP="00546662">
      <w:r>
        <w:t xml:space="preserve">Mezinárodní srovnání za příjmy, z ekonomických transakcí se zahraničím, v oblasti licenčních poplatků a ochranných známek pocházejí z datových zdrojů Eurostatu, získaných v rámci statistiky platební bilance.  Samotná definice služeb v oblasti licenčních poplatků a autorských honorářů vychází z rozšířené klasifikace služeb EBOPS (Extended Balance of Payments Services) kódu 266, který zahrnuje i příjmy spojené s využíváním autorských práv a proto nejsou údaje za mezinárodní srovnání srovnatelné s výsledky šetření LIC 5-01, jež se zaměřuje pouze na hodnotu přijatých licenčních poplatků za poskytnutí nebo nabytí průmyslových práv. </w:t>
      </w:r>
    </w:p>
    <w:p w:rsidR="009D46E6" w:rsidRDefault="009D46E6" w:rsidP="00546662">
      <w:r>
        <w:t xml:space="preserve">Nejvyšších příjmů za vývoz služeb v oblasti licenčních poplatků a autorských honorářů dosahovaly v roce 2012 Spojené státy (168 mld. Eur), Nizozemsko (41 mld. Eur) a Japonsko (40 mld. Eur). Česká republika se svými 150 milióny Eur podílela 0,1 % na celkových příjmech zemí EU28 v této oblasti, které dosáhly v roce 2012 hodnoty 143 mld. Eur. Pokud vyjádříme příjmy za vývoz služeb v oblasti licenčních poplatků a autorských honorářů k HDP tak nejvyšších hodnot dosáhly ve stejném roce Nizozemsko a Švýcarsko. Česká republika se u tohoto ukazatele spolu s ostatními novými členskými státy EU (kromě Maďarska a Slovinska), Portugalskem, Řeckem a Španělskem řadí na chvost v pomyslném žebříčku zemí EU28. </w:t>
      </w:r>
    </w:p>
    <w:p w:rsidR="009D46E6" w:rsidRDefault="009D46E6" w:rsidP="00750D9B">
      <w:pPr>
        <w:pStyle w:val="Caption"/>
      </w:pPr>
      <w:bookmarkStart w:id="190" w:name="_Toc369092066"/>
      <w:r>
        <w:t>Graf C.</w:t>
      </w:r>
      <w:fldSimple w:instr=" SEQ Graf \* ARABIC \s 1 ">
        <w:r>
          <w:rPr>
            <w:noProof/>
          </w:rPr>
          <w:t>27</w:t>
        </w:r>
      </w:fldSimple>
      <w:r>
        <w:t xml:space="preserve">: </w:t>
      </w:r>
      <w:r w:rsidRPr="00807061">
        <w:t>Příjmy za licenční poplatky inkasované ze zahraničí</w:t>
      </w:r>
      <w:r>
        <w:t>, 2011 (podíl na HDP)</w:t>
      </w:r>
      <w:bookmarkEnd w:id="190"/>
      <w:r w:rsidRPr="00B917BA">
        <w:rPr>
          <w:noProof/>
          <w:lang w:eastAsia="cs-CZ"/>
        </w:rPr>
        <w:t xml:space="preserve"> </w:t>
      </w:r>
    </w:p>
    <w:p w:rsidR="009D46E6" w:rsidRDefault="009D46E6" w:rsidP="00546662">
      <w:pPr>
        <w:pStyle w:val="Zdroj"/>
      </w:pPr>
      <w:r>
        <w:rPr>
          <w:noProof/>
          <w:lang w:eastAsia="cs-CZ"/>
        </w:rPr>
        <w:pict>
          <v:group id="Skupina 8" o:spid="_x0000_s1046" style="position:absolute;left:0;text-align:left;margin-left:385.9pt;margin-top:15.3pt;width:11.3pt;height:13.75pt;z-index:251656192" coordsize="144000,174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">
            <v:line id="Přímá spojovací čára 9" o:spid="_x0000_s1047" style="position:absolute;flip:y;visibility:visible" from="0,66675" to="144000,174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Lyy8cAAADcAAAADwAAAGRycy9kb3ducmV2LnhtbESPT2vCQBTE74V+h+UVeqsbbVFJXUVb&#10;Wlrw4D/Q3h7ZZzaYfRuyaxK/vVsQPA4z8xtmMutsKRqqfeFYQb+XgCDOnC44V7Dbfr2MQfiArLF0&#10;TAou5GE2fXyYYKpdy2tqNiEXEcI+RQUmhCqV0meGLPqeq4ijd3S1xRBlnUtdYxvhtpSDJBlKiwXH&#10;BYMVfRjKTpuzVbCUYd7s+8fF36/5fP0enVe7t0Or1PNTN38HEagL9/Ct/aMVDMYj+D8Tj4CcX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cvLLxwAAANwAAAAPAAAAAAAA&#10;AAAAAAAAAKECAABkcnMvZG93bnJldi54bWxQSwUGAAAAAAQABAD5AAAAlQMAAAAA&#10;" strokecolor="windowText" strokeweight="2pt"/>
            <v:line id="Přímá spojovací čára 10" o:spid="_x0000_s1048" style="position:absolute;flip:y;visibility:visible" from="0,0" to="144000,108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s3vsYAAADbAAAADwAAAGRycy9kb3ducmV2LnhtbESPQWvCQBSE7wX/w/KE3upGLVpSV7FK&#10;i0IP1Qra2yP7zIZm34bsmsR/7wqFHoeZ+YaZLTpbioZqXzhWMBwkIIgzpwvOFRy+359eQPiArLF0&#10;TAqu5GEx7z3MMNWu5R01+5CLCGGfogITQpVK6TNDFv3AVcTRO7vaYoiyzqWusY1wW8pRkkykxYLj&#10;gsGKVoay3/3FKviUYdkch+e3n61Zjz+ml6/D86lV6rHfLV9BBOrCf/ivvdEKxiO4f4k/QM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ErN77GAAAA2wAAAA8AAAAAAAAA&#10;AAAAAAAAoQIAAGRycy9kb3ducmV2LnhtbFBLBQYAAAAABAAEAPkAAACUAwAAAAA=&#10;" strokecolor="windowText" strokeweight="2pt"/>
          </v:group>
        </w:pict>
      </w:r>
      <w:r>
        <w:rPr>
          <w:noProof/>
          <w:lang w:eastAsia="cs-CZ"/>
        </w:rPr>
        <w:pict>
          <v:group id="_x0000_s1049" style="position:absolute;left:0;text-align:left;margin-left:29.25pt;margin-top:15.55pt;width:25.5pt;height:21.75pt;z-index:251655168" coordsize="144000,174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">
            <v:line id="Přímá spojovací čára 6" o:spid="_x0000_s1050" style="position:absolute;flip:y;visibility:visible" from="0,66675" to="144000,174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fPJMcAAADcAAAADwAAAGRycy9kb3ducmV2LnhtbESPQWvCQBSE7wX/w/IKvdVNVKykrmIr&#10;FQserBXa3h7ZZzaYfRuyaxL/fVco9DjMzDfMfNnbSrTU+NKxgnSYgCDOnS65UHD8fHucgfABWWPl&#10;mBRcycNyMbibY6Zdxx/UHkIhIoR9hgpMCHUmpc8NWfRDVxNH7+QaiyHKppC6wS7CbSVHSTKVFkuO&#10;CwZrejWUnw8Xq2Anw6r9Sk8vP+9mPd48XfbHyXen1MN9v3oGEagP/+G/9lYrGM1SuJ2JR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188kxwAAANwAAAAPAAAAAAAA&#10;AAAAAAAAAKECAABkcnMvZG93bnJldi54bWxQSwUGAAAAAAQABAD5AAAAlQMAAAAA&#10;" strokecolor="windowText" strokeweight="2pt"/>
            <v:line id="Přímá spojovací čára 7" o:spid="_x0000_s1051" style="position:absolute;flip:y;visibility:visible" from="0,0" to="144000,108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VRU8cAAADcAAAADwAAAGRycy9kb3ducmV2LnhtbESPQWvCQBSE7wX/w/IKvdWNsbQSXcVW&#10;Wip4sCpob4/sMxvMvg3ZNUn/vVso9DjMzDfMbNHbSrTU+NKxgtEwAUGcO11yoeCwf3+cgPABWWPl&#10;mBT8kIfFfHA3w0y7jr+o3YVCRAj7DBWYEOpMSp8bsuiHriaO3tk1FkOUTSF1g12E20qmSfIsLZYc&#10;FwzW9GYov+yuVsFGhmV7HJ1fv9dmNf54uW4PT6dOqYf7fjkFEagP/+G/9qdWkE5S+D0Tj4Cc3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BVFTxwAAANwAAAAPAAAAAAAA&#10;AAAAAAAAAKECAABkcnMvZG93bnJldi54bWxQSwUGAAAAAAQABAD5AAAAlQMAAAAA&#10;" strokecolor="windowText" strokeweight="2pt"/>
          </v:group>
        </w:pict>
      </w:r>
      <w:r w:rsidRPr="001D1D98">
        <w:rPr>
          <w:noProof/>
          <w:lang w:eastAsia="cs-CZ"/>
        </w:rPr>
        <w:pict>
          <v:shape id="Graf 56" o:spid="_x0000_i1210" type="#_x0000_t75" style="width:481.8pt;height:169.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Wjqa/3AAAAAUBAAAPAAAAZHJzL2Rvd25y&#10;ZXYueG1sTI/BTsMwEETvSPyDtUjcqANBaZrGqSqkSBzogZZw3sZLHBGvo9htw99juMBlpdGMZt6W&#10;m9kO4kyT7x0ruF8kIIhbp3vuFLwd6rschA/IGgfHpOCLPGyq66sSC+0u/ErnfehELGFfoAITwlhI&#10;6VtDFv3CjcTR+3CTxRDl1Ek94SWW20E+JEkmLfYcFwyO9GSo/dyfrIJnbMyLbZr3emy3h52tl/lu&#10;OSl1ezNv1yACzeEvDD/4ER2qyHR0J9ZeDAriI+H3Rm+VpRmIo4I0zR9BVqX8T199Aw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">
            <v:imagedata r:id="rId205" o:title="" croptop="-2987f" cropbottom="-1826f" cropleft="-133f" cropright="-1927f"/>
            <o:lock v:ext="edit" aspectratio="f"/>
          </v:shape>
        </w:pict>
      </w:r>
    </w:p>
    <w:p w:rsidR="009D46E6" w:rsidRPr="00807061" w:rsidRDefault="009D46E6" w:rsidP="00546662">
      <w:pPr>
        <w:pStyle w:val="Zdroj"/>
      </w:pPr>
      <w:r w:rsidRPr="00807061">
        <w:t>Zdroj: Český statistický úřad 2013 podle United Nations Service Trade Statistics Database (</w:t>
      </w:r>
      <w:r>
        <w:t>září</w:t>
      </w:r>
      <w:r w:rsidRPr="00807061">
        <w:t xml:space="preserve"> 2013) a vlastních dopočtů</w:t>
      </w:r>
    </w:p>
    <w:p w:rsidR="009D46E6" w:rsidRDefault="009D46E6" w:rsidP="00866283"/>
    <w:bookmarkEnd w:id="146"/>
    <w:p w:rsidR="009D46E6" w:rsidRPr="00662381" w:rsidRDefault="009D46E6" w:rsidP="000167BB"/>
    <w:p w:rsidR="009D46E6" w:rsidRPr="00662381" w:rsidRDefault="009D46E6" w:rsidP="000167BB">
      <w:pPr>
        <w:sectPr w:rsidR="009D46E6" w:rsidRPr="00662381" w:rsidSect="00FD3E45">
          <w:headerReference w:type="even" r:id="rId206"/>
          <w:pgSz w:w="11906" w:h="16838" w:code="9"/>
          <w:pgMar w:top="1134" w:right="1134" w:bottom="1134" w:left="1134" w:header="737" w:footer="567" w:gutter="0"/>
          <w:cols w:space="567"/>
          <w:docGrid w:linePitch="360"/>
        </w:sectPr>
      </w:pPr>
    </w:p>
    <w:p w:rsidR="009D46E6" w:rsidRPr="00560E4E" w:rsidRDefault="009D46E6" w:rsidP="00560E4E">
      <w:pPr>
        <w:pStyle w:val="Heading1"/>
      </w:pPr>
      <w:bookmarkStart w:id="191" w:name="_Toc369091899"/>
      <w:bookmarkStart w:id="192" w:name="_Toc336000262"/>
      <w:r w:rsidRPr="00560E4E">
        <w:t>Inovace a high-tech odvětví</w:t>
      </w:r>
      <w:bookmarkEnd w:id="191"/>
    </w:p>
    <w:p w:rsidR="009D46E6" w:rsidRDefault="009D46E6" w:rsidP="00560E4E">
      <w:r>
        <w:t>V této části je představena analýza inovační výkonnosti Česka a inovační efektivity českých podniků s důrazem na mezinárodním srovnání. Hlavní pozornost v této kapitole je směřována na technologicky náročná odvětví v české ekonomice, která mají potenciální kapacitu k tvorbě a využití nových znalostí a inovací.</w:t>
      </w:r>
    </w:p>
    <w:p w:rsidR="009D46E6" w:rsidRPr="005D4280" w:rsidRDefault="009D46E6" w:rsidP="00560E4E">
      <w:pPr>
        <w:spacing w:line="240" w:lineRule="auto"/>
      </w:pPr>
    </w:p>
    <w:p w:rsidR="009D46E6" w:rsidRPr="00BD3E79" w:rsidRDefault="009D46E6" w:rsidP="00560E4E">
      <w:r>
        <w:rPr>
          <w:noProof/>
          <w:lang w:eastAsia="cs-CZ"/>
        </w:rPr>
      </w:r>
      <w:r>
        <w:rPr>
          <w:noProof/>
          <w:lang w:eastAsia="cs-CZ"/>
        </w:rPr>
        <w:pict>
          <v:shape id="Textové pole 229" o:spid="_x0000_s1052" type="#_x0000_t202" style="width:481.9pt;height:348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" strokecolor="#9bbb59" strokeweight="2pt">
            <v:textbox inset="2mm,2mm,2mm,2mm">
              <w:txbxContent>
                <w:p w:rsidR="009D46E6" w:rsidRPr="001D063F" w:rsidRDefault="009D46E6" w:rsidP="00560E4E">
                  <w:pPr>
                    <w:rPr>
                      <w:b/>
                    </w:rPr>
                  </w:pPr>
                  <w:r>
                    <w:rPr>
                      <w:b/>
                    </w:rPr>
                    <w:t>Hlavní trendy</w:t>
                  </w:r>
                </w:p>
                <w:p w:rsidR="009D46E6" w:rsidRDefault="009D46E6" w:rsidP="000E3106">
                  <w:pPr>
                    <w:pStyle w:val="Odrky"/>
                  </w:pPr>
                  <w:r>
                    <w:t>Jedním ze stále se prohlubujících nedostatků inovačního prostředí v Česku je nedostatek investovaného rizikového kapitálu, který v roce 2012 ještě poklesl a průměrná hodnota se tak pohybuje mezi roky 2008 - 2012 na hodnotě 0,003 % HDP.</w:t>
                  </w:r>
                </w:p>
                <w:p w:rsidR="009D46E6" w:rsidRDefault="009D46E6" w:rsidP="000E3106">
                  <w:pPr>
                    <w:pStyle w:val="Odrky"/>
                  </w:pPr>
                  <w:r>
                    <w:t>Mezinárodní srovnání Česka dokazuje, že i přes pozitivní meziroční změnu, inovační výkonnost ekonomického prostředí je stále pod průměrem EU27 a řadí tak Česko mezi skupinu průměrných inovátorů.</w:t>
                  </w:r>
                </w:p>
                <w:p w:rsidR="009D46E6" w:rsidRDefault="009D46E6" w:rsidP="000E3106">
                  <w:pPr>
                    <w:pStyle w:val="Odrky"/>
                  </w:pPr>
                  <w:r>
                    <w:t>Podniky v Česku vnímají významnost jednotlivých bariér v inovačním procesu velice podobně jako většina států EU. Tři nejdůležitější faktory, které omezují inovační aktivity, se týkají nedostatku finanční zdrojů a nákladů spojených s inovačními aktivitami. Nejméně významným faktorem je pro podnikatele nedostatek informací o trzích a technologiích.</w:t>
                  </w:r>
                </w:p>
                <w:p w:rsidR="009D46E6" w:rsidRDefault="009D46E6" w:rsidP="000E3106">
                  <w:pPr>
                    <w:pStyle w:val="Odrky"/>
                  </w:pPr>
                  <w:r>
                    <w:t>Největší podíl na vývozu high-tech tvoří podle SITC klasifikace výpočetní technika a elektronika a komunikace. Je třeba mít na paměti, že právě tyto dvě skupiny jsou výrazně nadhodnoceny díky efektu, který se nazývá branding.</w:t>
                  </w:r>
                </w:p>
                <w:p w:rsidR="009D46E6" w:rsidRDefault="009D46E6" w:rsidP="000E3106">
                  <w:pPr>
                    <w:pStyle w:val="Odrky"/>
                  </w:pPr>
                  <w:r>
                    <w:t>Podíl přidané hodnoty high-tech odvětví zpracovatelského průmyslu v Česku na přidané hodnotě, kterou vytváří zpracovatelský průmysl celkem, je v porovnání s ostatními zeměmi EU velice malý (4,2 %). Ve srovnání s dalšími zeměmi EU je Česko dokonce na posledních místech společně s Portugalskem a Litvou.</w:t>
                  </w:r>
                </w:p>
                <w:p w:rsidR="009D46E6" w:rsidRDefault="009D46E6" w:rsidP="000E3106">
                  <w:pPr>
                    <w:pStyle w:val="Odrky"/>
                  </w:pPr>
                  <w:r>
                    <w:t>Konkurenceschopnost Česka ve zpracovatelském průmyslu zcela evidentně i nadále tvoří činnosti z oblasti medium high-tech a medium low-tech činností, které vytváří drtivou většinu přidané hodnoty zpracovatelského průmyslu.</w:t>
                  </w:r>
                </w:p>
                <w:p w:rsidR="009D46E6" w:rsidRDefault="009D46E6" w:rsidP="000E3106">
                  <w:pPr>
                    <w:pStyle w:val="Odrky"/>
                  </w:pPr>
                  <w:r>
                    <w:t>Tendence naznačující, že se průmyslová high-tech odvětví u nás nerozvíjejí, dokazují i výdaje na VaV v high-tech průmyslu (podle OKEČ klasifikace), které v těchto odvětvích stagnují.</w:t>
                  </w:r>
                </w:p>
                <w:p w:rsidR="009D46E6" w:rsidRDefault="009D46E6" w:rsidP="000E3106">
                  <w:pPr>
                    <w:pStyle w:val="Odrky"/>
                  </w:pPr>
                  <w:r>
                    <w:t>Technologická platební bilance Česka se</w:t>
                  </w:r>
                  <w:r w:rsidRPr="00F277BD">
                    <w:t xml:space="preserve"> dlouhodobě pohybuje v záporných hodnotách</w:t>
                  </w:r>
                  <w:r>
                    <w:t>. Specifický region, který vykazuje výrazně kladné saldo technologických plateb je Praha.</w:t>
                  </w:r>
                </w:p>
              </w:txbxContent>
            </v:textbox>
            <w10:anchorlock/>
          </v:shape>
        </w:pict>
      </w:r>
    </w:p>
    <w:p w:rsidR="009D46E6" w:rsidRDefault="009D46E6" w:rsidP="00560E4E"/>
    <w:p w:rsidR="009D46E6" w:rsidRDefault="009D46E6" w:rsidP="00560E4E">
      <w:r>
        <w:t>Nejprve je pozornost věnována srovnání inovační výkonnosti Česka s dalšími evropskými zeměmi prostřednictvím souhrnného inovačního indexu a z hlediska investic rizikového kapitálu. V této sekci jsou využita aktuální data Innovation Union Scoreboard a Eurostatu. V další části kapitoly je představeno mezinárodní srovnání inovujících podniků z hlediska typů inovací, podílu inovujících podniků a VaV aktivit inovujících podniků. Posouzen je i výběru typů partnerů v inovačním procesu inovujících podniků a subjektivní bariéry inovačního procesu v zemích EU. Speciální pozornost je dále věnována high-tech sektoru v Česku a jeho mezinárodnímu srovnání, zejména pak ve výkonnosti high-tech průmyslu (zvláště zpracovatelského). Tyto aspekty jsou analyzovány z hlediska podílu vývozu high-tech na celkovém vývozu Česka, přidané hodnoty vytvořené v high-tech a technologické platební bilanci českých krajů.</w:t>
      </w:r>
    </w:p>
    <w:p w:rsidR="009D46E6" w:rsidRPr="007C3491" w:rsidRDefault="009D46E6" w:rsidP="007C3491"/>
    <w:p w:rsidR="009D46E6" w:rsidRDefault="009D46E6" w:rsidP="00560E4E">
      <w:pPr>
        <w:pStyle w:val="Heading2"/>
        <w:spacing w:before="60"/>
      </w:pPr>
      <w:bookmarkStart w:id="193" w:name="_Toc369091900"/>
      <w:r>
        <w:t>Inovační výkonnost</w:t>
      </w:r>
      <w:bookmarkEnd w:id="193"/>
      <w:r>
        <w:t xml:space="preserve"> </w:t>
      </w:r>
    </w:p>
    <w:p w:rsidR="009D46E6" w:rsidRDefault="009D46E6" w:rsidP="00560E4E">
      <w:r>
        <w:t>Jedním z nejdůležitějších jmenovatelů růstu konkurenceschopnosti evropských států je rozvoj ekonomiky založené na znalostech a inovacích. Přímou souvislost mezi schopností ekonomiky produkovat nové myšlenky a inovace a ekonomickým růstem potvrzují nejen teorie rozvoje regionů a států, ale především dlouhodobý vývoj a zkušenosti jednotlivých zemí. Pozornost iniciativ EU i jednotlivých států se proto v posledních desetiletích stále více soustředí na podmínky pro výzkum, vývoj a inovace, stejně jako na spolupráci ve výzkumu a vývoji mezi sektory. Schopnost vytvářet a využívat inovace se však napříč evropskými státy stále velmi liší. Hlavním ukazatelem, který slouží k mezinárodnímu srovnání inovační výkonnosti na úrovni evropských zemí je souhrnný inovační index (Summary Innovation Index – SII)</w:t>
      </w:r>
      <w:r w:rsidRPr="007C3491">
        <w:rPr>
          <w:vertAlign w:val="superscript"/>
        </w:rPr>
        <w:footnoteReference w:id="46"/>
      </w:r>
      <w:r>
        <w:t>. Sleduje se nejen jeho hodnota, ale i meziroční změny indexu. Nejvyšší meziroční nárůst zaznamenávají tradičně některé země s relativně nízkou hodnotou inovačního indexu. Většina zemí se v meziroční změně pohybuje ve spektru kladných čísel do 3 % změny hodnoty indexu.</w:t>
      </w:r>
    </w:p>
    <w:p w:rsidR="009D46E6" w:rsidRPr="00F277BD" w:rsidRDefault="009D46E6" w:rsidP="00750D9B">
      <w:pPr>
        <w:pStyle w:val="Caption"/>
      </w:pPr>
      <w:bookmarkStart w:id="194" w:name="_Toc369092067"/>
      <w:r w:rsidRPr="00F277BD">
        <w:t>Graf D.</w:t>
      </w:r>
      <w:fldSimple w:instr=" SEQ Graf \* ARABIC ">
        <w:r>
          <w:rPr>
            <w:noProof/>
          </w:rPr>
          <w:t>28</w:t>
        </w:r>
      </w:fldSimple>
      <w:r w:rsidRPr="00F277BD">
        <w:t>: Inovační výkonnost vybraných zemí podle souhrnného inovačního indexu</w:t>
      </w:r>
      <w:r>
        <w:t xml:space="preserve"> </w:t>
      </w:r>
      <w:r w:rsidRPr="00F277BD">
        <w:t>2012</w:t>
      </w:r>
      <w:bookmarkEnd w:id="194"/>
    </w:p>
    <w:p w:rsidR="009D46E6" w:rsidRPr="00BD3E79" w:rsidRDefault="009D46E6" w:rsidP="00560E4E">
      <w:pPr>
        <w:spacing w:line="240" w:lineRule="auto"/>
        <w:jc w:val="center"/>
      </w:pPr>
      <w:r w:rsidRPr="001D1D98">
        <w:rPr>
          <w:noProof/>
          <w:lang w:eastAsia="cs-CZ"/>
        </w:rPr>
        <w:pict>
          <v:shape id="_x0000_i1212" type="#_x0000_t75" style="width:474pt;height:267pt;visibility:visible" o:gfxdata="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">
            <v:imagedata r:id="rId207" o:title="" croptop="-3214f" cropbottom="-1260f" cropleft="-1233f" cropright="-784f"/>
            <o:lock v:ext="edit" aspectratio="f"/>
          </v:shape>
        </w:pict>
      </w:r>
    </w:p>
    <w:p w:rsidR="009D46E6" w:rsidRDefault="009D46E6" w:rsidP="00560E4E">
      <w:pPr>
        <w:spacing w:line="240" w:lineRule="auto"/>
        <w:rPr>
          <w:i/>
          <w:color w:val="595959"/>
          <w:sz w:val="16"/>
        </w:rPr>
      </w:pPr>
      <w:r w:rsidRPr="00BD3E79">
        <w:rPr>
          <w:i/>
          <w:color w:val="595959"/>
          <w:sz w:val="16"/>
        </w:rPr>
        <w:t xml:space="preserve">Zdroj:  </w:t>
      </w:r>
      <w:r>
        <w:rPr>
          <w:i/>
          <w:color w:val="595959"/>
          <w:sz w:val="16"/>
        </w:rPr>
        <w:t xml:space="preserve">Innovation Union Scoreboard </w:t>
      </w:r>
      <w:r w:rsidRPr="00BD3E79">
        <w:rPr>
          <w:i/>
          <w:color w:val="595959"/>
          <w:sz w:val="16"/>
        </w:rPr>
        <w:t>2013</w:t>
      </w:r>
      <w:r>
        <w:rPr>
          <w:i/>
          <w:color w:val="595959"/>
          <w:sz w:val="16"/>
        </w:rPr>
        <w:t>, vlastní zpracování</w:t>
      </w:r>
    </w:p>
    <w:p w:rsidR="009D46E6" w:rsidRDefault="009D46E6" w:rsidP="00560E4E">
      <w:pPr>
        <w:spacing w:line="240" w:lineRule="auto"/>
        <w:rPr>
          <w:i/>
          <w:color w:val="595959"/>
          <w:sz w:val="16"/>
        </w:rPr>
      </w:pPr>
    </w:p>
    <w:p w:rsidR="009D46E6" w:rsidRDefault="009D46E6" w:rsidP="00560E4E">
      <w:r>
        <w:t>Není překvapením, že inovačními lídry Evropy jsou vyspělé severské členské země EU, dále Německo, a již tradičně Švýcarsko. Na druhé straně spektra jsou slabí inovátoři Rumunsko a Bulharsko. Česko patří podle hodnocení inovační výkonnosti do skupiny průměrných inovátorů (graf D.1) a stále se tak nachází pod hodnotou, kterou dosáhla EU27 v roce 2012 jako celek.</w:t>
      </w:r>
    </w:p>
    <w:p w:rsidR="009D46E6" w:rsidRDefault="009D46E6" w:rsidP="00560E4E">
      <w:r>
        <w:t xml:space="preserve">Relativní silnou stránkou Česka se ve vstupních indikátorech, ze kterých vychází Innovation Union Scoreboard při hodnocení inovační výkonnosti zemí, ukazují lidské zdroje a ekonomické efekty. Relativní slabou stránkou je otevřenost, excelence a atraktivita výzkumného systému. Silný pokles byl také zaznamenán v investicích rizikového kapitálu, které </w:t>
      </w:r>
      <w:r w:rsidRPr="006B6AFF">
        <w:t>navíc v Česku ani v předcho</w:t>
      </w:r>
      <w:r>
        <w:t>zích letech zdaleka nedosahoval</w:t>
      </w:r>
      <w:r w:rsidRPr="006B6AFF">
        <w:t xml:space="preserve"> ani průměru EU. Investice rizikového kapitálu a vznik projektů, které by vedly k zásadnímu nárůstu nových myšlenek, technologií a inovací v ekonomice jsou v Česku dlouhodobě nedostatečné.</w:t>
      </w:r>
      <w:r>
        <w:t xml:space="preserve"> Česko tak v investicích rizikového kapitálu zaostává za všemi inovačními lídry Evropy (graf D.2). Projekty začínajících inovačních podniků jsou považovány za příliš rizikové pro běžný formát podpory finančních institucí, proto je třeba zapojení dalších zdrojů financování pro zakládání a počáteční rozvoj inovativních podniků, které mají potenciál k rychlému růstu. Proto jsou v zemích, které jsou považovány za inovační lídry běžné finanční nástroje a fondy rizikového kapitálu s účastí soukromých i veřejných zdrojů. Podíl investic rizikového kapitálu na HDP byl v Česku v roce 2012 naprosto zanedbatelný. V Česku není s touto podporou dostatek zkušeností a na trhu panuje k této formě financování podnikatelských záměrů nedůvěra. Rapidní pokles v podílu investic rizikového kapitálu zaznamenaly i státy s dlouhodobě relativně vysokou inovační výkonností jako je např. Švédsko, Spojené království, Norsko i Německo. Zemí, kde se podařilo efektivně zvýšit podíl investic rizikového kapitálu je např. Maďarsko. Za úspěchem maďarských investic rizikového kapitálu stojí program financovaný z ERDF Společné evropské zdroje pro mikropodniky až střední podniky (Joint European Rescources for Micro to Medium Enterprices).</w:t>
      </w:r>
    </w:p>
    <w:p w:rsidR="009D46E6" w:rsidRPr="008C591D" w:rsidRDefault="009D46E6" w:rsidP="00750D9B">
      <w:pPr>
        <w:pStyle w:val="Caption"/>
        <w:rPr>
          <w:sz w:val="16"/>
        </w:rPr>
      </w:pPr>
      <w:bookmarkStart w:id="195" w:name="_Toc369092068"/>
      <w:r w:rsidRPr="008C591D">
        <w:t xml:space="preserve">Graf </w:t>
      </w:r>
      <w:r>
        <w:t>D.</w:t>
      </w:r>
      <w:fldSimple w:instr=" SEQ Graf \* ARABIC ">
        <w:r>
          <w:rPr>
            <w:noProof/>
          </w:rPr>
          <w:t>29</w:t>
        </w:r>
      </w:fldSimple>
      <w:r w:rsidRPr="008C591D">
        <w:t>: Mezinárodní srovnání investic rizikového kapitálu jako % HDP</w:t>
      </w:r>
      <w:bookmarkEnd w:id="195"/>
    </w:p>
    <w:p w:rsidR="009D46E6" w:rsidRDefault="009D46E6" w:rsidP="00560E4E">
      <w:r w:rsidRPr="001D1D98">
        <w:rPr>
          <w:noProof/>
          <w:lang w:eastAsia="cs-CZ"/>
        </w:rPr>
        <w:pict>
          <v:shape id="Chart 6" o:spid="_x0000_i1213" type="#_x0000_t75" style="width:480.6pt;height:241.2pt;visibility:visible" o:gfxdata="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">
            <v:imagedata r:id="rId208" o:title="" croptop="-818f" cropbottom="-3046f" cropleft="-923f" cropright="-4580f"/>
            <o:lock v:ext="edit" aspectratio="f"/>
          </v:shape>
        </w:pict>
      </w:r>
    </w:p>
    <w:p w:rsidR="009D46E6" w:rsidRDefault="009D46E6" w:rsidP="00DB4980">
      <w:pPr>
        <w:pStyle w:val="Zdroj"/>
      </w:pPr>
      <w:r w:rsidRPr="00BD3E79">
        <w:t xml:space="preserve">Zdroj:  </w:t>
      </w:r>
      <w:r>
        <w:t>Eurostat 2013</w:t>
      </w:r>
    </w:p>
    <w:p w:rsidR="009D46E6" w:rsidRPr="00BD3E79" w:rsidRDefault="009D46E6" w:rsidP="00DB4980">
      <w:pPr>
        <w:pStyle w:val="Zdroj"/>
      </w:pPr>
      <w:r>
        <w:t>Poznámka: Za neuvedené členské země EU nebyl údaj k dispozici.</w:t>
      </w:r>
    </w:p>
    <w:p w:rsidR="009D46E6" w:rsidRPr="00DC7CA9" w:rsidRDefault="009D46E6" w:rsidP="00DC7CA9"/>
    <w:p w:rsidR="009D46E6" w:rsidRDefault="009D46E6" w:rsidP="00560E4E">
      <w:pPr>
        <w:pStyle w:val="Heading2"/>
        <w:spacing w:before="60"/>
      </w:pPr>
      <w:bookmarkStart w:id="196" w:name="_Toc369091901"/>
      <w:r>
        <w:t>Inovační aktivity podniků</w:t>
      </w:r>
      <w:bookmarkEnd w:id="196"/>
    </w:p>
    <w:p w:rsidR="009D46E6" w:rsidRDefault="009D46E6" w:rsidP="00560E4E">
      <w:r>
        <w:t>Analýza inovačních aktivity podniků je založena zejména na datech z Inovačního šetření podniků v letech 2008 – 2010. Toto šetření bylo provedeno na základě harmonizovaného dotazníku členských zemí EU ke společnému unijnímu inovačnímu šetření CIS2010 - Community Inovation Survey 2010. Analyzovány jsou podniky, které podle metodiky Eurostatu v době šetření prováděly nebo měly přerušené inovační aktivity či zavedly jeden ze čtyř typů inovací (tj. produktová, organizační, marketingová, procesní inovace). Šetření proběhlo na základě nařízení Komise (ES) č. 1608/2003/ES o tvorbě a rozvoji statistiky Společenství v oblasti inovací. Formou výběrového šetření TI2010 sledující období 2008-2010 a referenční rok 2010 bylo v česku osloveno 6229 zpravodajských jednotek podnikatelského sektoru z vybraných oblastí průmyslu a služeb s alespoň 10 zaměstnanci.</w:t>
      </w:r>
    </w:p>
    <w:p w:rsidR="009D46E6" w:rsidRDefault="009D46E6" w:rsidP="00560E4E">
      <w:r>
        <w:t>Česko patří mezi státy, kde nadpoloviční podíl podniků vykazuje inovační aktivity (</w:t>
      </w:r>
      <w:r w:rsidRPr="008C591D">
        <w:t>graf D.3</w:t>
      </w:r>
      <w:r>
        <w:t>) a nachází se tak přesně v polovině v pořadí podle podílu inovujících podniků v ekonomice v EU. Podíl inovujících podniků je úzce spojen s absorpční kapacitou dané ekonomické struktury znalosti a nové poznatky využívat a aplikovat je v podobě inovací. V zemích s relativně vysokou inovační výkonností je podíl podniků s inovačními aktivitami obvykle ještě vyšší než v Česku. Členský stát s nejnižším souhrnným inovačním indexem – Bulharsko, je také státem s nejnižším podílem inovujících podniků v ekonomické struktuře. Seznamu vévodí silná německá ekonomika s téměř 80 % podniků s inovačními aktivitami.</w:t>
      </w:r>
    </w:p>
    <w:p w:rsidR="009D46E6" w:rsidRDefault="009D46E6" w:rsidP="00560E4E"/>
    <w:p w:rsidR="009D46E6" w:rsidRPr="00F11D65" w:rsidRDefault="009D46E6" w:rsidP="00750D9B">
      <w:pPr>
        <w:pStyle w:val="Caption"/>
      </w:pPr>
      <w:bookmarkStart w:id="197" w:name="_Toc369092069"/>
      <w:r w:rsidRPr="00F11D65">
        <w:t>Graf D.</w:t>
      </w:r>
      <w:fldSimple w:instr=" SEQ Graf \* ARABIC ">
        <w:r>
          <w:rPr>
            <w:noProof/>
          </w:rPr>
          <w:t>30</w:t>
        </w:r>
      </w:fldSimple>
      <w:r w:rsidRPr="00F11D65">
        <w:t xml:space="preserve">: Inovační podniky podle typu inovace </w:t>
      </w:r>
      <w:r>
        <w:t>(</w:t>
      </w:r>
      <w:r w:rsidRPr="00F11D65">
        <w:t>2008</w:t>
      </w:r>
      <w:r>
        <w:t>-</w:t>
      </w:r>
      <w:r w:rsidRPr="00F11D65">
        <w:t>2010</w:t>
      </w:r>
      <w:r>
        <w:t>)</w:t>
      </w:r>
      <w:bookmarkEnd w:id="197"/>
    </w:p>
    <w:p w:rsidR="009D46E6" w:rsidRDefault="009D46E6" w:rsidP="00560E4E">
      <w:pPr>
        <w:keepNext/>
      </w:pPr>
      <w:r w:rsidRPr="001D1D98">
        <w:rPr>
          <w:noProof/>
          <w:lang w:eastAsia="cs-CZ"/>
        </w:rPr>
        <w:pict>
          <v:shape id="_x0000_i1214" type="#_x0000_t75" style="width:482.4pt;height:242.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">
            <v:imagedata r:id="rId209" o:title="" croptop="-2952f" cropbottom="-755f" cropleft="-129f" cropright="-48f"/>
            <o:lock v:ext="edit" aspectratio="f"/>
          </v:shape>
        </w:pict>
      </w:r>
    </w:p>
    <w:p w:rsidR="009D46E6" w:rsidRPr="00A340C3" w:rsidRDefault="009D46E6" w:rsidP="00A340C3">
      <w:pPr>
        <w:spacing w:line="240" w:lineRule="auto"/>
        <w:rPr>
          <w:i/>
          <w:color w:val="595959"/>
          <w:sz w:val="16"/>
        </w:rPr>
      </w:pPr>
      <w:r w:rsidRPr="00A340C3">
        <w:rPr>
          <w:i/>
          <w:color w:val="595959"/>
          <w:sz w:val="16"/>
        </w:rPr>
        <w:t>Zdroj: Eurostat 2013, CIS 2010</w:t>
      </w:r>
    </w:p>
    <w:p w:rsidR="009D46E6" w:rsidRDefault="009D46E6" w:rsidP="00560E4E"/>
    <w:p w:rsidR="009D46E6" w:rsidRDefault="009D46E6" w:rsidP="00BF3762">
      <w:r>
        <w:t>Rozdělení podle typů inovací, na které se podniky v daném státě soustředí, je velmi různorodé. I když se za snadno a poměrně levně realizovatelné inovace považují procesní inovace (nové metody a způsoby práce) a často se předpokládá, že budou mít právě procesní inovace největší zastoupení v inovačních aktivitách podniků, v Česku a ani v dalších zemích s průměrnou až podprůměrnou inovační výkonností tomu tak není. V Česku převažuje zaměření na organizační a/nebo marketingovou inovaci. Organizační inovace směřují na snižování nákladů a rozvoj podniku, avšak obvykle nepředstavují technologickou změnu či vznik nových výrobků. K tomu směřují zejména produktové inovace. Organizační inovace tak přispívají k lepšímu organizačnímu vedení podniku nebo lepším obchodním praktikám. Podíl podniků se zaměřením především na organizační inovaci je menší právě ve státech s nižší inovační výkonností a obvykle i s nižším podílem inovačních podniků. Produktová inovace, která vyžaduje promyšlenou realizační strategii a často i nezanedbatelné investice do nových technologií, obsahuje jak inovaci výrobků, tak inovaci služeb. Na produktové inovace jsou ve větší míře zaměřeny podniky ve státech s vyšším podílem inovujících podniků a s vyšší celkovou inovační výkonností. Vysoký podíl podniků zaměřených na produktovou inovaci mají vyspělé státy západní a severní Evropy, a to zejména Německo, Belgie, Nizozemsko, Švédsko, Finsko a Spojené království.</w:t>
      </w:r>
    </w:p>
    <w:p w:rsidR="009D46E6" w:rsidRDefault="009D46E6" w:rsidP="00560E4E">
      <w:r>
        <w:t>Inovativnost podniků je nutně svázána s tím, zda a jak investují prostředky do výzkumu a vývoje (dále jen VaV). EU si uvědomuje, že bez zvýšení investic do VaV bude Evropa ztrácet pozici v mezinárodní konkurenceschopnosti a cílem je dosáhnout do roku 2020 investic do VaV na úrovni minimálně 3 % HDP EU. Důležitým parametrem rozvoje inovačních aktivit je tedy i spolupráce ve VaV. Vzhledem k tomu, že podniky sledují zejména svoji konkurenceschopnost, často se uchylují zejména k vlastním inovačním aktivitám, které přesně vyhovují individuálním potřebám podniku. Zapojení inovujících podniků do externích VaV aktivit je tedy ve všech státech EU menší než podíl podniků provádějících vlastní VaV, Česko nevyjímaje (tabulka D.1).</w:t>
      </w:r>
    </w:p>
    <w:p w:rsidR="009D46E6" w:rsidRDefault="009D46E6" w:rsidP="00560E4E"/>
    <w:p w:rsidR="009D46E6" w:rsidRPr="00632710" w:rsidRDefault="009D46E6" w:rsidP="00750D9B">
      <w:pPr>
        <w:pStyle w:val="Caption"/>
      </w:pPr>
      <w:bookmarkStart w:id="198" w:name="_Toc369091933"/>
      <w:r w:rsidRPr="0016724B">
        <w:t>Tabulka D.</w:t>
      </w:r>
      <w:fldSimple w:instr=" SEQ Tabulka \* ARABIC ">
        <w:r>
          <w:rPr>
            <w:noProof/>
          </w:rPr>
          <w:t>4</w:t>
        </w:r>
      </w:fldSimple>
      <w:r w:rsidRPr="0016724B">
        <w:t>: Podíl inovujících podniků provádějících vlastní a externí VaV aktivity</w:t>
      </w:r>
      <w:r>
        <w:t xml:space="preserve"> (2008 – 2010)</w:t>
      </w:r>
      <w:bookmarkEnd w:id="198"/>
    </w:p>
    <w:p w:rsidR="009D46E6" w:rsidRDefault="009D46E6" w:rsidP="00560E4E">
      <w:pPr>
        <w:keepNext/>
      </w:pPr>
      <w:r w:rsidRPr="001D1D98">
        <w:rPr>
          <w:noProof/>
          <w:lang w:eastAsia="cs-CZ"/>
        </w:rPr>
        <w:pict>
          <v:shape id="obrázek 6" o:spid="_x0000_i1215" type="#_x0000_t75" style="width:481.2pt;height:189.6pt;visibility:visible">
            <v:imagedata r:id="rId210" o:title=""/>
          </v:shape>
        </w:pict>
      </w:r>
    </w:p>
    <w:p w:rsidR="009D46E6" w:rsidRPr="00A340C3" w:rsidRDefault="009D46E6" w:rsidP="00A340C3">
      <w:pPr>
        <w:spacing w:line="240" w:lineRule="auto"/>
        <w:rPr>
          <w:i/>
          <w:color w:val="595959"/>
          <w:sz w:val="16"/>
        </w:rPr>
      </w:pPr>
      <w:r w:rsidRPr="00A340C3">
        <w:rPr>
          <w:i/>
          <w:color w:val="595959"/>
          <w:sz w:val="16"/>
        </w:rPr>
        <w:t>Zdroj: Eurostat 2013, CIS</w:t>
      </w:r>
    </w:p>
    <w:p w:rsidR="009D46E6" w:rsidRDefault="009D46E6" w:rsidP="00560E4E"/>
    <w:p w:rsidR="009D46E6" w:rsidRDefault="009D46E6" w:rsidP="00560E4E">
      <w:r>
        <w:t>Nemusí to však být pouze VaV aktivity, které mohou podporovat spolupráci. Inovační aktivity v celé šíři jsou oblastí, ve které je běžná spolupráce podniků se subjekty z různých sfér (</w:t>
      </w:r>
      <w:r w:rsidRPr="00942DBF">
        <w:t>graf D.4</w:t>
      </w:r>
      <w:r>
        <w:t>). Podíl spolupracujících podniků na produktové a procesní inovaci v Česku je z hlediska EU průměrný a evropskému průměru odpovídá i struktura spolupráce podniků v Česku.</w:t>
      </w:r>
    </w:p>
    <w:p w:rsidR="009D46E6" w:rsidRDefault="009D46E6" w:rsidP="00560E4E">
      <w:r>
        <w:t>Míra spolupráce se napříč státy EU velmi liší. Nejčastěji dominujícími spolupracujícími partnery a subjekty jsou dodavatelé zařízení, materiálů, součástí a software. Je logické, že vzhledem k vzájemné rivalitě na trhu, tvoří skupina konkurenti a jiné podniky z téhož odvětví v inovační spolupráci podniků jen malý podíl.</w:t>
      </w:r>
    </w:p>
    <w:p w:rsidR="009D46E6" w:rsidRPr="000811F5" w:rsidRDefault="009D46E6" w:rsidP="00750D9B">
      <w:pPr>
        <w:pStyle w:val="Caption"/>
      </w:pPr>
      <w:bookmarkStart w:id="199" w:name="_Toc369092070"/>
      <w:r w:rsidRPr="000811F5">
        <w:t>Graf D.</w:t>
      </w:r>
      <w:fldSimple w:instr=" SEQ Graf \* ARABIC ">
        <w:r>
          <w:rPr>
            <w:noProof/>
          </w:rPr>
          <w:t>31</w:t>
        </w:r>
      </w:fldSimple>
      <w:r>
        <w:t>: Typy partnerů inovujících podniků pro</w:t>
      </w:r>
      <w:r w:rsidRPr="000811F5">
        <w:t xml:space="preserve"> produktové a procesní inovace </w:t>
      </w:r>
      <w:r>
        <w:t>(</w:t>
      </w:r>
      <w:r w:rsidRPr="000811F5">
        <w:t>2008-2010</w:t>
      </w:r>
      <w:r>
        <w:t>)</w:t>
      </w:r>
      <w:bookmarkEnd w:id="199"/>
    </w:p>
    <w:p w:rsidR="009D46E6" w:rsidRDefault="009D46E6" w:rsidP="00560E4E">
      <w:pPr>
        <w:keepNext/>
      </w:pPr>
      <w:r w:rsidRPr="001D1D98">
        <w:rPr>
          <w:noProof/>
          <w:lang w:eastAsia="cs-CZ"/>
        </w:rPr>
        <w:pict>
          <v:shape id="_x0000_i1216" type="#_x0000_t75" style="width:481.8pt;height:240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">
            <v:imagedata r:id="rId211" o:title="" croptop="-1321f" cropbottom="-537f" cropleft="-266f" cropright="-1745f"/>
            <o:lock v:ext="edit" aspectratio="f"/>
          </v:shape>
        </w:pict>
      </w:r>
    </w:p>
    <w:p w:rsidR="009D46E6" w:rsidRPr="00A340C3" w:rsidRDefault="009D46E6" w:rsidP="00A340C3">
      <w:pPr>
        <w:spacing w:line="240" w:lineRule="auto"/>
        <w:rPr>
          <w:i/>
          <w:color w:val="595959"/>
          <w:sz w:val="16"/>
        </w:rPr>
      </w:pPr>
      <w:r w:rsidRPr="00A340C3">
        <w:rPr>
          <w:i/>
          <w:color w:val="595959"/>
          <w:sz w:val="16"/>
        </w:rPr>
        <w:t>Zdroj: Eurostat 2013, CIS</w:t>
      </w:r>
    </w:p>
    <w:p w:rsidR="009D46E6" w:rsidRPr="00E156C3" w:rsidRDefault="009D46E6" w:rsidP="00E156C3">
      <w:pPr>
        <w:spacing w:after="0"/>
        <w:rPr>
          <w:sz w:val="16"/>
        </w:rPr>
      </w:pPr>
    </w:p>
    <w:p w:rsidR="009D46E6" w:rsidRDefault="009D46E6" w:rsidP="00560E4E">
      <w:r>
        <w:t>Inovační výkonnost ekonomiky je ovlivněna i podnikatelským prostředím a subjektivním přístupem podniků k inovačním aktivitám jako takovým. Inovační aktivity vyžadují obvykle promyšlenou strategii s jasným cílem, který má zajistit návratnost investovaných zdrojů a posílit konkurenceschopnost podniku. Proto musí každý subjekt zvážit rizika a bariéry, která mohou úspěch inovačních aktivit ohrozit. Šetření inovačních podniků napříč evropskými státy dokazuje, že vnímání významnosti bariér, jež brání provádění inovací v podniku, je podobné (graf D.5).</w:t>
      </w:r>
    </w:p>
    <w:p w:rsidR="009D46E6" w:rsidRDefault="009D46E6" w:rsidP="00560E4E">
      <w:r>
        <w:t xml:space="preserve">O charakteru inovačního prostředí v jednotlivých zemích vypovídá i srovnání podílů podniků, které hodnotily faktory jako významně omezující. Je zřejmé, že podniky států s vysokou inovační výkonností nevnímají bariéry v takové míře, jako země, které jsou v tvorbě inovací průměrné až podprůměrné. Není tedy překvapivé, že zejména v oblasti faktoru finančních zdrojů jsou rozdíly mezi zeměmi výraznější. Zatímco v Chorvatsku, Španělsku a Bulharsku jsou vysoké inovační náklady významným omezením pro téměř 40 % podniků, ve Finskou a Švédsku (evropští inovační lídři) je tento faktor omezující pro méně než 15 % podniků. Česko patří spíše k zemím, kde podíl podniků vnímající bariéry jako významné je poměrně vysoký. </w:t>
      </w:r>
    </w:p>
    <w:p w:rsidR="009D46E6" w:rsidRDefault="009D46E6" w:rsidP="00560E4E">
      <w:r>
        <w:t>Podniky v Česku vnímají významnost jednotlivých bariér velice podobně jako většina států EU. Tři nejdůležitější faktory, které omezují inovační aktivity, se týkají nedostatku finanční zdrojů a nákladů spojených s inovačními aktivitami. Nejméně významným faktorem je pro podnikatele nedostatek informací o trzích a technologiích. Faktor, který v Česku není významný v takové míře, jako ve většině sledovaných států jsou obtíže při hledání spolupracujícího partnera.</w:t>
      </w:r>
    </w:p>
    <w:p w:rsidR="009D46E6" w:rsidRPr="000811F5" w:rsidRDefault="009D46E6" w:rsidP="00750D9B">
      <w:pPr>
        <w:pStyle w:val="Caption"/>
      </w:pPr>
      <w:bookmarkStart w:id="200" w:name="_Toc369092071"/>
      <w:r w:rsidRPr="000811F5">
        <w:t>Graf D.</w:t>
      </w:r>
      <w:fldSimple w:instr=" SEQ Graf \* ARABIC ">
        <w:r>
          <w:rPr>
            <w:noProof/>
          </w:rPr>
          <w:t>32</w:t>
        </w:r>
      </w:fldSimple>
      <w:r w:rsidRPr="000811F5">
        <w:t xml:space="preserve">: Vnímání bariér inovačních aktivit </w:t>
      </w:r>
      <w:r>
        <w:t>(</w:t>
      </w:r>
      <w:r w:rsidRPr="000811F5">
        <w:t>2008-2010</w:t>
      </w:r>
      <w:r>
        <w:t>)</w:t>
      </w:r>
      <w:bookmarkEnd w:id="200"/>
    </w:p>
    <w:p w:rsidR="009D46E6" w:rsidRDefault="009D46E6" w:rsidP="00560E4E">
      <w:pPr>
        <w:keepNext/>
      </w:pPr>
      <w:r w:rsidRPr="001D1D98">
        <w:rPr>
          <w:noProof/>
          <w:lang w:eastAsia="cs-CZ"/>
        </w:rPr>
        <w:pict>
          <v:shape id="Chart 14" o:spid="_x0000_i1217" type="#_x0000_t75" style="width:477.6pt;height:269.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TsvsG3AAAAAUBAAAPAAAAZHJzL2Rvd25y&#10;ZXYueG1sTI/NSsRAEITvgu8wtODNnfiTsImZLCrsQTyIq6DH3kybBDM9ITPZZN/e1oteCppqqr4q&#10;N4vr1YHG0Hk2cLlKQBHX3nbcGHh73V6sQYWIbLH3TAaOFGBTnZ6UWFg/8wsddrFREsKhQANtjEOh&#10;dahbchhWfiAW79OPDqOcY6PtiLOEu15fJUmmHXYsDS0O9NBS/bWbnIH7926b8eP15PNnzD+O2dw9&#10;pbMx52fL3S2oSEv8e4YffEGHSpj2fmIbVG9AhsRfFS/PbmTG3kCaJmvQVan/01ffAA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">
            <v:imagedata r:id="rId212" o:title="" croptop="-940f" cropbottom="-757f" cropleft="-132f" cropright="-1518f"/>
            <o:lock v:ext="edit" aspectratio="f"/>
          </v:shape>
        </w:pict>
      </w:r>
    </w:p>
    <w:p w:rsidR="009D46E6" w:rsidRPr="00A340C3" w:rsidRDefault="009D46E6" w:rsidP="00A340C3">
      <w:pPr>
        <w:spacing w:line="240" w:lineRule="auto"/>
        <w:rPr>
          <w:i/>
          <w:color w:val="595959"/>
          <w:sz w:val="16"/>
        </w:rPr>
      </w:pPr>
      <w:r w:rsidRPr="00A340C3">
        <w:rPr>
          <w:i/>
          <w:color w:val="595959"/>
          <w:sz w:val="16"/>
        </w:rPr>
        <w:t>Zdroj: Eurostat 2013, CIS</w:t>
      </w:r>
    </w:p>
    <w:p w:rsidR="009D46E6" w:rsidRDefault="009D46E6" w:rsidP="00560E4E"/>
    <w:p w:rsidR="009D46E6" w:rsidRDefault="009D46E6" w:rsidP="00560E4E">
      <w:pPr>
        <w:pStyle w:val="Heading2"/>
        <w:spacing w:before="60"/>
      </w:pPr>
      <w:bookmarkStart w:id="201" w:name="_Toc369091902"/>
      <w:r>
        <w:t>High-tech odvětví</w:t>
      </w:r>
      <w:bookmarkEnd w:id="201"/>
    </w:p>
    <w:p w:rsidR="009D46E6" w:rsidRDefault="009D46E6" w:rsidP="00560E4E">
      <w:r>
        <w:t>Analýza high-tech odvětví v této části vychází z několika zdrojů dat. Za prvé se statistiky zahraničního obchodu, která zachycuje toky, při nichž dojde k přechodu státní hranice. Tato statistika má svá omezení a je třeba mít na paměti, že u některých odvětví může docházet výraznému nadhodnocení vývozu, tzv. branding</w:t>
      </w:r>
      <w:r>
        <w:rPr>
          <w:rStyle w:val="FootnoteReference"/>
          <w:rFonts w:cs="MetaPro-Normal"/>
        </w:rPr>
        <w:footnoteReference w:id="47"/>
      </w:r>
      <w:r>
        <w:t>. Dále tato statistika nezachycuje skutečný dovoz a vývoj zbraní (které patří to kategorie ostatní high-tech). Vzhledem ke změnám v nomenklatuře SITC v roce 2007, nejsou údaje o zahraničním obchodu s high-tech plně porovnatelné s předcházejícími lety</w:t>
      </w:r>
    </w:p>
    <w:p w:rsidR="009D46E6" w:rsidRDefault="009D46E6" w:rsidP="00560E4E">
      <w:r>
        <w:t>Dalším zdrojem dat pro analýzu high-tech a medium high-tech odvětví podle klasifikace CZ-NACE jsou výsledky roční strukturální podnikové statistiky (SBS), která vychází z kombinace vlastních šetření ČSÚ a administrativních dat. Analyzovány jsou údaje za populaci aktivních podnikatelských subjektů, tzn. právnických a fyzických osob, které mají postavení podnikatele. V případě právnických osob údaje pokrývají pouze sektor nefinančních podniků. Podnikatelské subjekty jsou v této statistice přiřazovány jednotlivým odvětvím na základě hlavní činnosti podle klasifikace CZ-NACE.</w:t>
      </w:r>
    </w:p>
    <w:p w:rsidR="009D46E6" w:rsidRDefault="009D46E6" w:rsidP="00560E4E">
      <w:r>
        <w:t>Posledním zdrojem jsou data Ročních národních účtů (RNU), která umožňují sledování delších časových řad.</w:t>
      </w:r>
    </w:p>
    <w:p w:rsidR="009D46E6" w:rsidRDefault="009D46E6" w:rsidP="00560E4E">
      <w:r>
        <w:t>Výrazně exportní ekonomika svou hospodářskou situaci do značné míry odvozuje od schopnosti firem konkurovat se svými produkty na mezinárodním trhu. Česko má ekonomiku velmi otevřenou a firmy, které jsou schopné exportovat, utvářejí konkurenceschopnost českého hospodářství. Dlouhodobě se proto také obrací pozornost na charakter exportu z hlediska high-tech odvětví.</w:t>
      </w:r>
    </w:p>
    <w:p w:rsidR="009D46E6" w:rsidRDefault="009D46E6" w:rsidP="00560E4E">
      <w:r>
        <w:t>I když má saldo zahraničního obchodu dlouhodobě kladné hodnoty, saldo obchodu s high-tech se od vypuknutí ekonomické krize pohybovalo spíše v záporných hodnotách. Avšak podíl vývozu v high-tech na celkovém vývozu Česka za posledních deset let výrazně vzrostl (</w:t>
      </w:r>
      <w:r w:rsidRPr="0005505D">
        <w:t>graf D.6</w:t>
      </w:r>
      <w:r>
        <w:t xml:space="preserve">). </w:t>
      </w:r>
    </w:p>
    <w:p w:rsidR="009D46E6" w:rsidRPr="0005505D" w:rsidRDefault="009D46E6" w:rsidP="00750D9B">
      <w:pPr>
        <w:pStyle w:val="Caption"/>
      </w:pPr>
      <w:bookmarkStart w:id="202" w:name="_Toc369092072"/>
      <w:r w:rsidRPr="0005505D">
        <w:t>Graf D.</w:t>
      </w:r>
      <w:fldSimple w:instr=" SEQ Graf \* ARABIC ">
        <w:r>
          <w:rPr>
            <w:noProof/>
          </w:rPr>
          <w:t>33</w:t>
        </w:r>
      </w:fldSimple>
      <w:r w:rsidRPr="0005505D">
        <w:t>: Vývoz high-tech zboží z Česka podle klasifikace SITC (1993-2012)</w:t>
      </w:r>
      <w:bookmarkEnd w:id="202"/>
    </w:p>
    <w:p w:rsidR="009D46E6" w:rsidRDefault="009D46E6" w:rsidP="00560E4E">
      <w:pPr>
        <w:keepNext/>
      </w:pPr>
      <w:r w:rsidRPr="001D1D98">
        <w:rPr>
          <w:noProof/>
          <w:lang w:eastAsia="cs-CZ"/>
        </w:rPr>
        <w:pict>
          <v:shape id="_x0000_i1218" type="#_x0000_t75" style="width:481.2pt;height:26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yNI4y3AAAAAUBAAAPAAAAZHJzL2Rvd25y&#10;ZXYueG1sTI/BTsMwEETvSPyDtUjcqE2Aqg1xKoQEFzhAy6U3116SiHidxm5j/p6FS7mMtJrVzJtq&#10;lX0vjjjGLpCG65kCgWSD66jR8LF5ulqAiMmQM30g1PCNEVb1+VllShcmesfjOjWCQyiWRkOb0lBK&#10;GW2L3sRZGJDY+wyjN4nPsZFuNBOH+14WSs2lNx1xQ2sGfGzRfq0Pnkus394Mr9OLym+bbbbL52K/&#10;L7S+vMgP9yAS5nR6hl98RoeamXbhQC6KXgMPSX/K3nJe3ILYabgrFgpkXcn/9PUPAA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">
            <v:imagedata r:id="rId213" o:title="" croptop="-482f" cropbottom="-977f" cropleft="-69f" cropright="-870f"/>
            <o:lock v:ext="edit" aspectratio="f"/>
          </v:shape>
        </w:pict>
      </w:r>
    </w:p>
    <w:p w:rsidR="009D46E6" w:rsidRPr="00A340C3" w:rsidRDefault="009D46E6" w:rsidP="00A340C3">
      <w:pPr>
        <w:spacing w:line="240" w:lineRule="auto"/>
        <w:rPr>
          <w:i/>
          <w:color w:val="595959"/>
          <w:sz w:val="16"/>
        </w:rPr>
      </w:pPr>
      <w:r w:rsidRPr="00A340C3">
        <w:rPr>
          <w:i/>
          <w:color w:val="595959"/>
          <w:sz w:val="16"/>
        </w:rPr>
        <w:t>Zdroj: ČSÚ 2013, Databáze statistiky zahraničního obchodu</w:t>
      </w:r>
    </w:p>
    <w:p w:rsidR="009D46E6" w:rsidRDefault="009D46E6" w:rsidP="00E156C3"/>
    <w:p w:rsidR="009D46E6" w:rsidRDefault="009D46E6" w:rsidP="00560E4E">
      <w:r>
        <w:t>Největší podíl na vývozu high-tech tvoří podle SITC klasifikace výpočetní technika a elektronika a komunikace. Je třeba mít na paměti, že právě tyto dvě skupiny jsou výrazně nadhodnoceny díky efektu, který se nazývá branding. Mimo jiné je to také jeden z faktorů, který Česko ve srovnání s ostatními evropskými zeměmi řadí mezi nadprůměrné vývozce high-tech zboží z hlediska podílu na celkovém vývozu země (</w:t>
      </w:r>
      <w:r w:rsidRPr="0005505D">
        <w:t>graf D.7</w:t>
      </w:r>
      <w:r>
        <w:t>). Toto je jeden s příkladů, kdy statistiky mohou při špatné interpretaci zkreslovat schopnost dané ekonomiky produkovat vlastní high-tech. Podíl ostatních oborů high-tech se v průběhu desetiletí příliš nezměnil.</w:t>
      </w:r>
    </w:p>
    <w:p w:rsidR="009D46E6" w:rsidRPr="00FD70D0" w:rsidRDefault="009D46E6" w:rsidP="00750D9B">
      <w:pPr>
        <w:pStyle w:val="Caption"/>
      </w:pPr>
      <w:bookmarkStart w:id="203" w:name="_Toc369092073"/>
      <w:r w:rsidRPr="00FD70D0">
        <w:t xml:space="preserve">Graf </w:t>
      </w:r>
      <w:r>
        <w:t>D.</w:t>
      </w:r>
      <w:fldSimple w:instr=" SEQ Graf \* ARABIC ">
        <w:r>
          <w:rPr>
            <w:noProof/>
          </w:rPr>
          <w:t>34</w:t>
        </w:r>
      </w:fldSimple>
      <w:r>
        <w:t>: Podíl vývozu high-tech zboží na celkovém exportu zboží země v roce 2012</w:t>
      </w:r>
      <w:bookmarkEnd w:id="203"/>
    </w:p>
    <w:p w:rsidR="009D46E6" w:rsidRDefault="009D46E6" w:rsidP="00560E4E">
      <w:pPr>
        <w:keepNext/>
      </w:pPr>
      <w:r w:rsidRPr="001D1D98">
        <w:rPr>
          <w:noProof/>
          <w:lang w:eastAsia="cs-CZ"/>
        </w:rPr>
        <w:pict>
          <v:shape id="Chart 16" o:spid="_x0000_i1219" type="#_x0000_t75" style="width:468pt;height:188.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EYxS3AAAAAUBAAAPAAAAZHJzL2Rvd25y&#10;ZXYueG1sTI9BS8QwEIXvgv8hjOBF3FQXaq1NFxEWBL2468G9pUm2qSaTkmR323/v6EUvDx5veO+b&#10;ZjV5x44mpiGggJtFAcygCnrAXsD7dn1dAUtZopYuoBEwmwSr9vyskbUOJ3wzx03uGZVgqqUAm/NY&#10;c56UNV6mRRgNUrYP0ctMNvZcR3micu/4bVGU3MsBacHK0TxZo742By/A2d3cvT5ffWwnNVf79Wfc&#10;SfUixOXF9PgALJsp/x3DDz6hQ0tMXTigTswJoEfyr1J2vyzJdgKWd2UFvG34f/r2Gw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">
            <v:imagedata r:id="rId214" o:title="" croptop="-3073f" cropbottom="-2394f" cropleft="-838f" cropright="-1821f"/>
            <o:lock v:ext="edit" aspectratio="f"/>
          </v:shape>
        </w:pict>
      </w:r>
    </w:p>
    <w:p w:rsidR="009D46E6" w:rsidRPr="00A340C3" w:rsidRDefault="009D46E6" w:rsidP="00A340C3">
      <w:pPr>
        <w:spacing w:line="240" w:lineRule="auto"/>
        <w:rPr>
          <w:i/>
          <w:color w:val="595959"/>
          <w:sz w:val="16"/>
        </w:rPr>
      </w:pPr>
      <w:r w:rsidRPr="00A340C3">
        <w:rPr>
          <w:i/>
          <w:color w:val="595959"/>
          <w:sz w:val="16"/>
        </w:rPr>
        <w:t xml:space="preserve">Zdroj: Eurostat 2013 </w:t>
      </w:r>
    </w:p>
    <w:p w:rsidR="009D46E6" w:rsidRDefault="009D46E6" w:rsidP="00560E4E">
      <w:r>
        <w:t xml:space="preserve">I přesto, že údaje o vývozu high-tech mohou být do značné míry zavádějící, je zřejmé, že podprůměrní inovátoři patří mezi země s nízkým podílem vývozu high-tech zboží. Nicméně další závěry ze srovnání podle statistik obchodu high-tech musí být vždy doplněny o jiné úhly pohledu. Jako další faktor, který lze sledovat při mezinárodním srovnání Česka je přidaná hodnota vytvořená v high-tech odvětvích </w:t>
      </w:r>
      <w:r w:rsidRPr="005C1F02">
        <w:t>(graf D.8</w:t>
      </w:r>
      <w:r>
        <w:t>).</w:t>
      </w:r>
    </w:p>
    <w:p w:rsidR="009D46E6" w:rsidRPr="005C1F02" w:rsidRDefault="009D46E6" w:rsidP="00816E8E">
      <w:pPr>
        <w:pStyle w:val="Caption"/>
        <w:tabs>
          <w:tab w:val="clear" w:pos="1276"/>
        </w:tabs>
        <w:ind w:left="993" w:hanging="993"/>
      </w:pPr>
      <w:bookmarkStart w:id="204" w:name="_Toc369092074"/>
      <w:r w:rsidRPr="005C1F02">
        <w:t>Graf D.</w:t>
      </w:r>
      <w:fldSimple w:instr=" SEQ Graf \* ARABIC ">
        <w:r>
          <w:rPr>
            <w:noProof/>
          </w:rPr>
          <w:t>35</w:t>
        </w:r>
      </w:fldSimple>
      <w:r w:rsidRPr="005C1F02">
        <w:t>: Přidaná hodnota vytvořená v high-tech odvětvích zpracovatelského průmyslu jako podíl na zpracovatelském průmyslu</w:t>
      </w:r>
      <w:bookmarkEnd w:id="204"/>
    </w:p>
    <w:p w:rsidR="009D46E6" w:rsidRDefault="009D46E6" w:rsidP="00560E4E">
      <w:pPr>
        <w:keepNext/>
      </w:pPr>
      <w:r w:rsidRPr="001D1D98">
        <w:rPr>
          <w:noProof/>
          <w:lang w:eastAsia="cs-CZ"/>
        </w:rPr>
        <w:pict>
          <v:shape id="_x0000_i1220" type="#_x0000_t75" style="width:458.4pt;height:247.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5R7873QAAAAUBAAAPAAAAZHJzL2Rvd25y&#10;ZXYueG1sTI/NTsMwEITvSLyDtUjcqAOFqA1xqqqiF0QPDVS9uvGSRI3XUez8lKdn4QKXkUazmvk2&#10;XU22EQN2vnak4H4WgUAqnKmpVPDxvr1bgPBBk9GNI1RwQQ+r7Poq1YlxI+1xyEMpuIR8ohVUIbSJ&#10;lL6o0Go/cy0SZ5+uszqw7UppOj1yuW3kQxTF0uqaeKHSLW4qLM55bxUM49fL8bLb7Gj9arbnt3ze&#10;m8NRqdubaf0MIuAU/o7hB5/RIWOmk+vJeNEo4EfCr3K2nMdsTwoel08xyCyV/+mzbw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">
            <v:imagedata r:id="rId215" o:title="" croptop="-1348f" cropbottom="-2711f" cropleft="-426f" cropright="-2745f"/>
            <o:lock v:ext="edit" aspectratio="f"/>
          </v:shape>
        </w:pict>
      </w:r>
    </w:p>
    <w:p w:rsidR="009D46E6" w:rsidRPr="00A340C3" w:rsidRDefault="009D46E6" w:rsidP="00A340C3">
      <w:pPr>
        <w:spacing w:line="240" w:lineRule="auto"/>
        <w:rPr>
          <w:i/>
          <w:color w:val="595959"/>
          <w:sz w:val="16"/>
        </w:rPr>
      </w:pPr>
      <w:r w:rsidRPr="00A340C3">
        <w:rPr>
          <w:i/>
          <w:color w:val="595959"/>
          <w:sz w:val="16"/>
        </w:rPr>
        <w:t>Zdroj: Eurostat 2013</w:t>
      </w:r>
    </w:p>
    <w:p w:rsidR="009D46E6" w:rsidRDefault="009D46E6" w:rsidP="00560E4E"/>
    <w:p w:rsidR="009D46E6" w:rsidRDefault="009D46E6" w:rsidP="00BF3762">
      <w:r>
        <w:t>Česko je země se silnou průmyslovou tradicí zejména ve zpracovatelském průmyslu. Ekonomické činnosti spadající do zpracovatelského průmyslu jsou vnímány jako podstatný zdroj konkurenceschopnosti českého hospodářství. V této souvislosti se také předpokládá, že zpracovatelský průmysl má v Česku vysoký potenciál k dalšímu rozvoji, protože obsahuje celou řadu oborů, které jsou technologicky velmi náročné. High-tech průmysl sektor obsahuje právě ekonomické činnosti, které ke své produkci ve velké míře používají vyspělé technologie a často vývoj výstupů z těchto činností doprovází vysoké náklady na inovace, respektive výzkum a vývoj. Takové činnosti vytvářejí vyšší přidanou hodnotu. Nicméně podíl přidané hodnoty high-tech odvětví zpracovatelského průmyslu v Česku na přidané hodnotě, kterou vytváří zpracovatelský průmysl celkem, je velice malý. Ve srovnání s dalšími zeměmi EU je Česko dokonce na posledních místech společně s Portugalskem a Litvou. Českou konkurenceschopnost ve zpracovatelském průmyslu tedy zcela evidentně i nadále tvoří činnosti z oblasti medium high-tech a medium low-tech činností.</w:t>
      </w:r>
    </w:p>
    <w:p w:rsidR="009D46E6" w:rsidRDefault="009D46E6" w:rsidP="00560E4E">
      <w:r>
        <w:t xml:space="preserve">Tento fakt dobře ilustruje </w:t>
      </w:r>
      <w:r w:rsidRPr="005C1F02">
        <w:t>i graf D.9.</w:t>
      </w:r>
      <w:r>
        <w:t xml:space="preserve"> Z hlediska velikostní struktury podniků zpracovatelského průmyslu nejvyšší přidanou hodnotu vytvářejí velké podniky s 250 a více zaměstnanci, a to zejména v kategorii medium high-tech odvětví. Podíl medium high-tech odvětví na tvorbě přidané hodnoty zpracovatelského průmyslu od propadu v roce 2009 způsobeném ekonomickou krizí významně roste. Dá se předpokládat, že investiční zájem velkých firem, jejichž významná část je pod zahraniční kontrolou, přetrvává právě v odvětvích medium high a medium low-tech. Česko tedy stále svou konkurenceschopnost zakládá na relativně kvalitní, ale poměrně levné pracovní síle, ne však na vysoce kvalifikované pracovní síle a prostředí vhodném pro investice v technologicky velmi náročných odvětvích, která často vyžadují přítomnost výzkumných a vývojových aktivit a jsou náročná na vysoce kvalifikované lidské zdroje.</w:t>
      </w:r>
    </w:p>
    <w:p w:rsidR="009D46E6" w:rsidRPr="005C1F02" w:rsidRDefault="009D46E6" w:rsidP="003C1445">
      <w:pPr>
        <w:pStyle w:val="Caption"/>
        <w:tabs>
          <w:tab w:val="clear" w:pos="1276"/>
        </w:tabs>
        <w:ind w:left="993" w:hanging="993"/>
      </w:pPr>
      <w:bookmarkStart w:id="205" w:name="_Toc369092075"/>
      <w:r w:rsidRPr="005C1F02">
        <w:t>Graf D.</w:t>
      </w:r>
      <w:fldSimple w:instr=" SEQ Graf \* ARABIC ">
        <w:r>
          <w:rPr>
            <w:noProof/>
          </w:rPr>
          <w:t>36</w:t>
        </w:r>
      </w:fldSimple>
      <w:r w:rsidRPr="005C1F02">
        <w:t>: Přidaná hodnota vytvořená ve zpracovatelském průmyslu podle jeho technologické náročnosti</w:t>
      </w:r>
      <w:r>
        <w:t xml:space="preserve"> (v mil. Kč)</w:t>
      </w:r>
      <w:bookmarkEnd w:id="205"/>
    </w:p>
    <w:p w:rsidR="009D46E6" w:rsidRPr="00BD3E79" w:rsidRDefault="009D46E6" w:rsidP="00560E4E">
      <w:pPr>
        <w:spacing w:line="240" w:lineRule="auto"/>
        <w:jc w:val="center"/>
      </w:pPr>
      <w:r w:rsidRPr="001D1D98">
        <w:rPr>
          <w:noProof/>
          <w:lang w:eastAsia="cs-CZ"/>
        </w:rPr>
        <w:pict>
          <v:shape id="Chart 22" o:spid="_x0000_i1221" type="#_x0000_t75" style="width:475.8pt;height:213pt;visibility:visible" o:gfxdata="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">
            <v:imagedata r:id="rId216" o:title="" croptop="-2291f" cropbottom="-684f" cropleft="-71f" cropright="-1953f"/>
            <o:lock v:ext="edit" aspectratio="f"/>
          </v:shape>
        </w:pict>
      </w:r>
    </w:p>
    <w:p w:rsidR="009D46E6" w:rsidRPr="00BD3E79" w:rsidRDefault="009D46E6" w:rsidP="00560E4E">
      <w:pPr>
        <w:spacing w:line="240" w:lineRule="auto"/>
        <w:rPr>
          <w:i/>
          <w:color w:val="595959"/>
          <w:sz w:val="16"/>
        </w:rPr>
      </w:pPr>
      <w:r>
        <w:rPr>
          <w:i/>
          <w:color w:val="595959"/>
          <w:sz w:val="16"/>
        </w:rPr>
        <w:t>Zdroj: ČSÚ 2013, Roční strukturální podniková statistika</w:t>
      </w:r>
    </w:p>
    <w:p w:rsidR="009D46E6" w:rsidRDefault="009D46E6" w:rsidP="00560E4E"/>
    <w:p w:rsidR="009D46E6" w:rsidRDefault="009D46E6" w:rsidP="00560E4E">
      <w:r>
        <w:t>Počet firem v high-tech odvětvích v Česku tvoří ve zpracovatelském průmyslu na celkovém počtu podniků cca 2 %. V mezinárodním srovnání (</w:t>
      </w:r>
      <w:r w:rsidRPr="001E0810">
        <w:t>graf D.10</w:t>
      </w:r>
      <w:r>
        <w:t>) se jedná o podprůměrnou hodnotu. Nejvyšší podíl high-tech firem mají obvykle země s vysokou inovační výkonností, zejména Švýcarsko, Spojené království, Německo a Dánsko. I když jsou jednotlivé země velmi různorodé, ať už z hlediska populační velikosti či povaze zdrojů konkurenceschopnosti dané ekonomiky, prostý podíl firem v high-tech odvětvích přesto dobře ilustruje schopnost zemí produkovat znalosti a dále je přetvářet v inovace.</w:t>
      </w:r>
    </w:p>
    <w:p w:rsidR="009D46E6" w:rsidRDefault="009D46E6" w:rsidP="003C1445">
      <w:pPr>
        <w:pStyle w:val="Caption"/>
        <w:tabs>
          <w:tab w:val="clear" w:pos="1276"/>
        </w:tabs>
        <w:ind w:left="1134" w:hanging="1134"/>
      </w:pPr>
      <w:bookmarkStart w:id="206" w:name="_Toc369092076"/>
      <w:r w:rsidRPr="00BD3E79">
        <w:t>Graf D.</w:t>
      </w:r>
      <w:fldSimple w:instr=" SEQ Graf \* ARABIC ">
        <w:r>
          <w:rPr>
            <w:noProof/>
          </w:rPr>
          <w:t>37</w:t>
        </w:r>
      </w:fldSimple>
      <w:r>
        <w:t>: Podíl podniků v high-tech odvětvích zpracovatelského průmyslu na celkovém počtu podniků ve zpracovatelském průmyslu země</w:t>
      </w:r>
      <w:bookmarkEnd w:id="206"/>
    </w:p>
    <w:p w:rsidR="009D46E6" w:rsidRPr="00BD3E79" w:rsidRDefault="009D46E6" w:rsidP="00560E4E">
      <w:pPr>
        <w:keepNext/>
        <w:tabs>
          <w:tab w:val="left" w:pos="1276"/>
        </w:tabs>
        <w:spacing w:before="120" w:line="240" w:lineRule="auto"/>
        <w:ind w:left="709" w:hanging="709"/>
        <w:rPr>
          <w:b/>
          <w:bCs/>
          <w:i/>
          <w:color w:val="595959"/>
          <w:szCs w:val="18"/>
        </w:rPr>
      </w:pPr>
      <w:r w:rsidRPr="001D1D98">
        <w:rPr>
          <w:noProof/>
          <w:lang w:eastAsia="cs-CZ"/>
        </w:rPr>
        <w:pict>
          <v:shape id="_x0000_i1222" type="#_x0000_t75" style="width:472.8pt;height:257.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ctNoG3QAAAAUBAAAPAAAAZHJzL2Rvd25y&#10;ZXYueG1sTI/BTsMwEETvSPyDtUhcEHVaSlRCnApV6oVT0/YD3HibRLXXUeykga9n4UIvK41mNPM2&#10;X0/OihH70HpSMJ8lIJAqb1qqFRwP2+cViBA1GW09oYIvDLAu7u9ynRl/pRLHfawFl1DItIImxi6T&#10;MlQNOh1mvkNi7+x7pyPLvpam11cud1YukiSVTrfEC43ucNNgddkPTsFgF265Ox+eyu/trt4M5TH9&#10;HC9KPT5MH+8gIk7xPwy/+IwOBTOd/EAmCKuAH4l/l7239CUFcVLwOl+uQBa5vKUvfg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">
            <v:imagedata r:id="rId217" o:title="" croptop="-2119f" cropbottom="-3165f" cropleft="-133f" cropright="-1791f"/>
            <o:lock v:ext="edit" aspectratio="f"/>
          </v:shape>
        </w:pict>
      </w:r>
    </w:p>
    <w:p w:rsidR="009D46E6" w:rsidRPr="00BD3E79" w:rsidRDefault="009D46E6" w:rsidP="00560E4E">
      <w:pPr>
        <w:keepNext/>
        <w:spacing w:line="240" w:lineRule="auto"/>
        <w:rPr>
          <w:i/>
          <w:color w:val="595959"/>
          <w:sz w:val="16"/>
        </w:rPr>
      </w:pPr>
      <w:r>
        <w:rPr>
          <w:i/>
          <w:color w:val="595959"/>
          <w:sz w:val="16"/>
        </w:rPr>
        <w:t>Zdroj: Eurostat 2013</w:t>
      </w:r>
    </w:p>
    <w:p w:rsidR="009D46E6" w:rsidRDefault="009D46E6" w:rsidP="00560E4E"/>
    <w:p w:rsidR="009D46E6" w:rsidRDefault="009D46E6">
      <w:pPr>
        <w:spacing w:before="200" w:after="200" w:line="276" w:lineRule="auto"/>
        <w:jc w:val="left"/>
      </w:pPr>
      <w:r>
        <w:br w:type="page"/>
      </w:r>
    </w:p>
    <w:p w:rsidR="009D46E6" w:rsidRDefault="009D46E6" w:rsidP="00560E4E">
      <w:r>
        <w:t>Vyšší výdaje na VaV vykazuje sektor high-tech služeb (graf D.11). Podíl domácích a zahraničních podniků na VaV v high-tech sektoru (průmysl i služby) je poměrně vyrovnaný. I když se v průběhu let podíl zahraničních afilací na výdajích do VaV v high-tech zvyšuje. Dalším důkazem, že se průmyslová high-tech odvětví u nás příliš nerozvíjejí, dokazuje i fakt, že výdaje na VaV v high-tech průmyslu (OKEČ klasifikace) stagnují. A naopak, high-tech služby se rozvíjejí kontinuálně a výdaje na VaV tohoto sektoru v Česku rostou.</w:t>
      </w:r>
    </w:p>
    <w:p w:rsidR="009D46E6" w:rsidRPr="00475D5B" w:rsidRDefault="009D46E6" w:rsidP="00750D9B">
      <w:pPr>
        <w:pStyle w:val="Caption"/>
      </w:pPr>
      <w:bookmarkStart w:id="207" w:name="_Toc369092077"/>
      <w:r w:rsidRPr="00475D5B">
        <w:t xml:space="preserve">Graf </w:t>
      </w:r>
      <w:r>
        <w:t>D.</w:t>
      </w:r>
      <w:fldSimple w:instr=" SEQ Graf \* ARABIC ">
        <w:r>
          <w:rPr>
            <w:noProof/>
          </w:rPr>
          <w:t>38</w:t>
        </w:r>
      </w:fldSimple>
      <w:r>
        <w:t>: Výdaje high-tech sektoru na výzkum a vývoj (podle OKEČ klasifikace, v mil. Kč)</w:t>
      </w:r>
      <w:bookmarkEnd w:id="207"/>
    </w:p>
    <w:p w:rsidR="009D46E6" w:rsidRDefault="009D46E6" w:rsidP="00560E4E">
      <w:pPr>
        <w:keepNext/>
      </w:pPr>
      <w:r w:rsidRPr="001D1D98">
        <w:rPr>
          <w:noProof/>
          <w:lang w:eastAsia="cs-CZ"/>
        </w:rPr>
        <w:pict>
          <v:shape id="Chart 24" o:spid="_x0000_i1223" type="#_x0000_t75" style="width:468pt;height:247.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wev2T2gAAAAUBAAAPAAAAZHJzL2Rvd25y&#10;ZXYueG1sTI/NTsMwEITvSLyDtUjcqMNfREKcClUql4oDJQ+wiZckaryOYrdJeXoWLnBZaTSrmW+K&#10;9eIGdaIp9J4N3K4SUMSNtz23BqqP7c0TqBCRLQ6eycCZAqzLy4sCc+tnfqfTPrZKQjjkaKCLccy1&#10;Dk1HDsPKj8TiffrJYRQ5tdpOOEu4G/RdkqTaYc/S0OFIm46aw/7opGR++8rc8rpx47mt5gPWu221&#10;M+b6anl5BhVpiX/P8IMv6FAKU+2PbIMaDMiQ+HvFy+5TkbWBh+wxBV0W+j99+Q0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">
            <v:imagedata r:id="rId218" o:title="" croptop="-1313f" cropbottom="-944f" cropleft="-133f" cropright="-70f"/>
            <o:lock v:ext="edit" aspectratio="f"/>
          </v:shape>
        </w:pict>
      </w:r>
    </w:p>
    <w:p w:rsidR="009D46E6" w:rsidRPr="00A340C3" w:rsidRDefault="009D46E6" w:rsidP="00A340C3">
      <w:pPr>
        <w:keepNext/>
        <w:spacing w:line="240" w:lineRule="auto"/>
        <w:rPr>
          <w:i/>
          <w:color w:val="595959"/>
          <w:sz w:val="16"/>
        </w:rPr>
      </w:pPr>
      <w:r w:rsidRPr="00A340C3">
        <w:rPr>
          <w:i/>
          <w:color w:val="595959"/>
          <w:sz w:val="16"/>
        </w:rPr>
        <w:t>Zdroj: ČSÚ 2012, Šetření o výzkumu a vývoji VTR 5-01</w:t>
      </w:r>
    </w:p>
    <w:p w:rsidR="009D46E6" w:rsidRPr="00DC7CA9" w:rsidRDefault="009D46E6" w:rsidP="00DC7CA9"/>
    <w:p w:rsidR="009D46E6" w:rsidRPr="00560E4E" w:rsidRDefault="009D46E6" w:rsidP="00560E4E">
      <w:r w:rsidRPr="00560E4E">
        <w:t>Technologická platební bilance (TBP) charakterizuje prodej respektive nákup nehmotné technologie ve vztahu k ostatním ekonomikám, tedy zahrnuje technologické platby z dané země do zahraničí a technologické příjmy ze zahraničí. Údaje o technologické platební bilanci jsou cenným zdrojem informací. Umožňuje měření intenzity a rozsahu šíření výzkumu a vývoje prostřednictvím mezinárodního obchodu. Technologický transfer mezi zeměmi je umocněn globálním charakterem ekonomiky, přímými zahraničními investicemi, fúzemi atd. TBP vypovídá i o technologické nezávislosti země a o původu technologií použitých v produkčním systému nebo v exportu a v neposlední řadě také o propojenosti technologických příjmů země s výzkumnými a vývojovými aktivitami. Do statistiky TBP se zahrnují patenty, licenční smlouvy, know-how (tedy nepatentované vynálezy), transakce zahrnující ochranné známky, designy a průmyslové vzory, technické služby (předběžné technické návrhy a inženýrské práce, všeobecná technická pomoc pro provoz a údržbu), výzkum a vývoj vykonaný v zahraničí. Do TBP není zahrnuto neprůmyslové duševní vlastnictví a software.</w:t>
      </w:r>
    </w:p>
    <w:p w:rsidR="009D46E6" w:rsidRPr="00560E4E" w:rsidRDefault="009D46E6" w:rsidP="00560E4E">
      <w:r w:rsidRPr="00560E4E">
        <w:t>Technologická platební bilance Česka je záporná. I když TBP reflektuje schopnost uspět se svými technologiemi na mezinárodním trhu, nemusí záporná hodnota TBP nutně znamenat nízkou konkurenceschopnost regionu/státu. Záporné hodnoty mohou souviset se zahraničními investicemi a přísunem nových technologií do regionu/státu. TBP Česka se však dlouhodobě pohybuje v záporných hodnotách a v souvislosti s dalšími údaji (viz předchozí text) je jasné, že ve tvorbě znalostně náročných produktů (ať už hmotných či nehmotných) Česko zaostává nejen za evropským průměrem. Vysoké příjmy vedoucí k celkově kladné TBP vykazuje pražský region. Praha díky své ekonomické síle a velmi specifické ekonomické struktuře je národním centrem služeb s vysokou přidanou hodnotou (graf D.12). Úspěšný z hlediska TBP je také Jihomoravský, Liberecký a Zlínský kraj. U posledních dvou zmiňovaných pak ale kladnou hodnotu TBP vytváří export technických služeb a vlastnických práv. Největší sumu importu technologických služeb vykazuje Středočeský kraj. To souvisí i s relativně vysokou hodnotou přímých zahraničních investic do Středočeského kraje.</w:t>
      </w:r>
    </w:p>
    <w:p w:rsidR="009D46E6" w:rsidRPr="00BD3E79" w:rsidRDefault="009D46E6" w:rsidP="00750D9B">
      <w:pPr>
        <w:pStyle w:val="Caption"/>
      </w:pPr>
      <w:bookmarkStart w:id="208" w:name="_Toc369092078"/>
      <w:r w:rsidRPr="00BD3E79">
        <w:t>Graf D</w:t>
      </w:r>
      <w:r>
        <w:t>.</w:t>
      </w:r>
      <w:fldSimple w:instr=" SEQ Graf \* ARABIC ">
        <w:r>
          <w:rPr>
            <w:noProof/>
          </w:rPr>
          <w:t>39</w:t>
        </w:r>
      </w:fldSimple>
      <w:r>
        <w:t>: Technologická platební bilance krajů Česka 2011 (v mil. Kč)</w:t>
      </w:r>
      <w:bookmarkEnd w:id="208"/>
      <w:r>
        <w:t xml:space="preserve"> </w:t>
      </w:r>
    </w:p>
    <w:p w:rsidR="009D46E6" w:rsidRPr="00CA38D2" w:rsidRDefault="009D46E6" w:rsidP="00560E4E">
      <w:pPr>
        <w:keepNext/>
        <w:spacing w:line="240" w:lineRule="auto"/>
      </w:pPr>
      <w:r w:rsidRPr="001D1D98">
        <w:rPr>
          <w:noProof/>
          <w:lang w:eastAsia="cs-CZ"/>
        </w:rPr>
        <w:pict>
          <v:shape id="Chart 25" o:spid="_x0000_i1224" type="#_x0000_t75" style="width:482.4pt;height:220.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LyLpa2wAAAAUBAAAPAAAAZHJzL2Rvd25y&#10;ZXYueG1sTI9BS8NAEIXvgv9hGcGb3bQJoU2zKSL15qGtIh6n2WkSzM6G7LaN/97Ri14eDG9473vl&#10;ZnK9utAYOs8G5rMEFHHtbceNgbfX54clqBCRLfaeycAXBdhUtzclFtZfeU+XQ2yUhHAo0EAb41Bo&#10;HeqWHIaZH4jFO/nRYZRzbLQd8SrhrteLJMm1w46locWBnlqqPw9nZyDd7hbbkL6slnb/nk0fOz2l&#10;qI25v5se16AiTfHvGX7wBR0qYTr6M9ugegMyJP6qeKs8kxlHA1k2z0FXpf5PX30D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">
            <v:imagedata r:id="rId219" o:title="" croptop="-1346f" cropbottom="-2161f" cropright="-638f"/>
            <o:lock v:ext="edit" aspectratio="f"/>
          </v:shape>
        </w:pict>
      </w:r>
      <w:r>
        <w:rPr>
          <w:i/>
          <w:color w:val="595959"/>
          <w:sz w:val="16"/>
        </w:rPr>
        <w:t xml:space="preserve">Zdroj: </w:t>
      </w:r>
      <w:r w:rsidRPr="008C7F7A">
        <w:rPr>
          <w:i/>
          <w:color w:val="595959"/>
          <w:sz w:val="16"/>
        </w:rPr>
        <w:t>Zdroj: ČSÚ 2012, šetření ZO 1-04</w:t>
      </w:r>
    </w:p>
    <w:bookmarkEnd w:id="192"/>
    <w:p w:rsidR="009D46E6" w:rsidRPr="00662381" w:rsidRDefault="009D46E6" w:rsidP="00A1397E"/>
    <w:p w:rsidR="009D46E6" w:rsidRPr="00662381" w:rsidRDefault="009D46E6" w:rsidP="000167BB">
      <w:pPr>
        <w:sectPr w:rsidR="009D46E6" w:rsidRPr="00662381" w:rsidSect="00FD3E45">
          <w:headerReference w:type="even" r:id="rId220"/>
          <w:pgSz w:w="11906" w:h="16838" w:code="9"/>
          <w:pgMar w:top="1134" w:right="1134" w:bottom="1134" w:left="1134" w:header="737" w:footer="567" w:gutter="0"/>
          <w:cols w:space="567"/>
          <w:docGrid w:linePitch="360"/>
        </w:sectPr>
      </w:pPr>
    </w:p>
    <w:p w:rsidR="009D46E6" w:rsidRDefault="009D46E6" w:rsidP="00866283">
      <w:pPr>
        <w:pStyle w:val="Heading1"/>
      </w:pPr>
      <w:bookmarkStart w:id="209" w:name="_Toc369091903"/>
      <w:r>
        <w:t>Mezinárodní spolupráce ve výzkumu a vývoji</w:t>
      </w:r>
      <w:bookmarkEnd w:id="209"/>
    </w:p>
    <w:p w:rsidR="009D46E6" w:rsidRPr="006540E8" w:rsidRDefault="009D46E6" w:rsidP="00866283">
      <w:r w:rsidRPr="006540E8">
        <w:t>Mezinárodní spolupráce ve VaV neustále získává na významu, čemuž přispívá i prohlubující se integrace Evropského výzkumného prostoru. Česko s využitím prostředků z rámcových programů a ze státního rozpočtu podporuje spolupráci se zahraničními partnery, ať již formou dvojstranných, nebo mnohostranných dohod nebo konkrétních programových schémat.</w:t>
      </w:r>
    </w:p>
    <w:p w:rsidR="009D46E6" w:rsidRPr="006540E8" w:rsidRDefault="009D46E6" w:rsidP="00866283"/>
    <w:p w:rsidR="009D46E6" w:rsidRDefault="009D46E6" w:rsidP="00866283">
      <w:r>
        <w:rPr>
          <w:noProof/>
          <w:lang w:eastAsia="cs-CZ"/>
        </w:rPr>
      </w:r>
      <w:r>
        <w:rPr>
          <w:noProof/>
          <w:lang w:eastAsia="cs-CZ"/>
        </w:rPr>
        <w:pict>
          <v:shape id="Textové pole 330" o:spid="_x0000_s1053" type="#_x0000_t202" style="width:481.9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" strokecolor="#003972" strokeweight="2pt">
            <v:textbox style="mso-fit-shape-to-text:t" inset="2mm,2mm,2mm,2mm">
              <w:txbxContent>
                <w:p w:rsidR="009D46E6" w:rsidRPr="001D063F" w:rsidRDefault="009D46E6" w:rsidP="00866283">
                  <w:pPr>
                    <w:jc w:val="left"/>
                    <w:rPr>
                      <w:b/>
                    </w:rPr>
                  </w:pPr>
                  <w:r>
                    <w:rPr>
                      <w:b/>
                    </w:rPr>
                    <w:t>Hlavní trendy</w:t>
                  </w:r>
                </w:p>
                <w:p w:rsidR="009D46E6" w:rsidRDefault="009D46E6" w:rsidP="000E3106">
                  <w:pPr>
                    <w:pStyle w:val="Odrky"/>
                  </w:pPr>
                  <w:r>
                    <w:t>Česko v relativizované četnosti podaných návrhů i počtu týmů zaostává (24. mezi zeměmi EU), na druhou stranu je jeho finanční úspěšnost (14,9 %) druhá nevyšší z nových členských států EU</w:t>
                  </w:r>
                </w:p>
                <w:p w:rsidR="009D46E6" w:rsidRDefault="009D46E6" w:rsidP="000E3106">
                  <w:pPr>
                    <w:pStyle w:val="Odrky"/>
                  </w:pPr>
                  <w:r>
                    <w:t xml:space="preserve">České instituce zaznamenaly celkem 1 190 účastí na řešení projektů, což je hodnota, která překračuje stejný ukazatel u 6. RP (1 068) – nejvíce se na řešení projektů 7. RP podílí Univerzita Karlova v Praze, ČVUT v Praze, Masarykova univerzita a </w:t>
                  </w:r>
                  <w:r w:rsidRPr="00AD235A">
                    <w:t>Ústav jaderného výzkumu Řež</w:t>
                  </w:r>
                  <w:r>
                    <w:t>.</w:t>
                  </w:r>
                </w:p>
                <w:p w:rsidR="009D46E6" w:rsidRDefault="009D46E6" w:rsidP="000E3106">
                  <w:pPr>
                    <w:pStyle w:val="Odrky"/>
                  </w:pPr>
                  <w:r>
                    <w:t>Populačně srovnatelné země (Rakousko, Belgie, Portugalsko, Maďarsko) získávají ze zdrojů 7. RP obyčejně vyšší částky – týmy z Česka dosud obdržely finanční podporu ve výši 217 mil. Eur, z vlastních zdrojů vložily do projektů dalších 78 mil. Eur.</w:t>
                  </w:r>
                </w:p>
                <w:p w:rsidR="009D46E6" w:rsidRDefault="009D46E6" w:rsidP="000E3106">
                  <w:pPr>
                    <w:pStyle w:val="Odrky"/>
                  </w:pPr>
                  <w:r>
                    <w:t>Podpora ze 7. RP hraje malou roli ve financování systému VaV v Česku – hodnota 16,5 mil. Eur ze 7. RP na jednu mld. celkových výdajů na VaV řadí Česko mezi pět zemí s nejnižším podílem 7. RP.</w:t>
                  </w:r>
                </w:p>
                <w:p w:rsidR="009D46E6" w:rsidRDefault="009D46E6" w:rsidP="000E3106">
                  <w:pPr>
                    <w:pStyle w:val="Odrky"/>
                  </w:pPr>
                  <w:r>
                    <w:t xml:space="preserve">Česko ze zdrojů státního rozpočtu rozdělilo na podporu mezinárodní spolupráce prostřednictvím kapitoly MŠMT v roce 2012 celkem </w:t>
                  </w:r>
                  <w:r w:rsidRPr="00DE3687">
                    <w:t>680,9 mil. Kč</w:t>
                  </w:r>
                  <w:r>
                    <w:t xml:space="preserve"> (vyjma operační programy), </w:t>
                  </w:r>
                  <w:r w:rsidRPr="00DE3687">
                    <w:t>což odpovídá meziročnímu nárůs</w:t>
                  </w:r>
                  <w:r>
                    <w:t>tu o 14 % a plnění alokace ve výši 92 %</w:t>
                  </w:r>
                  <w:r w:rsidRPr="00DE3687">
                    <w:t>.</w:t>
                  </w:r>
                </w:p>
                <w:p w:rsidR="009D46E6" w:rsidRDefault="009D46E6" w:rsidP="000E3106">
                  <w:pPr>
                    <w:pStyle w:val="Odrky"/>
                  </w:pPr>
                  <w:r>
                    <w:t>Mimoto byl uhrazen příspěvek</w:t>
                  </w:r>
                  <w:r w:rsidRPr="00DE3687">
                    <w:t xml:space="preserve"> mezinárodním organizacím </w:t>
                  </w:r>
                  <w:r>
                    <w:t>(</w:t>
                  </w:r>
                  <w:r w:rsidRPr="00DE3687">
                    <w:t>CERN 223,4 mil. Kč, SÚJV 71,7 mil. Kč).</w:t>
                  </w:r>
                </w:p>
                <w:p w:rsidR="009D46E6" w:rsidRDefault="009D46E6" w:rsidP="000E3106">
                  <w:pPr>
                    <w:pStyle w:val="Odrky"/>
                  </w:pPr>
                  <w:r>
                    <w:t>I</w:t>
                  </w:r>
                  <w:r w:rsidRPr="001416A4">
                    <w:t xml:space="preserve">ntegrační roli a napojení na síť strategických infrastruktur ESFRI </w:t>
                  </w:r>
                  <w:r>
                    <w:t>umožňuje</w:t>
                  </w:r>
                  <w:r w:rsidRPr="001416A4">
                    <w:t xml:space="preserve"> </w:t>
                  </w:r>
                  <w:r w:rsidRPr="00DE3687">
                    <w:t>33 dosud schválených velkých infrastruktur pro VaVaI s aktuálním ročním rozpočtem ve výši 799,6 Kč.</w:t>
                  </w:r>
                </w:p>
              </w:txbxContent>
            </v:textbox>
            <w10:anchorlock/>
          </v:shape>
        </w:pict>
      </w:r>
    </w:p>
    <w:p w:rsidR="009D46E6" w:rsidRPr="006540E8" w:rsidRDefault="009D46E6" w:rsidP="00866283"/>
    <w:p w:rsidR="009D46E6" w:rsidRPr="006540E8" w:rsidRDefault="009D46E6" w:rsidP="00866283">
      <w:r w:rsidRPr="006540E8">
        <w:t>Ucelenou představu o aktivitě a úspěšnosti českých příjemců, včetně tematického zaměření prováděného VaV, poskytují obsáhlá data o rámcových programech (RP) z databáze E-CORDA. Objem finančních prostředků na VaV činnost, který je prostřednictvím RP rozdělován, tvoří významný díl ze zahraničních zdrojů, proto je RP a navazujícímu programu Horizont 2020 věnována převážná část této kapitoly (oddíl E.1). Prostředky, jež do rozvoje mezinárodní spolupráce investuje Česko ze státního rozpočtu, jsou rozdělovány skrze mechanismy popsané v oddílu E.2. Hlavní zdroje dat zde představují údaje příslušných ministerstev a projektová data z Informačního systému výzkumu, vývoje a inovací (IS VaVaI).</w:t>
      </w:r>
    </w:p>
    <w:p w:rsidR="009D46E6" w:rsidRPr="006540E8" w:rsidRDefault="009D46E6" w:rsidP="00866283"/>
    <w:p w:rsidR="009D46E6" w:rsidRDefault="009D46E6" w:rsidP="00866283">
      <w:pPr>
        <w:pStyle w:val="Heading2"/>
      </w:pPr>
      <w:bookmarkStart w:id="210" w:name="_Toc369091904"/>
      <w:r w:rsidRPr="00076CBD">
        <w:t>Rámcové programy na podporu výzkumu a vývoje</w:t>
      </w:r>
      <w:bookmarkEnd w:id="210"/>
    </w:p>
    <w:p w:rsidR="009D46E6" w:rsidRDefault="009D46E6" w:rsidP="00866283">
      <w:r>
        <w:t>Rámcové programy EU na podporu výzkumu a vývoje (RP) jsou od svého uvedení v roce 1984 problémově orientované, s cíli reagujícími na potřeby evropské společnosti. Aktuálně běžící 7. rámcový program pro výzkum, technologický rozvoj a demonstrace (7. RP) proti svému předchůdci nově rozšiřuje podporu základního výzkumu, kde je náplň projektů určována samotnými výzkumnými týmy. Souběžně se 7. RP je realizován 7. rámcový program Evropského společenství pro atomovou energii v oblasti jaderného výzkumu a odborné přípravy (EURATOM) zaměřený na výzkum v oblasti mírového využití jaderné energie.</w:t>
      </w:r>
    </w:p>
    <w:p w:rsidR="009D46E6" w:rsidRDefault="009D46E6" w:rsidP="00866283">
      <w:r>
        <w:t>Pravidla účasti v obou programech se prakticky shodují. Evropská komise (EK) pracuje v současném programovacím období u 7. RP s rozpočtem 50,5 mld. Eur, u programu EURATOM s 5,3 mld. Eur.</w:t>
      </w:r>
    </w:p>
    <w:p w:rsidR="009D46E6" w:rsidRDefault="009D46E6" w:rsidP="00866283">
      <w:r>
        <w:t xml:space="preserve">7. RP sestává ze čtyř specifických programů: Spolupráce, Myšlenky, Lidé a Kapacity. </w:t>
      </w:r>
    </w:p>
    <w:p w:rsidR="009D46E6" w:rsidRDefault="009D46E6" w:rsidP="00866283">
      <w:pPr>
        <w:pStyle w:val="ListParagraph"/>
        <w:numPr>
          <w:ilvl w:val="0"/>
          <w:numId w:val="37"/>
        </w:numPr>
        <w:spacing w:before="0" w:after="60"/>
        <w:ind w:left="426" w:hanging="284"/>
        <w:contextualSpacing w:val="0"/>
      </w:pPr>
      <w:r>
        <w:t>Specifický program Spolupráce podporuje problémově orientovaný výzkum vycházející z potřeb společnosti. Je rozčleněn na deset tematických priorit s každoročně aktualizovaným detailním pracovním programem, na který se odvolávají výzvy EK k předkládání návrhů projektů.</w:t>
      </w:r>
    </w:p>
    <w:p w:rsidR="009D46E6" w:rsidRDefault="009D46E6" w:rsidP="00866283">
      <w:pPr>
        <w:pStyle w:val="ListParagraph"/>
        <w:numPr>
          <w:ilvl w:val="0"/>
          <w:numId w:val="37"/>
        </w:numPr>
        <w:spacing w:before="0" w:after="60"/>
        <w:ind w:left="426" w:hanging="284"/>
        <w:contextualSpacing w:val="0"/>
      </w:pPr>
      <w:r>
        <w:t>Specifický program Myšlenky je orientován na hraniční základní výzkum, nestanovuje a priori konkrétní výzkumná témata, ty se objevují až v návrzích jednotlivých projektů. Program Myšlenky řídí Evropská výzkumná rada (ERC) doporučující na základě peer review návrhy projektů k financování. O úspěchu návrhu rozhoduje výlučně vědecká excelence.</w:t>
      </w:r>
    </w:p>
    <w:p w:rsidR="009D46E6" w:rsidRDefault="009D46E6" w:rsidP="00866283">
      <w:pPr>
        <w:pStyle w:val="ListParagraph"/>
        <w:numPr>
          <w:ilvl w:val="0"/>
          <w:numId w:val="37"/>
        </w:numPr>
        <w:spacing w:before="0" w:after="60"/>
        <w:ind w:left="426" w:hanging="284"/>
        <w:contextualSpacing w:val="0"/>
      </w:pPr>
      <w:r>
        <w:t>Specifický program Lidé podporuje rozvoj lidského kapitálu v oblasti vědy formou stáží, vytvářením školících sítí pro začínající výzkumníky nebo spoluprací akademické sféry se soukromým sektorem. Jde o přímé pokračování akcí Marie Curie, které byly součástí předchozích RP.</w:t>
      </w:r>
    </w:p>
    <w:p w:rsidR="009D46E6" w:rsidRDefault="009D46E6" w:rsidP="00866283">
      <w:pPr>
        <w:pStyle w:val="ListParagraph"/>
        <w:numPr>
          <w:ilvl w:val="0"/>
          <w:numId w:val="37"/>
        </w:numPr>
        <w:spacing w:before="0" w:after="60"/>
        <w:ind w:left="426" w:hanging="284"/>
        <w:contextualSpacing w:val="0"/>
      </w:pPr>
      <w:r>
        <w:t>Specifický program Kapacity si klade za cíl posílit výzkumné kapacity ERA a přispět k plnění cílů stanovených ve strategických dokumentech. Podporuje rozvoj výzkumných infrastruktur, inovační aktivity MSP, propojování znalostních regionů, popularizační aktivity a spolupráci se třetími zeměmi.</w:t>
      </w:r>
    </w:p>
    <w:p w:rsidR="009D46E6" w:rsidRPr="007049DA" w:rsidRDefault="009D46E6" w:rsidP="00866283">
      <w:r w:rsidRPr="007049DA">
        <w:t>EURATOM zahrnuje činnosti v oblasti výzkumu, technologického rozvoje, mezinárodní spolupráce, šíření technických informací a jejich využívání nebo v oblasti odborné přípravy. Rozděluje se na dvě tematické oblasti – výzkum energie uvolňované jadernou syntézou a výzkum jaderného štěpení a radiační ochrany.</w:t>
      </w:r>
    </w:p>
    <w:p w:rsidR="009D46E6" w:rsidRPr="007049DA" w:rsidRDefault="009D46E6" w:rsidP="003C6E2E">
      <w:pPr>
        <w:pStyle w:val="Heading3"/>
      </w:pPr>
      <w:bookmarkStart w:id="211" w:name="_Toc369091905"/>
      <w:r w:rsidRPr="007049DA">
        <w:t xml:space="preserve">Účast v projektech </w:t>
      </w:r>
      <w:r>
        <w:t>7. RP</w:t>
      </w:r>
      <w:r w:rsidRPr="007049DA">
        <w:t xml:space="preserve"> a EURATOM</w:t>
      </w:r>
      <w:r>
        <w:rPr>
          <w:rStyle w:val="FootnoteReference"/>
          <w:rFonts w:cs="MetaPro-Normal"/>
        </w:rPr>
        <w:footnoteReference w:id="48"/>
      </w:r>
      <w:bookmarkEnd w:id="211"/>
    </w:p>
    <w:p w:rsidR="009D46E6" w:rsidRPr="00411425" w:rsidRDefault="009D46E6" w:rsidP="00866283">
      <w:r w:rsidRPr="007049DA">
        <w:t xml:space="preserve">Rok 2013 </w:t>
      </w:r>
      <w:r>
        <w:t xml:space="preserve">uzavírá aktuální programovací období, </w:t>
      </w:r>
      <w:r w:rsidRPr="007049DA">
        <w:t>realizace mnoha rozpracovaných projektů však bude</w:t>
      </w:r>
      <w:r>
        <w:t xml:space="preserve"> pokračovat i v dalších letech. Ř</w:t>
      </w:r>
      <w:r w:rsidRPr="007049DA">
        <w:t xml:space="preserve">ada souhrnných ukazatelů </w:t>
      </w:r>
      <w:r>
        <w:t>dosahuje proto</w:t>
      </w:r>
      <w:r w:rsidRPr="007049DA">
        <w:t xml:space="preserve"> poměrně vysokých hodnot. Projekty určené k realizaci jsou vybírány po rozsáhlém expertním hodnocení založeném na metodě nezávislého recenzního řízení. Z celkového počtu podaných návrhů (bez formálních pochybení) a počtu realizovaných projektů posuzujeme úspěšnost jednotlivých států. </w:t>
      </w:r>
      <w:r>
        <w:t>P</w:t>
      </w:r>
      <w:r w:rsidRPr="007049DA">
        <w:t>očt</w:t>
      </w:r>
      <w:r>
        <w:t>y</w:t>
      </w:r>
      <w:r w:rsidRPr="007049DA">
        <w:t xml:space="preserve"> účastí </w:t>
      </w:r>
      <w:r>
        <w:t xml:space="preserve">vyjádřené jako </w:t>
      </w:r>
      <w:r w:rsidRPr="007049DA">
        <w:t>absolutní hodnoty</w:t>
      </w:r>
      <w:r>
        <w:t xml:space="preserve"> přirozeně upřednostňuje </w:t>
      </w:r>
      <w:r w:rsidRPr="007049DA">
        <w:t xml:space="preserve">velké země (Německo, Francie, </w:t>
      </w:r>
      <w:r>
        <w:t>Spojené království)</w:t>
      </w:r>
      <w:r w:rsidRPr="007049DA">
        <w:t>. Kombinace ukazatele účastnické úspěšnosti a absolutního počtu účastí dělí státy do klastry zemí s podobnými výsledky</w:t>
      </w:r>
      <w:r>
        <w:t>(graf E.1</w:t>
      </w:r>
      <w:r w:rsidRPr="007049DA">
        <w:t xml:space="preserve">). Velké jižní státy (Španělsko, Itálie) oddělené od jádra EU mají úměrně své velikostí vysoký počet účastníků v </w:t>
      </w:r>
      <w:r>
        <w:t>7. RP</w:t>
      </w:r>
      <w:r w:rsidRPr="007049DA">
        <w:t xml:space="preserve">, ale poměrně nízkou úspěšnost, naopak menší země Beneluxu (Belgie, Nizozemí) a severské státy (Dánsko, Švédsko) s nižším počtem zúčastněných týmů vykazují vysokou úspěšnost. Estonsko a Lotyšsko jako zástupci nových členských zemí se v úspěšnosti přibližují úrovni států EU-15. Týmy z ČR dosáhly úspěšnosti 19,6%, což je zařadilo na 15. příčku </w:t>
      </w:r>
      <w:r>
        <w:t>celkově</w:t>
      </w:r>
      <w:r w:rsidRPr="007049DA">
        <w:t xml:space="preserve"> a na 5. příčku mezi novými členskými státy. Všechny nové členské státy ležící jižně od ČR vyjma Maďarska mají nižší úspěšnost</w:t>
      </w:r>
      <w:r>
        <w:t xml:space="preserve">. České instituce </w:t>
      </w:r>
      <w:r w:rsidRPr="007049DA">
        <w:t>dosud zaznamenaly 1</w:t>
      </w:r>
      <w:r>
        <w:t> </w:t>
      </w:r>
      <w:r w:rsidRPr="007049DA">
        <w:t>119 účastí, což je hodnota</w:t>
      </w:r>
      <w:r>
        <w:t>,</w:t>
      </w:r>
      <w:r w:rsidRPr="007049DA">
        <w:t xml:space="preserve"> která překročila konečný počet účastí ČR v 6. RP (1</w:t>
      </w:r>
      <w:r>
        <w:t> </w:t>
      </w:r>
      <w:r w:rsidRPr="007049DA">
        <w:t>068).</w:t>
      </w:r>
    </w:p>
    <w:p w:rsidR="009D46E6" w:rsidRPr="00BD5EC7" w:rsidRDefault="009D46E6" w:rsidP="00750D9B">
      <w:pPr>
        <w:pStyle w:val="Caption"/>
      </w:pPr>
      <w:bookmarkStart w:id="212" w:name="_Toc369092079"/>
      <w:r>
        <w:t xml:space="preserve">Graf </w:t>
      </w:r>
      <w:fldSimple w:instr=" STYLEREF 1 \s ">
        <w:r>
          <w:rPr>
            <w:noProof/>
          </w:rPr>
          <w:t>E</w:t>
        </w:r>
      </w:fldSimple>
      <w:r>
        <w:t>.</w:t>
      </w:r>
      <w:fldSimple w:instr=" SEQ Graf \* ARABIC \s 1 ">
        <w:r>
          <w:rPr>
            <w:noProof/>
          </w:rPr>
          <w:t>1</w:t>
        </w:r>
      </w:fldSimple>
      <w:r w:rsidRPr="00BD5EC7">
        <w:t xml:space="preserve">: </w:t>
      </w:r>
      <w:r w:rsidRPr="0053064E">
        <w:t xml:space="preserve">Počet účastí a úspěšnost států EU v </w:t>
      </w:r>
      <w:r>
        <w:t>7. RP</w:t>
      </w:r>
      <w:bookmarkEnd w:id="212"/>
    </w:p>
    <w:p w:rsidR="009D46E6" w:rsidRPr="00C82C22" w:rsidRDefault="009D46E6" w:rsidP="001D7F37">
      <w:pPr>
        <w:pStyle w:val="Objekt"/>
      </w:pPr>
      <w:r w:rsidRPr="001D1D98">
        <w:pict>
          <v:shape id="Chart 43" o:spid="_x0000_i1226" type="#_x0000_t75" style="width:472.2pt;height:222.6pt;visibility:visible" o:gfxdata="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">
            <v:imagedata r:id="rId221" o:title="" croptop="-1279f" cropbottom="-639f" cropleft="-133f" cropright="-1742f"/>
            <o:lock v:ext="edit" aspectratio="f"/>
          </v:shape>
        </w:pict>
      </w:r>
    </w:p>
    <w:p w:rsidR="009D46E6" w:rsidRPr="00BD5EC7" w:rsidRDefault="009D46E6" w:rsidP="00866283">
      <w:pPr>
        <w:pStyle w:val="Zdroj"/>
      </w:pPr>
      <w:r w:rsidRPr="00BD5EC7">
        <w:t xml:space="preserve">Zdroj: </w:t>
      </w:r>
      <w:r w:rsidRPr="0053064E">
        <w:t>E-CORDA</w:t>
      </w:r>
    </w:p>
    <w:p w:rsidR="009D46E6" w:rsidRDefault="009D46E6" w:rsidP="00866283"/>
    <w:p w:rsidR="009D46E6" w:rsidRDefault="009D46E6" w:rsidP="00866283">
      <w:r w:rsidRPr="0053064E">
        <w:t xml:space="preserve">Reakce jednotlivých členských států EU na výzvy </w:t>
      </w:r>
      <w:r>
        <w:t>7. RP</w:t>
      </w:r>
      <w:r w:rsidRPr="0053064E">
        <w:t xml:space="preserve"> je silně závislá na kapacitách </w:t>
      </w:r>
      <w:r>
        <w:t xml:space="preserve">jejich </w:t>
      </w:r>
      <w:r w:rsidRPr="0053064E">
        <w:t xml:space="preserve">výzkumných pracovišť. </w:t>
      </w:r>
      <w:r>
        <w:t xml:space="preserve">Srovnání kapacit s </w:t>
      </w:r>
      <w:r w:rsidRPr="0053064E">
        <w:t>počt</w:t>
      </w:r>
      <w:r>
        <w:t>em</w:t>
      </w:r>
      <w:r w:rsidRPr="0053064E">
        <w:t xml:space="preserve"> týmů </w:t>
      </w:r>
      <w:r>
        <w:t>připravujících</w:t>
      </w:r>
      <w:r w:rsidRPr="0053064E">
        <w:t xml:space="preserve"> hodnocen</w:t>
      </w:r>
      <w:r>
        <w:t>é</w:t>
      </w:r>
      <w:r w:rsidRPr="0053064E">
        <w:t xml:space="preserve"> </w:t>
      </w:r>
      <w:r>
        <w:t xml:space="preserve">návrhy </w:t>
      </w:r>
      <w:r w:rsidRPr="0053064E">
        <w:t>projekt</w:t>
      </w:r>
      <w:r>
        <w:t>ů</w:t>
      </w:r>
      <w:r w:rsidRPr="0053064E">
        <w:t xml:space="preserve"> </w:t>
      </w:r>
      <w:r>
        <w:t>ukazuje</w:t>
      </w:r>
      <w:r w:rsidRPr="0053064E">
        <w:t xml:space="preserve">, že </w:t>
      </w:r>
      <w:r>
        <w:t>7. RP</w:t>
      </w:r>
      <w:r w:rsidRPr="0053064E">
        <w:t xml:space="preserve"> je velmi atraktivní zejména pro menší země, naopak velké státy s výjimkou Itálie dosahují v relativním vyjádření výrazně nižších hodnot</w:t>
      </w:r>
      <w:r>
        <w:t xml:space="preserve"> (graf E.2)</w:t>
      </w:r>
      <w:r w:rsidRPr="0053064E">
        <w:t xml:space="preserve">. </w:t>
      </w:r>
      <w:r>
        <w:t xml:space="preserve">ČR </w:t>
      </w:r>
      <w:r w:rsidRPr="0053064E">
        <w:t xml:space="preserve">v četnosti podaných návrhů </w:t>
      </w:r>
      <w:r>
        <w:t>m</w:t>
      </w:r>
      <w:r w:rsidRPr="0053064E">
        <w:t xml:space="preserve">ezi srovnatelně velkými zeměmi zřetelně zaostává, výjimku představuje pouze Bulharsko. </w:t>
      </w:r>
      <w:r>
        <w:t>V ukazatelích</w:t>
      </w:r>
      <w:r w:rsidRPr="0053064E">
        <w:t xml:space="preserve"> </w:t>
      </w:r>
      <w:r>
        <w:t xml:space="preserve">relativizovaných počtem obyvatel nebo zaměstnanců ve VaV </w:t>
      </w:r>
      <w:r w:rsidRPr="0053064E">
        <w:t xml:space="preserve">se hůře umístily pouze Slovensko a Polsko. Tento fakt odráží poměrně nízkou aktivitu výzkumníků z ČR směrem k </w:t>
      </w:r>
      <w:r>
        <w:t>7. RP.</w:t>
      </w:r>
    </w:p>
    <w:p w:rsidR="009D46E6" w:rsidRPr="00BD5EC7" w:rsidRDefault="009D46E6" w:rsidP="00750D9B">
      <w:pPr>
        <w:pStyle w:val="Caption"/>
      </w:pPr>
      <w:bookmarkStart w:id="213" w:name="_Toc369092080"/>
      <w:r>
        <w:t xml:space="preserve">Graf </w:t>
      </w:r>
      <w:fldSimple w:instr=" STYLEREF 1 \s ">
        <w:r>
          <w:rPr>
            <w:noProof/>
          </w:rPr>
          <w:t>E</w:t>
        </w:r>
      </w:fldSimple>
      <w:r>
        <w:t>.</w:t>
      </w:r>
      <w:fldSimple w:instr=" SEQ Graf \* ARABIC \s 1 ">
        <w:r>
          <w:rPr>
            <w:noProof/>
          </w:rPr>
          <w:t>2</w:t>
        </w:r>
      </w:fldSimple>
      <w:r w:rsidRPr="00BD5EC7">
        <w:t xml:space="preserve">: </w:t>
      </w:r>
      <w:r w:rsidRPr="0053064E">
        <w:t xml:space="preserve">Relativní aktivita států EU v zapojení do </w:t>
      </w:r>
      <w:r>
        <w:t>7. RP</w:t>
      </w:r>
      <w:bookmarkEnd w:id="213"/>
    </w:p>
    <w:p w:rsidR="009D46E6" w:rsidRPr="00C82C22" w:rsidRDefault="009D46E6" w:rsidP="001D7F37">
      <w:pPr>
        <w:pStyle w:val="Objekt"/>
      </w:pPr>
      <w:r w:rsidRPr="001D1D98">
        <w:pict>
          <v:shape id="Chart 286" o:spid="_x0000_i1227" type="#_x0000_t75" style="width:481.8pt;height:198.6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">
            <v:imagedata r:id="rId222" o:title="" croptop="-2882f" cropbottom="-1768f" cropleft="-1012f" cropright="-1209f"/>
            <o:lock v:ext="edit" aspectratio="f"/>
          </v:shape>
        </w:pict>
      </w:r>
    </w:p>
    <w:p w:rsidR="009D46E6" w:rsidRPr="00BD5EC7" w:rsidRDefault="009D46E6" w:rsidP="00866283">
      <w:pPr>
        <w:pStyle w:val="Zdroj"/>
      </w:pPr>
      <w:r w:rsidRPr="00BD5EC7">
        <w:t xml:space="preserve">Zdroj: </w:t>
      </w:r>
      <w:r w:rsidRPr="0053064E">
        <w:t>E-CORDA</w:t>
      </w:r>
    </w:p>
    <w:p w:rsidR="009D46E6" w:rsidRDefault="009D46E6" w:rsidP="00866283"/>
    <w:p w:rsidR="009D46E6" w:rsidRDefault="009D46E6" w:rsidP="00866283">
      <w:r w:rsidRPr="00276221">
        <w:t>Zmíněných 1</w:t>
      </w:r>
      <w:r>
        <w:t> </w:t>
      </w:r>
      <w:r w:rsidRPr="00276221">
        <w:t>119 týmů z ČR pracuje v 921 projektech s podepsanou grantovou dohodou a zajištěným financováním. Celkový počet projektů, ve kterých působí čeští výzkumníci, je v porovnání se dalšími státy poměrně nízký (</w:t>
      </w:r>
      <w:r>
        <w:t>graf E.3</w:t>
      </w:r>
      <w:r w:rsidRPr="00276221">
        <w:t>). Nejvíce projektů přirozeně získávají velké státy.</w:t>
      </w:r>
    </w:p>
    <w:p w:rsidR="009D46E6" w:rsidRDefault="009D46E6" w:rsidP="00750D9B">
      <w:pPr>
        <w:pStyle w:val="Caption"/>
      </w:pPr>
      <w:bookmarkStart w:id="214" w:name="_Toc369092081"/>
      <w:r>
        <w:t xml:space="preserve">Graf </w:t>
      </w:r>
      <w:fldSimple w:instr=" STYLEREF 1 \s ">
        <w:r>
          <w:rPr>
            <w:noProof/>
          </w:rPr>
          <w:t>E</w:t>
        </w:r>
      </w:fldSimple>
      <w:r>
        <w:t>.</w:t>
      </w:r>
      <w:fldSimple w:instr=" SEQ Graf \* ARABIC \s 1 ">
        <w:r>
          <w:rPr>
            <w:noProof/>
          </w:rPr>
          <w:t>3</w:t>
        </w:r>
      </w:fldSimple>
      <w:r w:rsidRPr="00BD5EC7">
        <w:t xml:space="preserve">: </w:t>
      </w:r>
      <w:r w:rsidRPr="00276221">
        <w:t>Počet realizovaných projektů</w:t>
      </w:r>
      <w:r>
        <w:t xml:space="preserve"> 7. RP ve státech EU</w:t>
      </w:r>
      <w:bookmarkEnd w:id="214"/>
    </w:p>
    <w:p w:rsidR="009D46E6" w:rsidRPr="00276221" w:rsidRDefault="009D46E6" w:rsidP="001D7F37">
      <w:pPr>
        <w:pStyle w:val="Objekt"/>
      </w:pPr>
      <w:r w:rsidRPr="001D1D98">
        <w:pict>
          <v:shape id="Chart 288" o:spid="_x0000_i1228" type="#_x0000_t75" style="width:472.2pt;height:198.6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">
            <v:imagedata r:id="rId223" o:title="" croptop="-2546f" cropbottom="-2104f" cropleft="-263f" cropright="-991f"/>
            <o:lock v:ext="edit" aspectratio="f"/>
          </v:shape>
        </w:pict>
      </w:r>
    </w:p>
    <w:p w:rsidR="009D46E6" w:rsidRPr="00BD5EC7" w:rsidRDefault="009D46E6" w:rsidP="00866283">
      <w:pPr>
        <w:pStyle w:val="Zdroj"/>
      </w:pPr>
      <w:r w:rsidRPr="00BD5EC7">
        <w:t xml:space="preserve">Zdroj: </w:t>
      </w:r>
      <w:r w:rsidRPr="0053064E">
        <w:t>E-CORDA</w:t>
      </w:r>
    </w:p>
    <w:p w:rsidR="009D46E6" w:rsidRDefault="009D46E6" w:rsidP="00866283"/>
    <w:p w:rsidR="009D46E6" w:rsidRPr="00EE155B" w:rsidRDefault="009D46E6" w:rsidP="00EE155B">
      <w:pPr>
        <w:spacing w:before="240"/>
        <w:rPr>
          <w:b/>
        </w:rPr>
      </w:pPr>
      <w:r w:rsidRPr="00EE155B">
        <w:rPr>
          <w:b/>
        </w:rPr>
        <w:t>Finanční ukazatele</w:t>
      </w:r>
    </w:p>
    <w:p w:rsidR="009D46E6" w:rsidRDefault="009D46E6" w:rsidP="00866283">
      <w:r w:rsidRPr="00276221">
        <w:t xml:space="preserve">Výše finančního příspěvku pro tým, který se účastní řešení projektu </w:t>
      </w:r>
      <w:r>
        <w:t>7. RP</w:t>
      </w:r>
      <w:r w:rsidRPr="00276221">
        <w:t>, závisí na typu aktivity a na typu subjektu. Pohybuje se od 50 % celkových nákladů u demonstračních aktivit</w:t>
      </w:r>
      <w:r>
        <w:t>,</w:t>
      </w:r>
      <w:r w:rsidRPr="00276221">
        <w:t xml:space="preserve"> přes 50 % až 75 % u výzkumných aktivit</w:t>
      </w:r>
      <w:r>
        <w:t>,</w:t>
      </w:r>
      <w:r w:rsidRPr="00276221">
        <w:t xml:space="preserve"> až po 100% příspěvek pro základní výzkum nebo koordinační a podpůrné aktivity. Vyšší příspěvek získávají neziskové veřejné subjekty a výzkumné organizace, vzdělávací instituce nebo MSP. Týmy z ČR dosud získaly finanční podporu ve výši 217 mil. Eur a z vlastních zdrojů vložily do projektů dalších 78 mil. Eur</w:t>
      </w:r>
      <w:r>
        <w:t xml:space="preserve"> (graf E.4)</w:t>
      </w:r>
      <w:r w:rsidRPr="00276221">
        <w:t>. Celkově se tedy jedná o částku 295 mil. Eur, srovnatelnou například s Maďarskem, kterému se však daří na rozdíl od ČR získat větší finanční podíl ze zdrojů EU. Další populačně srovnatelné země (Portugalsko, Rakousko, Švédsko, Belgie) získávají násobně vyšší částky.</w:t>
      </w:r>
    </w:p>
    <w:p w:rsidR="009D46E6" w:rsidRDefault="009D46E6" w:rsidP="00750D9B">
      <w:pPr>
        <w:pStyle w:val="Caption"/>
      </w:pPr>
      <w:bookmarkStart w:id="215" w:name="_Toc369092082"/>
      <w:r>
        <w:t xml:space="preserve">Graf </w:t>
      </w:r>
      <w:fldSimple w:instr=" STYLEREF 1 \s ">
        <w:r>
          <w:rPr>
            <w:noProof/>
          </w:rPr>
          <w:t>E</w:t>
        </w:r>
      </w:fldSimple>
      <w:r>
        <w:t>.</w:t>
      </w:r>
      <w:fldSimple w:instr=" SEQ Graf \* ARABIC \s 1 ">
        <w:r>
          <w:rPr>
            <w:noProof/>
          </w:rPr>
          <w:t>4</w:t>
        </w:r>
      </w:fldSimple>
      <w:r w:rsidRPr="00BD5EC7">
        <w:t xml:space="preserve">: </w:t>
      </w:r>
      <w:r w:rsidRPr="00276221">
        <w:t xml:space="preserve">Finanční ukazatele </w:t>
      </w:r>
      <w:r>
        <w:t>7. RP</w:t>
      </w:r>
      <w:r w:rsidRPr="00276221">
        <w:t xml:space="preserve"> dle států EU</w:t>
      </w:r>
      <w:bookmarkEnd w:id="215"/>
    </w:p>
    <w:p w:rsidR="009D46E6" w:rsidRPr="00276221" w:rsidRDefault="009D46E6" w:rsidP="001D7F37">
      <w:pPr>
        <w:pStyle w:val="Objekt"/>
      </w:pPr>
      <w:r w:rsidRPr="001D1D98">
        <w:pict>
          <v:shape id="Chart 289" o:spid="_x0000_i1229" type="#_x0000_t75" style="width:481.8pt;height:198.6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">
            <v:imagedata r:id="rId224" o:title="" croptop="-2507f" cropbottom="-1062f" cropleft="-130f" cropright="-61f"/>
            <o:lock v:ext="edit" aspectratio="f"/>
          </v:shape>
        </w:pict>
      </w:r>
    </w:p>
    <w:p w:rsidR="009D46E6" w:rsidRPr="00BD5EC7" w:rsidRDefault="009D46E6" w:rsidP="00866283">
      <w:pPr>
        <w:pStyle w:val="Zdroj"/>
      </w:pPr>
      <w:r w:rsidRPr="00BD5EC7">
        <w:t xml:space="preserve">Zdroj: </w:t>
      </w:r>
      <w:r w:rsidRPr="0053064E">
        <w:t>E-CORDA</w:t>
      </w:r>
    </w:p>
    <w:p w:rsidR="009D46E6" w:rsidRDefault="009D46E6" w:rsidP="00866283"/>
    <w:p w:rsidR="009D46E6" w:rsidRDefault="009D46E6" w:rsidP="00866283">
      <w:r>
        <w:t xml:space="preserve">Roli, jakou hraje podpora </w:t>
      </w:r>
      <w:r w:rsidRPr="00566097">
        <w:t>získan</w:t>
      </w:r>
      <w:r>
        <w:t>á</w:t>
      </w:r>
      <w:r w:rsidRPr="00566097">
        <w:t xml:space="preserve"> ze </w:t>
      </w:r>
      <w:r>
        <w:t>7. RP</w:t>
      </w:r>
      <w:r w:rsidRPr="00566097">
        <w:t xml:space="preserve"> lze </w:t>
      </w:r>
      <w:r>
        <w:t xml:space="preserve">vyjádřit vztažením obdržených prostředků k </w:t>
      </w:r>
      <w:r w:rsidRPr="00566097">
        <w:t>celkový</w:t>
      </w:r>
      <w:r>
        <w:t>m</w:t>
      </w:r>
      <w:r w:rsidRPr="00566097">
        <w:t xml:space="preserve"> </w:t>
      </w:r>
      <w:r>
        <w:t>výdajům na</w:t>
      </w:r>
      <w:r w:rsidRPr="00566097">
        <w:t xml:space="preserve"> VaV v dané členské zemi (GERD). ČR </w:t>
      </w:r>
      <w:r>
        <w:t>získala ze 7. RP</w:t>
      </w:r>
      <w:r w:rsidRPr="00566097">
        <w:t xml:space="preserve"> přibližně 1</w:t>
      </w:r>
      <w:r>
        <w:t>6,5</w:t>
      </w:r>
      <w:r w:rsidRPr="00566097">
        <w:t xml:space="preserve"> </w:t>
      </w:r>
      <w:r>
        <w:t>mil. Eur na jednu mld. Eur celkových výdajů na VaV. T</w:t>
      </w:r>
      <w:r w:rsidRPr="00566097">
        <w:t>outo hodnotou se ř</w:t>
      </w:r>
      <w:r>
        <w:t xml:space="preserve">adí mezi posledních pět států EU (graf E.5). Prostředky získané ze 7. RP tedy hrají v českém systému VaV spíše marginální roli. </w:t>
      </w:r>
      <w:r w:rsidRPr="005A27BD">
        <w:t xml:space="preserve">Finanční úspěšnost </w:t>
      </w:r>
      <w:r>
        <w:t xml:space="preserve">- </w:t>
      </w:r>
      <w:r w:rsidRPr="005A27BD">
        <w:t>poměr požadovaného a získaného objemu finančních prostředků</w:t>
      </w:r>
      <w:r>
        <w:t xml:space="preserve"> -</w:t>
      </w:r>
      <w:r w:rsidRPr="005A27BD">
        <w:t xml:space="preserve"> </w:t>
      </w:r>
      <w:r>
        <w:t xml:space="preserve">řadí ČR s hodnotou 14,9 % na druhou </w:t>
      </w:r>
      <w:r w:rsidRPr="005A27BD">
        <w:t>nevyšší</w:t>
      </w:r>
      <w:r>
        <w:t xml:space="preserve"> pozici z nových členských států EU, </w:t>
      </w:r>
      <w:r w:rsidRPr="005A27BD">
        <w:t>předstihuje i některé staré členské státy</w:t>
      </w:r>
      <w:r>
        <w:t>.</w:t>
      </w:r>
    </w:p>
    <w:p w:rsidR="009D46E6" w:rsidRDefault="009D46E6" w:rsidP="00750D9B">
      <w:pPr>
        <w:pStyle w:val="Caption"/>
      </w:pPr>
      <w:bookmarkStart w:id="216" w:name="_Toc369092083"/>
      <w:r>
        <w:t xml:space="preserve">Graf </w:t>
      </w:r>
      <w:fldSimple w:instr=" STYLEREF 1 \s ">
        <w:r>
          <w:rPr>
            <w:noProof/>
          </w:rPr>
          <w:t>E</w:t>
        </w:r>
      </w:fldSimple>
      <w:r>
        <w:t>.</w:t>
      </w:r>
      <w:fldSimple w:instr=" SEQ Graf \* ARABIC \s 1 ">
        <w:r>
          <w:rPr>
            <w:noProof/>
          </w:rPr>
          <w:t>5</w:t>
        </w:r>
      </w:fldSimple>
      <w:r w:rsidRPr="00BD5EC7">
        <w:t xml:space="preserve">: </w:t>
      </w:r>
      <w:r w:rsidRPr="00777560">
        <w:t>Požadovaný příspěvek a finanční úspěšnost států EU</w:t>
      </w:r>
      <w:bookmarkEnd w:id="216"/>
    </w:p>
    <w:p w:rsidR="009D46E6" w:rsidRPr="00777560" w:rsidRDefault="009D46E6" w:rsidP="001D7F37">
      <w:pPr>
        <w:pStyle w:val="Objekt"/>
      </w:pPr>
      <w:r w:rsidRPr="001D1D98">
        <w:pict>
          <v:shape id="Chart 62" o:spid="_x0000_i1230" type="#_x0000_t75" style="width:481.8pt;height:3in;visibility:visible" o:gfxdata="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">
            <v:imagedata r:id="rId225" o:title="" croptop="-1176f" cropbottom="-641f" cropleft="-334f" cropright="-1141f"/>
            <o:lock v:ext="edit" aspectratio="f"/>
          </v:shape>
        </w:pict>
      </w:r>
    </w:p>
    <w:p w:rsidR="009D46E6" w:rsidRDefault="009D46E6" w:rsidP="00866283">
      <w:pPr>
        <w:pStyle w:val="Zdroj"/>
      </w:pPr>
      <w:r w:rsidRPr="00777560">
        <w:t xml:space="preserve">Pozn.: Jelikož analyzované období </w:t>
      </w:r>
      <w:r>
        <w:t>7. RP</w:t>
      </w:r>
      <w:r w:rsidRPr="00777560">
        <w:t xml:space="preserve"> zahrnuje převážně léta 2007 - 2012, (a velmi malou část roku 2013), používáme součet výdajů na VaV za </w:t>
      </w:r>
      <w:r>
        <w:t>roky 2006 -</w:t>
      </w:r>
      <w:r w:rsidRPr="00777560">
        <w:t xml:space="preserve"> 2011, které jsou k dispozici prostřednictvím Eurostatu</w:t>
      </w:r>
      <w:r>
        <w:t xml:space="preserve"> - k</w:t>
      </w:r>
      <w:r w:rsidRPr="00777560">
        <w:t>romě Řecka, pro které chybí relevantní data.</w:t>
      </w:r>
    </w:p>
    <w:p w:rsidR="009D46E6" w:rsidRPr="00BD5EC7" w:rsidRDefault="009D46E6" w:rsidP="00866283">
      <w:pPr>
        <w:pStyle w:val="Zdroj"/>
      </w:pPr>
      <w:r w:rsidRPr="00BD5EC7">
        <w:t xml:space="preserve">Zdroj: </w:t>
      </w:r>
      <w:r w:rsidRPr="0053064E">
        <w:t>E-CORDA</w:t>
      </w:r>
    </w:p>
    <w:p w:rsidR="009D46E6" w:rsidRDefault="009D46E6" w:rsidP="00866283"/>
    <w:p w:rsidR="009D46E6" w:rsidRDefault="009D46E6" w:rsidP="003C6E2E">
      <w:pPr>
        <w:pStyle w:val="Heading3"/>
      </w:pPr>
      <w:bookmarkStart w:id="217" w:name="_Toc369091906"/>
      <w:r w:rsidRPr="00777560">
        <w:t xml:space="preserve">Struktura účastníků </w:t>
      </w:r>
      <w:r>
        <w:t>7. RP</w:t>
      </w:r>
      <w:bookmarkEnd w:id="217"/>
    </w:p>
    <w:p w:rsidR="009D46E6" w:rsidRPr="00777560" w:rsidRDefault="009D46E6" w:rsidP="00866283">
      <w:r w:rsidRPr="00777560">
        <w:t xml:space="preserve">Oproti dřívějším RP </w:t>
      </w:r>
      <w:r>
        <w:t xml:space="preserve">klesá </w:t>
      </w:r>
      <w:r w:rsidRPr="00777560">
        <w:t xml:space="preserve">v </w:t>
      </w:r>
      <w:r>
        <w:t>7. RP</w:t>
      </w:r>
      <w:r w:rsidRPr="00777560">
        <w:t xml:space="preserve"> účast soukromého sektoru a snahou je tento trend zvrátit – dlouhodobým cílem je 15% podíl MSP na celkovém počtu účastí. </w:t>
      </w:r>
      <w:r>
        <w:t>ČR</w:t>
      </w:r>
      <w:r w:rsidRPr="00777560">
        <w:t xml:space="preserve"> </w:t>
      </w:r>
      <w:r>
        <w:t>vykazuje</w:t>
      </w:r>
      <w:r w:rsidRPr="00777560">
        <w:t xml:space="preserve"> tradičně silnou účast soukromého sektoru </w:t>
      </w:r>
      <w:r>
        <w:t>(12. nejvyšší z členských zemí)</w:t>
      </w:r>
      <w:r w:rsidRPr="00777560">
        <w:t>.</w:t>
      </w:r>
      <w:r>
        <w:t xml:space="preserve"> </w:t>
      </w:r>
      <w:r w:rsidRPr="00777560">
        <w:t>Ze zaznamenaných 1</w:t>
      </w:r>
      <w:r>
        <w:t> </w:t>
      </w:r>
      <w:r w:rsidRPr="00777560">
        <w:t>119 účastí pro ČR připadá na MSP 240, což odpovídá 21,4% (v případě příspěvku EU je tento podíl nepatrně větší – 21,5%). Míra zapojení vysokoškolského, výzkumného a soukromého sektoru je v ČR velmi vyrovnaná s mírnou převahou týmů z univerzitní sféry</w:t>
      </w:r>
      <w:r>
        <w:t xml:space="preserve"> (graf E.6)</w:t>
      </w:r>
      <w:r w:rsidRPr="00777560">
        <w:t>. Ve výzkumném sektoru hrají h</w:t>
      </w:r>
      <w:r>
        <w:t>lavní roli ústavy Akademie věd (</w:t>
      </w:r>
      <w:r w:rsidRPr="00777560">
        <w:t>59</w:t>
      </w:r>
      <w:r>
        <w:t xml:space="preserve"> </w:t>
      </w:r>
      <w:r w:rsidRPr="00777560">
        <w:t>% účasti a 64</w:t>
      </w:r>
      <w:r>
        <w:t xml:space="preserve"> </w:t>
      </w:r>
      <w:r w:rsidRPr="00777560">
        <w:t>% příspěvku</w:t>
      </w:r>
      <w:r>
        <w:t>)</w:t>
      </w:r>
      <w:r w:rsidRPr="00777560">
        <w:t xml:space="preserve">. Velmi sporadicky se aktivit </w:t>
      </w:r>
      <w:r>
        <w:t>7. RP</w:t>
      </w:r>
      <w:r w:rsidRPr="00777560">
        <w:t xml:space="preserve"> účast</w:t>
      </w:r>
      <w:r>
        <w:t>ní sektor české veřejné správy.</w:t>
      </w:r>
    </w:p>
    <w:p w:rsidR="009D46E6" w:rsidRDefault="009D46E6" w:rsidP="00750D9B">
      <w:pPr>
        <w:pStyle w:val="Caption"/>
      </w:pPr>
      <w:bookmarkStart w:id="218" w:name="_Toc369092084"/>
      <w:r>
        <w:t xml:space="preserve">Graf </w:t>
      </w:r>
      <w:fldSimple w:instr=" STYLEREF 1 \s ">
        <w:r>
          <w:rPr>
            <w:noProof/>
          </w:rPr>
          <w:t>E</w:t>
        </w:r>
      </w:fldSimple>
      <w:r>
        <w:t>.</w:t>
      </w:r>
      <w:fldSimple w:instr=" SEQ Graf \* ARABIC \s 1 ">
        <w:r>
          <w:rPr>
            <w:noProof/>
          </w:rPr>
          <w:t>6</w:t>
        </w:r>
      </w:fldSimple>
      <w:r w:rsidRPr="00BD5EC7">
        <w:t xml:space="preserve">: </w:t>
      </w:r>
      <w:r w:rsidRPr="00C90B69">
        <w:t>Účast českých týmů a příspěvek EU českým týmům dle sektorů</w:t>
      </w:r>
      <w:bookmarkEnd w:id="218"/>
    </w:p>
    <w:p w:rsidR="009D46E6" w:rsidRPr="00276221" w:rsidRDefault="009D46E6" w:rsidP="001D7F37">
      <w:pPr>
        <w:pStyle w:val="Objekt"/>
      </w:pPr>
      <w:r w:rsidRPr="001D1D98">
        <w:pict>
          <v:shape id="Chart 63" o:spid="_x0000_i1231" type="#_x0000_t75" style="width:481.8pt;height:184.2pt;visibility:visible" o:gfxdata="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">
            <v:imagedata r:id="rId226" o:title="" croptop="-521f" cropbottom="-144f" cropleft="-27380f" cropright="-27144f"/>
            <o:lock v:ext="edit" aspectratio="f"/>
          </v:shape>
        </w:pict>
      </w:r>
    </w:p>
    <w:p w:rsidR="009D46E6" w:rsidRPr="00BD5EC7" w:rsidRDefault="009D46E6" w:rsidP="00866283">
      <w:pPr>
        <w:pStyle w:val="Zdroj"/>
      </w:pPr>
      <w:r w:rsidRPr="00BD5EC7">
        <w:t xml:space="preserve">Zdroj: </w:t>
      </w:r>
      <w:r w:rsidRPr="0053064E">
        <w:t>E-CORDA</w:t>
      </w:r>
    </w:p>
    <w:p w:rsidR="009D46E6" w:rsidRPr="00777560" w:rsidRDefault="009D46E6" w:rsidP="00866283"/>
    <w:p w:rsidR="009D46E6" w:rsidRPr="00777560" w:rsidRDefault="009D46E6" w:rsidP="003C6E2E">
      <w:pPr>
        <w:pStyle w:val="Heading3"/>
      </w:pPr>
      <w:bookmarkStart w:id="219" w:name="_Toc369091907"/>
      <w:r w:rsidRPr="00C90B69">
        <w:t xml:space="preserve">Priority </w:t>
      </w:r>
      <w:r>
        <w:t>7. RP</w:t>
      </w:r>
      <w:bookmarkEnd w:id="219"/>
    </w:p>
    <w:p w:rsidR="009D46E6" w:rsidRDefault="009D46E6" w:rsidP="00866283">
      <w:r>
        <w:t>Každý ze čtyř specifických programů, na které je 7. RP rozdělen, obsahuje několik tematických nebo horizontálních priorit. Tematické priority sledují problémové oblasti (zdraví, doprava, životní prostředí), horizontální priority cílí na aspekty formující ERA (hraniční základní výzkum, vědecká mobilita, rozvoj výzkumných infrastruktur). Počet účastí i celkový příspěvek jsou ovlivněny velikostí rozpočtu, který je dané prioritě přisouzen. Mezi rozpočtem největší priority patří ICT a Zdraví, značný rozpočet má také program Myšlenky, ve kterém připadá na jednu účast průměrně velmi vysoký příspěvek EU. Rozsáhlá podpora se dostává rovněž prioritám Nanovědy, materiály a nové technologie, Doprava nebo Lidé.</w:t>
      </w:r>
    </w:p>
    <w:p w:rsidR="009D46E6" w:rsidRDefault="009D46E6" w:rsidP="00866283">
      <w:r>
        <w:t>ČR má nejvyšší počet účastí právě v programu Lidé a tematických prioritách ICT a Nanovědy (graf E.7). Mezi další priority s výraznější českou účastí patří Zdraví, Doprava, Výzkum ve prospěch MSP, Infrastruktury, Zemědělství, potraviny a biotechnologie, Životní prostředí a Jaderné štěpení programu EURATOM. Naopak jen dvě účasti zaznamenaly týmy z ČR u mezinárodní spolupráce se třetími zeměmi. Výše příspěvku z velké míry koreluje s počtem účastí. Nejvíce finančních prostředků získaly české týmy v prioritách ICT, Lidé, Doprava a Nanovědy. Nadstandardně velký příspěvek vzhledem k počtu projektů se podařilo získat týmům z ČR v prioritě Výzkumný potenciál.</w:t>
      </w:r>
    </w:p>
    <w:p w:rsidR="009D46E6" w:rsidRDefault="009D46E6" w:rsidP="00750D9B">
      <w:pPr>
        <w:pStyle w:val="Caption"/>
      </w:pPr>
      <w:bookmarkStart w:id="220" w:name="_Toc369092085"/>
      <w:r>
        <w:t xml:space="preserve">Graf </w:t>
      </w:r>
      <w:fldSimple w:instr=" STYLEREF 1 \s ">
        <w:r>
          <w:rPr>
            <w:noProof/>
          </w:rPr>
          <w:t>E</w:t>
        </w:r>
      </w:fldSimple>
      <w:r>
        <w:t>.</w:t>
      </w:r>
      <w:fldSimple w:instr=" SEQ Graf \* ARABIC \s 1 ">
        <w:r>
          <w:rPr>
            <w:noProof/>
          </w:rPr>
          <w:t>7</w:t>
        </w:r>
      </w:fldSimple>
      <w:r w:rsidRPr="00BD5EC7">
        <w:t xml:space="preserve">: </w:t>
      </w:r>
      <w:r w:rsidRPr="00B347A4">
        <w:t xml:space="preserve">Účast českých týmů a příspěvek EU v jednotlivých prioritách </w:t>
      </w:r>
      <w:r>
        <w:t>7. RP</w:t>
      </w:r>
      <w:bookmarkEnd w:id="220"/>
    </w:p>
    <w:p w:rsidR="009D46E6" w:rsidRPr="00276221" w:rsidRDefault="009D46E6" w:rsidP="001D7F37">
      <w:pPr>
        <w:pStyle w:val="Objekt"/>
      </w:pPr>
      <w:r w:rsidRPr="001D1D98">
        <w:pict>
          <v:shape id="Chart 257" o:spid="_x0000_i1232" type="#_x0000_t75" style="width:472.2pt;height:194.4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">
            <v:imagedata r:id="rId227" o:title="" croptop="-2495f" cropbottom="-728f" cropleft="-130f" cropright="-460f"/>
            <o:lock v:ext="edit" aspectratio="f"/>
          </v:shape>
        </w:pict>
      </w:r>
    </w:p>
    <w:p w:rsidR="009D46E6" w:rsidRDefault="009D46E6" w:rsidP="00866283">
      <w:pPr>
        <w:pStyle w:val="Zdroj"/>
      </w:pPr>
      <w:r w:rsidRPr="00B347A4">
        <w:t>Pozn.: Health</w:t>
      </w:r>
      <w:r>
        <w:t xml:space="preserve"> - </w:t>
      </w:r>
      <w:r w:rsidRPr="00B347A4">
        <w:t>Zdraví, KBBE</w:t>
      </w:r>
      <w:r>
        <w:t xml:space="preserve"> - </w:t>
      </w:r>
      <w:r w:rsidRPr="00B347A4">
        <w:t>Zemědělství, potraviny a biotechnologie, ICT</w:t>
      </w:r>
      <w:r>
        <w:t xml:space="preserve"> - </w:t>
      </w:r>
      <w:r w:rsidRPr="00B347A4">
        <w:t>Informační a komunikační technologie, NMP</w:t>
      </w:r>
      <w:r>
        <w:t xml:space="preserve"> - </w:t>
      </w:r>
      <w:r w:rsidRPr="00B347A4">
        <w:t>Nanovědy, materiály a nové technologie, Energy</w:t>
      </w:r>
      <w:r>
        <w:t xml:space="preserve"> - </w:t>
      </w:r>
      <w:r w:rsidRPr="00B347A4">
        <w:t>Energie, ENV</w:t>
      </w:r>
      <w:r>
        <w:t xml:space="preserve"> - </w:t>
      </w:r>
      <w:r w:rsidRPr="00B347A4">
        <w:t>Životní prostředí, TPT</w:t>
      </w:r>
      <w:r>
        <w:t xml:space="preserve"> - </w:t>
      </w:r>
      <w:r w:rsidRPr="00B347A4">
        <w:t>Doprava, SSH</w:t>
      </w:r>
      <w:r>
        <w:t xml:space="preserve"> - </w:t>
      </w:r>
      <w:r w:rsidRPr="00B347A4">
        <w:t>Socioekonomické a humanitní vědy, SPA</w:t>
      </w:r>
      <w:r>
        <w:t xml:space="preserve"> - </w:t>
      </w:r>
      <w:r w:rsidRPr="00B347A4">
        <w:t>Kosmický výzkum, SEC</w:t>
      </w:r>
      <w:r>
        <w:t xml:space="preserve"> - </w:t>
      </w:r>
      <w:r w:rsidRPr="00B347A4">
        <w:t>Bezpečnost, GA</w:t>
      </w:r>
      <w:r>
        <w:t xml:space="preserve"> - </w:t>
      </w:r>
      <w:r w:rsidRPr="00B347A4">
        <w:t>Obecné aktivity, ERC</w:t>
      </w:r>
      <w:r>
        <w:t xml:space="preserve"> - </w:t>
      </w:r>
      <w:r w:rsidRPr="00B347A4">
        <w:t>Myšlenky, PEOPLE</w:t>
      </w:r>
      <w:r>
        <w:t xml:space="preserve"> - </w:t>
      </w:r>
      <w:r w:rsidRPr="00B347A4">
        <w:t>Lidé, INFRA</w:t>
      </w:r>
      <w:r>
        <w:t xml:space="preserve"> - </w:t>
      </w:r>
      <w:r w:rsidRPr="00B347A4">
        <w:t>Výzkumné infrastruktury, SME</w:t>
      </w:r>
      <w:r>
        <w:t xml:space="preserve"> - </w:t>
      </w:r>
      <w:r w:rsidRPr="00B347A4">
        <w:t xml:space="preserve">výzkum ve prospěch </w:t>
      </w:r>
      <w:r>
        <w:t>MSP</w:t>
      </w:r>
      <w:r w:rsidRPr="00B347A4">
        <w:t>, REGIONS</w:t>
      </w:r>
      <w:r>
        <w:t xml:space="preserve"> - </w:t>
      </w:r>
      <w:r w:rsidRPr="00B347A4">
        <w:t>Regiony znalostí, RESPOT</w:t>
      </w:r>
      <w:r>
        <w:t xml:space="preserve"> - </w:t>
      </w:r>
      <w:r w:rsidRPr="00B347A4">
        <w:t>Výzkumný potenciál, SiS</w:t>
      </w:r>
      <w:r>
        <w:t xml:space="preserve"> - </w:t>
      </w:r>
      <w:r w:rsidRPr="00B347A4">
        <w:t>Věda ve společnosti, COH</w:t>
      </w:r>
      <w:r>
        <w:t xml:space="preserve"> - </w:t>
      </w:r>
      <w:r w:rsidRPr="00B347A4">
        <w:t>Rozvoj výzkumných politik, INCO</w:t>
      </w:r>
      <w:r>
        <w:t xml:space="preserve"> - </w:t>
      </w:r>
      <w:r w:rsidRPr="00B347A4">
        <w:t>Mezinárodní spo</w:t>
      </w:r>
      <w:r>
        <w:t>lupráce, Fusion - Jaderná fúze</w:t>
      </w:r>
      <w:r w:rsidRPr="00B347A4">
        <w:t>, Fission</w:t>
      </w:r>
      <w:r>
        <w:t xml:space="preserve"> - </w:t>
      </w:r>
      <w:r w:rsidRPr="00B347A4">
        <w:t>Jaderné štěpení.</w:t>
      </w:r>
    </w:p>
    <w:p w:rsidR="009D46E6" w:rsidRPr="00BD5EC7" w:rsidRDefault="009D46E6" w:rsidP="00866283">
      <w:pPr>
        <w:pStyle w:val="Zdroj"/>
      </w:pPr>
      <w:r w:rsidRPr="00BD5EC7">
        <w:t xml:space="preserve">Zdroj: </w:t>
      </w:r>
      <w:r w:rsidRPr="0053064E">
        <w:t>E-CORDA</w:t>
      </w:r>
    </w:p>
    <w:p w:rsidR="009D46E6" w:rsidRDefault="009D46E6" w:rsidP="00866283">
      <w:r>
        <w:t>Výlučnou pozici mezi aktivitami má program</w:t>
      </w:r>
      <w:r w:rsidRPr="0063123B">
        <w:t xml:space="preserve"> Myšlenky (ERC). Jedná se o projekty, které jsou zpravidla řešeny pouze jedním hlavním řešitelem působícím ve zvolené hostitelské instituci</w:t>
      </w:r>
      <w:r>
        <w:t xml:space="preserve"> - </w:t>
      </w:r>
      <w:r w:rsidRPr="0063123B">
        <w:t xml:space="preserve">příspěvek </w:t>
      </w:r>
      <w:r>
        <w:t>je proto</w:t>
      </w:r>
      <w:r w:rsidRPr="0063123B">
        <w:t xml:space="preserve"> násobně vyšší ve srovnání s ostatním prioritami. </w:t>
      </w:r>
      <w:r>
        <w:t>Z</w:t>
      </w:r>
      <w:r w:rsidRPr="0063123B">
        <w:t xml:space="preserve">isk těchto grantů posuzován jako jedno z měřítek vědecké excelence. Nejvyšší účast v programu Myšlenky (26% celkové účasti EU) jednoznačně náleží </w:t>
      </w:r>
      <w:r>
        <w:t>Spojenému království</w:t>
      </w:r>
      <w:r w:rsidRPr="0063123B">
        <w:t xml:space="preserve"> (graf </w:t>
      </w:r>
      <w:r>
        <w:t>E.8) následované Německem, Francií</w:t>
      </w:r>
      <w:r w:rsidRPr="0063123B">
        <w:t>, ale rovněž výrazně menší</w:t>
      </w:r>
      <w:r>
        <w:t>m</w:t>
      </w:r>
      <w:r w:rsidRPr="0063123B">
        <w:t xml:space="preserve"> Nizozemsk</w:t>
      </w:r>
      <w:r>
        <w:t>em</w:t>
      </w:r>
      <w:r w:rsidRPr="0063123B">
        <w:t xml:space="preserve">. Výzkumné instituce v ČR si připisují v programu Myšlenky 11 účastí a jako hostitelské instituce vytvářejí podmínky pro práci celkově sedmi hlavním (českým i zahraničním) řešitelům ERC grantů. Souhrnný příspěvek pro ČR dosahuje 10,3 mil. </w:t>
      </w:r>
      <w:r>
        <w:t>Eur</w:t>
      </w:r>
      <w:r w:rsidRPr="0063123B">
        <w:t>. Z nových členských států má vyšší účast v programu Myšlenky pouze Polsko a velikostí srovnatelné Maďarsko, které však více než trojnásobně předčilo ČR</w:t>
      </w:r>
      <w:r>
        <w:t xml:space="preserve"> (</w:t>
      </w:r>
      <w:r w:rsidRPr="0063123B">
        <w:t xml:space="preserve">35 účastí a příspěvek 40,1 mil. </w:t>
      </w:r>
      <w:r>
        <w:t>Eur)</w:t>
      </w:r>
      <w:r w:rsidRPr="0063123B">
        <w:t>.</w:t>
      </w:r>
    </w:p>
    <w:p w:rsidR="009D46E6" w:rsidRDefault="009D46E6" w:rsidP="00750D9B">
      <w:pPr>
        <w:pStyle w:val="Caption"/>
      </w:pPr>
      <w:bookmarkStart w:id="221" w:name="_Toc369092086"/>
      <w:r>
        <w:t xml:space="preserve">Graf </w:t>
      </w:r>
      <w:fldSimple w:instr=" STYLEREF 1 \s ">
        <w:r>
          <w:rPr>
            <w:noProof/>
          </w:rPr>
          <w:t>E</w:t>
        </w:r>
      </w:fldSimple>
      <w:r>
        <w:t>.</w:t>
      </w:r>
      <w:fldSimple w:instr=" SEQ Graf \* ARABIC \s 1 ">
        <w:r>
          <w:rPr>
            <w:noProof/>
          </w:rPr>
          <w:t>8</w:t>
        </w:r>
      </w:fldSimple>
      <w:r w:rsidRPr="00BD5EC7">
        <w:t xml:space="preserve">: </w:t>
      </w:r>
      <w:r w:rsidRPr="0063123B">
        <w:t>Účast týmů ze států EU v grantech ERC (specifický program Myšlenky)</w:t>
      </w:r>
      <w:bookmarkEnd w:id="221"/>
    </w:p>
    <w:p w:rsidR="009D46E6" w:rsidRPr="00276221" w:rsidRDefault="009D46E6" w:rsidP="001D7F37">
      <w:pPr>
        <w:pStyle w:val="Objekt"/>
      </w:pPr>
      <w:r w:rsidRPr="001D1D98">
        <w:pict>
          <v:shape id="Chart 290" o:spid="_x0000_i1233" type="#_x0000_t75" style="width:481.8pt;height:194.4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">
            <v:imagedata r:id="rId228" o:title="" croptop="-2489f" cropbottom="-570f" cropleft="-260f" cropright="-61f"/>
            <o:lock v:ext="edit" aspectratio="f"/>
          </v:shape>
        </w:pict>
      </w:r>
    </w:p>
    <w:p w:rsidR="009D46E6" w:rsidRPr="00BD5EC7" w:rsidRDefault="009D46E6" w:rsidP="00866283">
      <w:pPr>
        <w:pStyle w:val="Zdroj"/>
      </w:pPr>
      <w:r w:rsidRPr="00BD5EC7">
        <w:t xml:space="preserve">Zdroj: </w:t>
      </w:r>
      <w:r w:rsidRPr="0053064E">
        <w:t>E-CORDA</w:t>
      </w:r>
    </w:p>
    <w:p w:rsidR="009D46E6" w:rsidRDefault="009D46E6" w:rsidP="00866283"/>
    <w:p w:rsidR="009D46E6" w:rsidRDefault="009D46E6" w:rsidP="00866283">
      <w:r w:rsidRPr="00506D71">
        <w:t xml:space="preserve">Nejúspěšnější instituce z hlediska počtu týmů sídlí ve </w:t>
      </w:r>
      <w:r>
        <w:t xml:space="preserve">vyspělých a velkých státech EU, </w:t>
      </w:r>
      <w:r w:rsidRPr="00506D71">
        <w:t>které mohou vybudovat v daném o</w:t>
      </w:r>
      <w:r>
        <w:t>boru širokou znalostní základnu</w:t>
      </w:r>
      <w:r w:rsidRPr="00506D71">
        <w:t xml:space="preserve"> – ve Francii, Německu, Spojeném království a Italii</w:t>
      </w:r>
      <w:r>
        <w:t xml:space="preserve"> (</w:t>
      </w:r>
      <w:r w:rsidRPr="00506D71">
        <w:t>tab</w:t>
      </w:r>
      <w:r>
        <w:t>.</w:t>
      </w:r>
      <w:r w:rsidRPr="00506D71">
        <w:t xml:space="preserve"> E.</w:t>
      </w:r>
      <w:r>
        <w:t>1)</w:t>
      </w:r>
      <w:r w:rsidRPr="00506D71">
        <w:t xml:space="preserve">. </w:t>
      </w:r>
      <w:r>
        <w:t>P</w:t>
      </w:r>
      <w:r w:rsidRPr="00506D71">
        <w:t>řední evropská výzkumná instituce Centre National de la Recherche Scientifique má větší počet účastí než celá ČR.</w:t>
      </w:r>
      <w:r>
        <w:t xml:space="preserve"> </w:t>
      </w:r>
      <w:r w:rsidRPr="00506D71">
        <w:t xml:space="preserve">V ČR se nejvíce podílí na řešení projektů </w:t>
      </w:r>
      <w:r>
        <w:t>7. RP</w:t>
      </w:r>
      <w:r w:rsidRPr="00506D71">
        <w:t xml:space="preserve"> Univerzita Karlova v Praze, následována ČVUT v Praze, Masarykovou univerzitou a Ústavem jaderného výzkumu Řež, který svou účast opírá zejména o aktivity v programu EURATOM.</w:t>
      </w:r>
    </w:p>
    <w:p w:rsidR="009D46E6" w:rsidRPr="00BC1D05" w:rsidRDefault="009D46E6" w:rsidP="00750D9B">
      <w:pPr>
        <w:pStyle w:val="Caption"/>
      </w:pPr>
      <w:bookmarkStart w:id="222" w:name="_Toc369091934"/>
      <w:r>
        <w:t xml:space="preserve">Tabulka </w:t>
      </w:r>
      <w:fldSimple w:instr=" STYLEREF 1 \s ">
        <w:r>
          <w:rPr>
            <w:noProof/>
          </w:rPr>
          <w:t>E</w:t>
        </w:r>
      </w:fldSimple>
      <w:r>
        <w:t>.</w:t>
      </w:r>
      <w:fldSimple w:instr=" SEQ Tabulka \* ARABIC \s 1 ">
        <w:r>
          <w:rPr>
            <w:noProof/>
          </w:rPr>
          <w:t>1</w:t>
        </w:r>
      </w:fldSimple>
      <w:r w:rsidRPr="00BC1D05">
        <w:t>:</w:t>
      </w:r>
      <w:r>
        <w:t xml:space="preserve"> </w:t>
      </w:r>
      <w:r w:rsidRPr="00506D71">
        <w:t xml:space="preserve">Nejčastější účastníci </w:t>
      </w:r>
      <w:r>
        <w:t>7. RP</w:t>
      </w:r>
      <w:r w:rsidRPr="00506D71">
        <w:t xml:space="preserve"> v zemích EU a ČR</w:t>
      </w:r>
      <w:bookmarkEnd w:id="222"/>
    </w:p>
    <w:tbl>
      <w:tblPr>
        <w:tblW w:w="9638" w:type="dxa"/>
        <w:jc w:val="center"/>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left w:w="70" w:type="dxa"/>
          <w:right w:w="70" w:type="dxa"/>
        </w:tblCellMar>
        <w:tblLook w:val="00A0"/>
      </w:tblPr>
      <w:tblGrid>
        <w:gridCol w:w="6803"/>
        <w:gridCol w:w="1134"/>
        <w:gridCol w:w="1701"/>
      </w:tblGrid>
      <w:tr w:rsidR="009D46E6" w:rsidRPr="00DB1559" w:rsidTr="00866283">
        <w:trPr>
          <w:trHeight w:val="227"/>
          <w:jc w:val="center"/>
        </w:trPr>
        <w:tc>
          <w:tcPr>
            <w:tcW w:w="6803" w:type="dxa"/>
            <w:shd w:val="clear" w:color="auto" w:fill="003366"/>
            <w:noWrap/>
            <w:vAlign w:val="center"/>
          </w:tcPr>
          <w:p w:rsidR="009D46E6" w:rsidRPr="008343D4" w:rsidRDefault="009D46E6" w:rsidP="00866283">
            <w:pPr>
              <w:spacing w:after="0" w:line="240" w:lineRule="auto"/>
              <w:jc w:val="left"/>
              <w:rPr>
                <w:rFonts w:cs="Tahoma"/>
                <w:b/>
                <w:bCs/>
                <w:color w:val="FFFFFF"/>
                <w:sz w:val="16"/>
                <w:szCs w:val="16"/>
                <w:lang w:eastAsia="cs-CZ"/>
              </w:rPr>
            </w:pPr>
            <w:r w:rsidRPr="008343D4">
              <w:rPr>
                <w:rFonts w:cs="Tahoma"/>
                <w:b/>
                <w:bCs/>
                <w:color w:val="FFFFFF"/>
                <w:sz w:val="16"/>
                <w:szCs w:val="16"/>
                <w:lang w:eastAsia="cs-CZ"/>
              </w:rPr>
              <w:t>Název instituce</w:t>
            </w:r>
          </w:p>
        </w:tc>
        <w:tc>
          <w:tcPr>
            <w:tcW w:w="1134" w:type="dxa"/>
            <w:shd w:val="clear" w:color="auto" w:fill="003366"/>
            <w:noWrap/>
            <w:vAlign w:val="center"/>
          </w:tcPr>
          <w:p w:rsidR="009D46E6" w:rsidRPr="008343D4" w:rsidRDefault="009D46E6" w:rsidP="00866283">
            <w:pPr>
              <w:spacing w:after="0" w:line="240" w:lineRule="auto"/>
              <w:jc w:val="left"/>
              <w:rPr>
                <w:rFonts w:cs="Tahoma"/>
                <w:b/>
                <w:bCs/>
                <w:color w:val="FFFFFF"/>
                <w:sz w:val="16"/>
                <w:szCs w:val="16"/>
                <w:lang w:eastAsia="cs-CZ"/>
              </w:rPr>
            </w:pPr>
            <w:r>
              <w:rPr>
                <w:rFonts w:cs="Tahoma"/>
                <w:b/>
                <w:bCs/>
                <w:color w:val="FFFFFF"/>
                <w:sz w:val="16"/>
                <w:szCs w:val="16"/>
                <w:lang w:eastAsia="cs-CZ"/>
              </w:rPr>
              <w:t>S</w:t>
            </w:r>
            <w:r w:rsidRPr="008343D4">
              <w:rPr>
                <w:rFonts w:cs="Tahoma"/>
                <w:b/>
                <w:bCs/>
                <w:color w:val="FFFFFF"/>
                <w:sz w:val="16"/>
                <w:szCs w:val="16"/>
                <w:lang w:eastAsia="cs-CZ"/>
              </w:rPr>
              <w:t>tát</w:t>
            </w:r>
          </w:p>
        </w:tc>
        <w:tc>
          <w:tcPr>
            <w:tcW w:w="1701" w:type="dxa"/>
            <w:shd w:val="clear" w:color="auto" w:fill="003366"/>
            <w:noWrap/>
            <w:vAlign w:val="center"/>
          </w:tcPr>
          <w:p w:rsidR="009D46E6" w:rsidRPr="008343D4" w:rsidRDefault="009D46E6" w:rsidP="00866283">
            <w:pPr>
              <w:spacing w:after="0" w:line="240" w:lineRule="auto"/>
              <w:jc w:val="left"/>
              <w:rPr>
                <w:rFonts w:cs="Tahoma"/>
                <w:b/>
                <w:bCs/>
                <w:color w:val="FFFFFF"/>
                <w:sz w:val="16"/>
                <w:szCs w:val="16"/>
                <w:lang w:eastAsia="cs-CZ"/>
              </w:rPr>
            </w:pPr>
            <w:r>
              <w:rPr>
                <w:rFonts w:cs="Tahoma"/>
                <w:b/>
                <w:bCs/>
                <w:color w:val="FFFFFF"/>
                <w:sz w:val="16"/>
                <w:szCs w:val="16"/>
                <w:lang w:eastAsia="cs-CZ"/>
              </w:rPr>
              <w:t>P</w:t>
            </w:r>
            <w:r w:rsidRPr="008343D4">
              <w:rPr>
                <w:rFonts w:cs="Tahoma"/>
                <w:b/>
                <w:bCs/>
                <w:color w:val="FFFFFF"/>
                <w:sz w:val="16"/>
                <w:szCs w:val="16"/>
                <w:lang w:eastAsia="cs-CZ"/>
              </w:rPr>
              <w:t>očet účastí</w:t>
            </w:r>
          </w:p>
        </w:tc>
      </w:tr>
      <w:tr w:rsidR="009D46E6" w:rsidRPr="00DB1559" w:rsidTr="00866283">
        <w:trPr>
          <w:trHeight w:val="227"/>
          <w:jc w:val="center"/>
        </w:trPr>
        <w:tc>
          <w:tcPr>
            <w:tcW w:w="6803"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 xml:space="preserve">Centre national de la </w:t>
            </w:r>
            <w:r>
              <w:rPr>
                <w:rFonts w:cs="Tahoma"/>
                <w:color w:val="000000"/>
                <w:sz w:val="16"/>
                <w:szCs w:val="16"/>
                <w:lang w:eastAsia="cs-CZ"/>
              </w:rPr>
              <w:t>R</w:t>
            </w:r>
            <w:r w:rsidRPr="00506D71">
              <w:rPr>
                <w:rFonts w:cs="Tahoma"/>
                <w:color w:val="000000"/>
                <w:sz w:val="16"/>
                <w:szCs w:val="16"/>
                <w:lang w:eastAsia="cs-CZ"/>
              </w:rPr>
              <w:t xml:space="preserve">echerche </w:t>
            </w:r>
            <w:r>
              <w:rPr>
                <w:rFonts w:cs="Tahoma"/>
                <w:color w:val="000000"/>
                <w:sz w:val="16"/>
                <w:szCs w:val="16"/>
                <w:lang w:eastAsia="cs-CZ"/>
              </w:rPr>
              <w:t>S</w:t>
            </w:r>
            <w:r w:rsidRPr="00506D71">
              <w:rPr>
                <w:rFonts w:cs="Tahoma"/>
                <w:color w:val="000000"/>
                <w:sz w:val="16"/>
                <w:szCs w:val="16"/>
                <w:lang w:eastAsia="cs-CZ"/>
              </w:rPr>
              <w:t>cientifique</w:t>
            </w:r>
          </w:p>
        </w:tc>
        <w:tc>
          <w:tcPr>
            <w:tcW w:w="1134"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FR</w:t>
            </w:r>
          </w:p>
        </w:tc>
        <w:tc>
          <w:tcPr>
            <w:tcW w:w="1701"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1 259</w:t>
            </w:r>
          </w:p>
        </w:tc>
      </w:tr>
      <w:tr w:rsidR="009D46E6" w:rsidRPr="00DB1559" w:rsidTr="00866283">
        <w:trPr>
          <w:trHeight w:val="227"/>
          <w:jc w:val="center"/>
        </w:trPr>
        <w:tc>
          <w:tcPr>
            <w:tcW w:w="6803" w:type="dxa"/>
            <w:noWrap/>
            <w:vAlign w:val="center"/>
          </w:tcPr>
          <w:p w:rsidR="009D46E6" w:rsidRPr="00506D71" w:rsidRDefault="009D46E6" w:rsidP="00866283">
            <w:pPr>
              <w:spacing w:after="0" w:line="240" w:lineRule="auto"/>
              <w:jc w:val="left"/>
              <w:rPr>
                <w:rFonts w:cs="Tahoma"/>
                <w:color w:val="000000"/>
                <w:sz w:val="16"/>
                <w:szCs w:val="16"/>
                <w:lang w:eastAsia="cs-CZ"/>
              </w:rPr>
            </w:pPr>
            <w:r>
              <w:rPr>
                <w:rFonts w:cs="Tahoma"/>
                <w:color w:val="000000"/>
                <w:sz w:val="16"/>
                <w:szCs w:val="16"/>
                <w:lang w:eastAsia="cs-CZ"/>
              </w:rPr>
              <w:t>Fraunhofer G</w:t>
            </w:r>
            <w:r w:rsidRPr="00506D71">
              <w:rPr>
                <w:rFonts w:cs="Tahoma"/>
                <w:color w:val="000000"/>
                <w:sz w:val="16"/>
                <w:szCs w:val="16"/>
                <w:lang w:eastAsia="cs-CZ"/>
              </w:rPr>
              <w:t xml:space="preserve">esellschaft zur </w:t>
            </w:r>
            <w:r>
              <w:rPr>
                <w:rFonts w:cs="Tahoma"/>
                <w:color w:val="000000"/>
                <w:sz w:val="16"/>
                <w:szCs w:val="16"/>
                <w:lang w:eastAsia="cs-CZ"/>
              </w:rPr>
              <w:t>F</w:t>
            </w:r>
            <w:r w:rsidRPr="00506D71">
              <w:rPr>
                <w:rFonts w:cs="Tahoma"/>
                <w:color w:val="000000"/>
                <w:sz w:val="16"/>
                <w:szCs w:val="16"/>
                <w:lang w:eastAsia="cs-CZ"/>
              </w:rPr>
              <w:t xml:space="preserve">oerderung der </w:t>
            </w:r>
            <w:r>
              <w:rPr>
                <w:rFonts w:cs="Tahoma"/>
                <w:color w:val="000000"/>
                <w:sz w:val="16"/>
                <w:szCs w:val="16"/>
                <w:lang w:eastAsia="cs-CZ"/>
              </w:rPr>
              <w:t>A</w:t>
            </w:r>
            <w:r w:rsidRPr="00506D71">
              <w:rPr>
                <w:rFonts w:cs="Tahoma"/>
                <w:color w:val="000000"/>
                <w:sz w:val="16"/>
                <w:szCs w:val="16"/>
                <w:lang w:eastAsia="cs-CZ"/>
              </w:rPr>
              <w:t xml:space="preserve">ngewandten </w:t>
            </w:r>
            <w:r>
              <w:rPr>
                <w:rFonts w:cs="Tahoma"/>
                <w:color w:val="000000"/>
                <w:sz w:val="16"/>
                <w:szCs w:val="16"/>
                <w:lang w:eastAsia="cs-CZ"/>
              </w:rPr>
              <w:t>F</w:t>
            </w:r>
            <w:r w:rsidRPr="00506D71">
              <w:rPr>
                <w:rFonts w:cs="Tahoma"/>
                <w:color w:val="000000"/>
                <w:sz w:val="16"/>
                <w:szCs w:val="16"/>
                <w:lang w:eastAsia="cs-CZ"/>
              </w:rPr>
              <w:t>orschung e.v</w:t>
            </w:r>
          </w:p>
        </w:tc>
        <w:tc>
          <w:tcPr>
            <w:tcW w:w="1134"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DE</w:t>
            </w:r>
          </w:p>
        </w:tc>
        <w:tc>
          <w:tcPr>
            <w:tcW w:w="1701"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922</w:t>
            </w:r>
          </w:p>
        </w:tc>
      </w:tr>
      <w:tr w:rsidR="009D46E6" w:rsidRPr="00DB1559" w:rsidTr="00866283">
        <w:trPr>
          <w:trHeight w:val="227"/>
          <w:jc w:val="center"/>
        </w:trPr>
        <w:tc>
          <w:tcPr>
            <w:tcW w:w="6803"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 xml:space="preserve">The </w:t>
            </w:r>
            <w:r>
              <w:rPr>
                <w:rFonts w:cs="Tahoma"/>
                <w:color w:val="000000"/>
                <w:sz w:val="16"/>
                <w:szCs w:val="16"/>
                <w:lang w:eastAsia="cs-CZ"/>
              </w:rPr>
              <w:t>C</w:t>
            </w:r>
            <w:r w:rsidRPr="00506D71">
              <w:rPr>
                <w:rFonts w:cs="Tahoma"/>
                <w:color w:val="000000"/>
                <w:sz w:val="16"/>
                <w:szCs w:val="16"/>
                <w:lang w:eastAsia="cs-CZ"/>
              </w:rPr>
              <w:t xml:space="preserve">hancellor, </w:t>
            </w:r>
            <w:r>
              <w:rPr>
                <w:rFonts w:cs="Tahoma"/>
                <w:color w:val="000000"/>
                <w:sz w:val="16"/>
                <w:szCs w:val="16"/>
                <w:lang w:eastAsia="cs-CZ"/>
              </w:rPr>
              <w:t>M</w:t>
            </w:r>
            <w:r w:rsidRPr="00506D71">
              <w:rPr>
                <w:rFonts w:cs="Tahoma"/>
                <w:color w:val="000000"/>
                <w:sz w:val="16"/>
                <w:szCs w:val="16"/>
                <w:lang w:eastAsia="cs-CZ"/>
              </w:rPr>
              <w:t xml:space="preserve">asters and </w:t>
            </w:r>
            <w:r>
              <w:rPr>
                <w:rFonts w:cs="Tahoma"/>
                <w:color w:val="000000"/>
                <w:sz w:val="16"/>
                <w:szCs w:val="16"/>
                <w:lang w:eastAsia="cs-CZ"/>
              </w:rPr>
              <w:t>S</w:t>
            </w:r>
            <w:r w:rsidRPr="00506D71">
              <w:rPr>
                <w:rFonts w:cs="Tahoma"/>
                <w:color w:val="000000"/>
                <w:sz w:val="16"/>
                <w:szCs w:val="16"/>
                <w:lang w:eastAsia="cs-CZ"/>
              </w:rPr>
              <w:t xml:space="preserve">cholars of the </w:t>
            </w:r>
            <w:r>
              <w:rPr>
                <w:rFonts w:cs="Tahoma"/>
                <w:color w:val="000000"/>
                <w:sz w:val="16"/>
                <w:szCs w:val="16"/>
                <w:lang w:eastAsia="cs-CZ"/>
              </w:rPr>
              <w:t>U</w:t>
            </w:r>
            <w:r w:rsidRPr="00506D71">
              <w:rPr>
                <w:rFonts w:cs="Tahoma"/>
                <w:color w:val="000000"/>
                <w:sz w:val="16"/>
                <w:szCs w:val="16"/>
                <w:lang w:eastAsia="cs-CZ"/>
              </w:rPr>
              <w:t xml:space="preserve">niversity of </w:t>
            </w:r>
            <w:r>
              <w:rPr>
                <w:rFonts w:cs="Tahoma"/>
                <w:color w:val="000000"/>
                <w:sz w:val="16"/>
                <w:szCs w:val="16"/>
                <w:lang w:eastAsia="cs-CZ"/>
              </w:rPr>
              <w:t>C</w:t>
            </w:r>
            <w:r w:rsidRPr="00506D71">
              <w:rPr>
                <w:rFonts w:cs="Tahoma"/>
                <w:color w:val="000000"/>
                <w:sz w:val="16"/>
                <w:szCs w:val="16"/>
                <w:lang w:eastAsia="cs-CZ"/>
              </w:rPr>
              <w:t>ambridge</w:t>
            </w:r>
          </w:p>
        </w:tc>
        <w:tc>
          <w:tcPr>
            <w:tcW w:w="1134" w:type="dxa"/>
            <w:noWrap/>
            <w:vAlign w:val="center"/>
          </w:tcPr>
          <w:p w:rsidR="009D46E6" w:rsidRPr="00506D71" w:rsidRDefault="009D46E6" w:rsidP="00866283">
            <w:pPr>
              <w:spacing w:after="0" w:line="240" w:lineRule="auto"/>
              <w:jc w:val="left"/>
              <w:rPr>
                <w:rFonts w:cs="Tahoma"/>
                <w:color w:val="000000"/>
                <w:sz w:val="16"/>
                <w:szCs w:val="16"/>
                <w:lang w:eastAsia="cs-CZ"/>
              </w:rPr>
            </w:pPr>
            <w:r>
              <w:rPr>
                <w:rFonts w:cs="Tahoma"/>
                <w:color w:val="000000"/>
                <w:sz w:val="16"/>
                <w:szCs w:val="16"/>
                <w:lang w:eastAsia="cs-CZ"/>
              </w:rPr>
              <w:t>GB</w:t>
            </w:r>
          </w:p>
        </w:tc>
        <w:tc>
          <w:tcPr>
            <w:tcW w:w="1701"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598</w:t>
            </w:r>
          </w:p>
        </w:tc>
      </w:tr>
      <w:tr w:rsidR="009D46E6" w:rsidRPr="00DB1559" w:rsidTr="00866283">
        <w:trPr>
          <w:trHeight w:val="227"/>
          <w:jc w:val="center"/>
        </w:trPr>
        <w:tc>
          <w:tcPr>
            <w:tcW w:w="6803"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 xml:space="preserve">Max </w:t>
            </w:r>
            <w:r>
              <w:rPr>
                <w:rFonts w:cs="Tahoma"/>
                <w:color w:val="000000"/>
                <w:sz w:val="16"/>
                <w:szCs w:val="16"/>
                <w:lang w:eastAsia="cs-CZ"/>
              </w:rPr>
              <w:t>P</w:t>
            </w:r>
            <w:r w:rsidRPr="00506D71">
              <w:rPr>
                <w:rFonts w:cs="Tahoma"/>
                <w:color w:val="000000"/>
                <w:sz w:val="16"/>
                <w:szCs w:val="16"/>
                <w:lang w:eastAsia="cs-CZ"/>
              </w:rPr>
              <w:t xml:space="preserve">lanck </w:t>
            </w:r>
            <w:r>
              <w:rPr>
                <w:rFonts w:cs="Tahoma"/>
                <w:color w:val="000000"/>
                <w:sz w:val="16"/>
                <w:szCs w:val="16"/>
                <w:lang w:eastAsia="cs-CZ"/>
              </w:rPr>
              <w:t>G</w:t>
            </w:r>
            <w:r w:rsidRPr="00506D71">
              <w:rPr>
                <w:rFonts w:cs="Tahoma"/>
                <w:color w:val="000000"/>
                <w:sz w:val="16"/>
                <w:szCs w:val="16"/>
                <w:lang w:eastAsia="cs-CZ"/>
              </w:rPr>
              <w:t xml:space="preserve">esellschaft zur </w:t>
            </w:r>
            <w:r>
              <w:rPr>
                <w:rFonts w:cs="Tahoma"/>
                <w:color w:val="000000"/>
                <w:sz w:val="16"/>
                <w:szCs w:val="16"/>
                <w:lang w:eastAsia="cs-CZ"/>
              </w:rPr>
              <w:t>F</w:t>
            </w:r>
            <w:r w:rsidRPr="00506D71">
              <w:rPr>
                <w:rFonts w:cs="Tahoma"/>
                <w:color w:val="000000"/>
                <w:sz w:val="16"/>
                <w:szCs w:val="16"/>
                <w:lang w:eastAsia="cs-CZ"/>
              </w:rPr>
              <w:t xml:space="preserve">oerderung der </w:t>
            </w:r>
            <w:r>
              <w:rPr>
                <w:rFonts w:cs="Tahoma"/>
                <w:color w:val="000000"/>
                <w:sz w:val="16"/>
                <w:szCs w:val="16"/>
                <w:lang w:eastAsia="cs-CZ"/>
              </w:rPr>
              <w:t>W</w:t>
            </w:r>
            <w:r w:rsidRPr="00506D71">
              <w:rPr>
                <w:rFonts w:cs="Tahoma"/>
                <w:color w:val="000000"/>
                <w:sz w:val="16"/>
                <w:szCs w:val="16"/>
                <w:lang w:eastAsia="cs-CZ"/>
              </w:rPr>
              <w:t>issenschaften e.v.</w:t>
            </w:r>
          </w:p>
        </w:tc>
        <w:tc>
          <w:tcPr>
            <w:tcW w:w="1134"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DE</w:t>
            </w:r>
          </w:p>
        </w:tc>
        <w:tc>
          <w:tcPr>
            <w:tcW w:w="1701"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575</w:t>
            </w:r>
          </w:p>
        </w:tc>
      </w:tr>
      <w:tr w:rsidR="009D46E6" w:rsidRPr="00DB1559" w:rsidTr="00866283">
        <w:trPr>
          <w:trHeight w:val="227"/>
          <w:jc w:val="center"/>
        </w:trPr>
        <w:tc>
          <w:tcPr>
            <w:tcW w:w="6803"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 xml:space="preserve">Consiglio </w:t>
            </w:r>
            <w:r>
              <w:rPr>
                <w:rFonts w:cs="Tahoma"/>
                <w:color w:val="000000"/>
                <w:sz w:val="16"/>
                <w:szCs w:val="16"/>
                <w:lang w:eastAsia="cs-CZ"/>
              </w:rPr>
              <w:t>N</w:t>
            </w:r>
            <w:r w:rsidRPr="00506D71">
              <w:rPr>
                <w:rFonts w:cs="Tahoma"/>
                <w:color w:val="000000"/>
                <w:sz w:val="16"/>
                <w:szCs w:val="16"/>
                <w:lang w:eastAsia="cs-CZ"/>
              </w:rPr>
              <w:t xml:space="preserve">azionale </w:t>
            </w:r>
            <w:r>
              <w:rPr>
                <w:rFonts w:cs="Tahoma"/>
                <w:color w:val="000000"/>
                <w:sz w:val="16"/>
                <w:szCs w:val="16"/>
                <w:lang w:eastAsia="cs-CZ"/>
              </w:rPr>
              <w:t>D</w:t>
            </w:r>
            <w:r w:rsidRPr="00506D71">
              <w:rPr>
                <w:rFonts w:cs="Tahoma"/>
                <w:color w:val="000000"/>
                <w:sz w:val="16"/>
                <w:szCs w:val="16"/>
                <w:lang w:eastAsia="cs-CZ"/>
              </w:rPr>
              <w:t xml:space="preserve">elle </w:t>
            </w:r>
            <w:r>
              <w:rPr>
                <w:rFonts w:cs="Tahoma"/>
                <w:color w:val="000000"/>
                <w:sz w:val="16"/>
                <w:szCs w:val="16"/>
                <w:lang w:eastAsia="cs-CZ"/>
              </w:rPr>
              <w:t>R</w:t>
            </w:r>
            <w:r w:rsidRPr="00506D71">
              <w:rPr>
                <w:rFonts w:cs="Tahoma"/>
                <w:color w:val="000000"/>
                <w:sz w:val="16"/>
                <w:szCs w:val="16"/>
                <w:lang w:eastAsia="cs-CZ"/>
              </w:rPr>
              <w:t>icerche</w:t>
            </w:r>
          </w:p>
        </w:tc>
        <w:tc>
          <w:tcPr>
            <w:tcW w:w="1134"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IT</w:t>
            </w:r>
          </w:p>
        </w:tc>
        <w:tc>
          <w:tcPr>
            <w:tcW w:w="1701"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574</w:t>
            </w:r>
          </w:p>
        </w:tc>
      </w:tr>
      <w:tr w:rsidR="009D46E6" w:rsidRPr="00DB1559" w:rsidTr="00866283">
        <w:trPr>
          <w:trHeight w:val="227"/>
          <w:jc w:val="center"/>
        </w:trPr>
        <w:tc>
          <w:tcPr>
            <w:tcW w:w="6803" w:type="dxa"/>
            <w:shd w:val="clear" w:color="auto" w:fill="003366"/>
            <w:noWrap/>
            <w:vAlign w:val="center"/>
          </w:tcPr>
          <w:p w:rsidR="009D46E6" w:rsidRPr="00506D71" w:rsidRDefault="009D46E6" w:rsidP="00866283">
            <w:pPr>
              <w:spacing w:after="0" w:line="240" w:lineRule="auto"/>
              <w:jc w:val="left"/>
              <w:rPr>
                <w:rFonts w:cs="Tahoma"/>
                <w:b/>
                <w:bCs/>
                <w:color w:val="FFFFFF"/>
                <w:sz w:val="16"/>
                <w:szCs w:val="16"/>
                <w:lang w:eastAsia="cs-CZ"/>
              </w:rPr>
            </w:pPr>
            <w:r w:rsidRPr="00506D71">
              <w:rPr>
                <w:rFonts w:cs="Tahoma"/>
                <w:b/>
                <w:bCs/>
                <w:color w:val="FFFFFF"/>
                <w:sz w:val="16"/>
                <w:szCs w:val="16"/>
                <w:lang w:eastAsia="cs-CZ"/>
              </w:rPr>
              <w:t>Název instituce</w:t>
            </w:r>
          </w:p>
        </w:tc>
        <w:tc>
          <w:tcPr>
            <w:tcW w:w="1134" w:type="dxa"/>
            <w:shd w:val="clear" w:color="auto" w:fill="003366"/>
            <w:noWrap/>
            <w:vAlign w:val="center"/>
          </w:tcPr>
          <w:p w:rsidR="009D46E6" w:rsidRPr="00506D71" w:rsidRDefault="009D46E6" w:rsidP="00866283">
            <w:pPr>
              <w:spacing w:after="0" w:line="240" w:lineRule="auto"/>
              <w:jc w:val="left"/>
              <w:rPr>
                <w:rFonts w:cs="Tahoma"/>
                <w:b/>
                <w:bCs/>
                <w:color w:val="FFFFFF"/>
                <w:sz w:val="16"/>
                <w:szCs w:val="16"/>
                <w:lang w:eastAsia="cs-CZ"/>
              </w:rPr>
            </w:pPr>
            <w:r>
              <w:rPr>
                <w:rFonts w:cs="Tahoma"/>
                <w:b/>
                <w:bCs/>
                <w:color w:val="FFFFFF"/>
                <w:sz w:val="16"/>
                <w:szCs w:val="16"/>
                <w:lang w:eastAsia="cs-CZ"/>
              </w:rPr>
              <w:t>S</w:t>
            </w:r>
            <w:r w:rsidRPr="00506D71">
              <w:rPr>
                <w:rFonts w:cs="Tahoma"/>
                <w:b/>
                <w:bCs/>
                <w:color w:val="FFFFFF"/>
                <w:sz w:val="16"/>
                <w:szCs w:val="16"/>
                <w:lang w:eastAsia="cs-CZ"/>
              </w:rPr>
              <w:t>tát</w:t>
            </w:r>
          </w:p>
        </w:tc>
        <w:tc>
          <w:tcPr>
            <w:tcW w:w="1701" w:type="dxa"/>
            <w:shd w:val="clear" w:color="auto" w:fill="003366"/>
            <w:noWrap/>
            <w:vAlign w:val="center"/>
          </w:tcPr>
          <w:p w:rsidR="009D46E6" w:rsidRPr="00506D71" w:rsidRDefault="009D46E6" w:rsidP="00866283">
            <w:pPr>
              <w:spacing w:after="0" w:line="240" w:lineRule="auto"/>
              <w:jc w:val="left"/>
              <w:rPr>
                <w:rFonts w:cs="Tahoma"/>
                <w:b/>
                <w:bCs/>
                <w:color w:val="FFFFFF"/>
                <w:sz w:val="16"/>
                <w:szCs w:val="16"/>
                <w:lang w:eastAsia="cs-CZ"/>
              </w:rPr>
            </w:pPr>
            <w:r>
              <w:rPr>
                <w:rFonts w:cs="Tahoma"/>
                <w:b/>
                <w:bCs/>
                <w:color w:val="FFFFFF"/>
                <w:sz w:val="16"/>
                <w:szCs w:val="16"/>
                <w:lang w:eastAsia="cs-CZ"/>
              </w:rPr>
              <w:t>P</w:t>
            </w:r>
            <w:r w:rsidRPr="00506D71">
              <w:rPr>
                <w:rFonts w:cs="Tahoma"/>
                <w:b/>
                <w:bCs/>
                <w:color w:val="FFFFFF"/>
                <w:sz w:val="16"/>
                <w:szCs w:val="16"/>
                <w:lang w:eastAsia="cs-CZ"/>
              </w:rPr>
              <w:t>očet účastí</w:t>
            </w:r>
          </w:p>
        </w:tc>
      </w:tr>
      <w:tr w:rsidR="009D46E6" w:rsidRPr="00DB1559" w:rsidTr="00866283">
        <w:trPr>
          <w:trHeight w:val="227"/>
          <w:jc w:val="center"/>
        </w:trPr>
        <w:tc>
          <w:tcPr>
            <w:tcW w:w="6803"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Univerzita Karlova v Praze</w:t>
            </w:r>
          </w:p>
        </w:tc>
        <w:tc>
          <w:tcPr>
            <w:tcW w:w="1134"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CZ</w:t>
            </w:r>
          </w:p>
        </w:tc>
        <w:tc>
          <w:tcPr>
            <w:tcW w:w="1701"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100</w:t>
            </w:r>
          </w:p>
        </w:tc>
      </w:tr>
      <w:tr w:rsidR="009D46E6" w:rsidRPr="00DB1559" w:rsidTr="00866283">
        <w:trPr>
          <w:trHeight w:val="227"/>
          <w:jc w:val="center"/>
        </w:trPr>
        <w:tc>
          <w:tcPr>
            <w:tcW w:w="6803"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České vysoké učení technické v Praze</w:t>
            </w:r>
          </w:p>
        </w:tc>
        <w:tc>
          <w:tcPr>
            <w:tcW w:w="1134"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CZ</w:t>
            </w:r>
          </w:p>
        </w:tc>
        <w:tc>
          <w:tcPr>
            <w:tcW w:w="1701"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72</w:t>
            </w:r>
          </w:p>
        </w:tc>
      </w:tr>
      <w:tr w:rsidR="009D46E6" w:rsidRPr="00DB1559" w:rsidTr="00866283">
        <w:trPr>
          <w:trHeight w:val="227"/>
          <w:jc w:val="center"/>
        </w:trPr>
        <w:tc>
          <w:tcPr>
            <w:tcW w:w="6803"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Masarykova univerzita</w:t>
            </w:r>
          </w:p>
        </w:tc>
        <w:tc>
          <w:tcPr>
            <w:tcW w:w="1134"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CZ</w:t>
            </w:r>
          </w:p>
        </w:tc>
        <w:tc>
          <w:tcPr>
            <w:tcW w:w="1701"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47</w:t>
            </w:r>
          </w:p>
        </w:tc>
      </w:tr>
      <w:tr w:rsidR="009D46E6" w:rsidRPr="00DB1559" w:rsidTr="00866283">
        <w:trPr>
          <w:trHeight w:val="227"/>
          <w:jc w:val="center"/>
        </w:trPr>
        <w:tc>
          <w:tcPr>
            <w:tcW w:w="6803"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Ústav jaderného výzkumu Řež, a.s.</w:t>
            </w:r>
          </w:p>
        </w:tc>
        <w:tc>
          <w:tcPr>
            <w:tcW w:w="1134"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CZ</w:t>
            </w:r>
          </w:p>
        </w:tc>
        <w:tc>
          <w:tcPr>
            <w:tcW w:w="1701"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32</w:t>
            </w:r>
          </w:p>
        </w:tc>
      </w:tr>
      <w:tr w:rsidR="009D46E6" w:rsidRPr="00DB1559" w:rsidTr="00866283">
        <w:trPr>
          <w:trHeight w:val="227"/>
          <w:jc w:val="center"/>
        </w:trPr>
        <w:tc>
          <w:tcPr>
            <w:tcW w:w="6803"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Vysoké učení technické v Brně</w:t>
            </w:r>
          </w:p>
        </w:tc>
        <w:tc>
          <w:tcPr>
            <w:tcW w:w="1134"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CZ</w:t>
            </w:r>
          </w:p>
        </w:tc>
        <w:tc>
          <w:tcPr>
            <w:tcW w:w="1701"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28</w:t>
            </w:r>
          </w:p>
        </w:tc>
      </w:tr>
      <w:tr w:rsidR="009D46E6" w:rsidRPr="00DB1559" w:rsidTr="00866283">
        <w:trPr>
          <w:trHeight w:val="227"/>
          <w:jc w:val="center"/>
        </w:trPr>
        <w:tc>
          <w:tcPr>
            <w:tcW w:w="6803"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Technologické centrum AV ČR</w:t>
            </w:r>
          </w:p>
        </w:tc>
        <w:tc>
          <w:tcPr>
            <w:tcW w:w="1134"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CZ</w:t>
            </w:r>
          </w:p>
        </w:tc>
        <w:tc>
          <w:tcPr>
            <w:tcW w:w="1701"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25</w:t>
            </w:r>
          </w:p>
        </w:tc>
      </w:tr>
      <w:tr w:rsidR="009D46E6" w:rsidRPr="00DB1559" w:rsidTr="00866283">
        <w:trPr>
          <w:trHeight w:val="227"/>
          <w:jc w:val="center"/>
        </w:trPr>
        <w:tc>
          <w:tcPr>
            <w:tcW w:w="6803"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Vysoká škola chemicko-technologická v Praze</w:t>
            </w:r>
          </w:p>
        </w:tc>
        <w:tc>
          <w:tcPr>
            <w:tcW w:w="1134"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CZ</w:t>
            </w:r>
          </w:p>
        </w:tc>
        <w:tc>
          <w:tcPr>
            <w:tcW w:w="1701"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24</w:t>
            </w:r>
          </w:p>
        </w:tc>
      </w:tr>
      <w:tr w:rsidR="009D46E6" w:rsidRPr="00DB1559" w:rsidTr="00866283">
        <w:trPr>
          <w:trHeight w:val="227"/>
          <w:jc w:val="center"/>
        </w:trPr>
        <w:tc>
          <w:tcPr>
            <w:tcW w:w="6803"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Fyzikální ústav AV ČR, v.v.i.</w:t>
            </w:r>
          </w:p>
        </w:tc>
        <w:tc>
          <w:tcPr>
            <w:tcW w:w="1134"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CZ</w:t>
            </w:r>
          </w:p>
        </w:tc>
        <w:tc>
          <w:tcPr>
            <w:tcW w:w="1701"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21</w:t>
            </w:r>
          </w:p>
        </w:tc>
      </w:tr>
      <w:tr w:rsidR="009D46E6" w:rsidRPr="00DB1559" w:rsidTr="00866283">
        <w:trPr>
          <w:trHeight w:val="227"/>
          <w:jc w:val="center"/>
        </w:trPr>
        <w:tc>
          <w:tcPr>
            <w:tcW w:w="6803"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Výzkumný a zkušební letecký ústav, a.s.</w:t>
            </w:r>
          </w:p>
        </w:tc>
        <w:tc>
          <w:tcPr>
            <w:tcW w:w="1134"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CZ</w:t>
            </w:r>
          </w:p>
        </w:tc>
        <w:tc>
          <w:tcPr>
            <w:tcW w:w="1701"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16</w:t>
            </w:r>
          </w:p>
        </w:tc>
      </w:tr>
      <w:tr w:rsidR="009D46E6" w:rsidRPr="00DB1559" w:rsidTr="00866283">
        <w:trPr>
          <w:trHeight w:val="227"/>
          <w:jc w:val="center"/>
        </w:trPr>
        <w:tc>
          <w:tcPr>
            <w:tcW w:w="6803"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Centrum dopravního výzkumu, v.v.i.</w:t>
            </w:r>
          </w:p>
        </w:tc>
        <w:tc>
          <w:tcPr>
            <w:tcW w:w="1134"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CZ</w:t>
            </w:r>
          </w:p>
        </w:tc>
        <w:tc>
          <w:tcPr>
            <w:tcW w:w="1701" w:type="dxa"/>
            <w:noWrap/>
            <w:vAlign w:val="center"/>
          </w:tcPr>
          <w:p w:rsidR="009D46E6" w:rsidRPr="00506D71" w:rsidRDefault="009D46E6" w:rsidP="00866283">
            <w:pPr>
              <w:spacing w:after="0" w:line="240" w:lineRule="auto"/>
              <w:jc w:val="left"/>
              <w:rPr>
                <w:rFonts w:cs="Tahoma"/>
                <w:color w:val="000000"/>
                <w:sz w:val="16"/>
                <w:szCs w:val="16"/>
                <w:lang w:eastAsia="cs-CZ"/>
              </w:rPr>
            </w:pPr>
            <w:r w:rsidRPr="00506D71">
              <w:rPr>
                <w:rFonts w:cs="Tahoma"/>
                <w:color w:val="000000"/>
                <w:sz w:val="16"/>
                <w:szCs w:val="16"/>
                <w:lang w:eastAsia="cs-CZ"/>
              </w:rPr>
              <w:t>15</w:t>
            </w:r>
          </w:p>
        </w:tc>
      </w:tr>
    </w:tbl>
    <w:p w:rsidR="009D46E6" w:rsidRPr="00BD5EC7" w:rsidRDefault="009D46E6" w:rsidP="00866283">
      <w:pPr>
        <w:pStyle w:val="Zdroj"/>
      </w:pPr>
      <w:r w:rsidRPr="00BD5EC7">
        <w:t xml:space="preserve">Zdroj: </w:t>
      </w:r>
      <w:r w:rsidRPr="0053064E">
        <w:t>E-CORDA</w:t>
      </w:r>
    </w:p>
    <w:p w:rsidR="009D46E6" w:rsidRDefault="009D46E6" w:rsidP="00866283"/>
    <w:p w:rsidR="009D46E6" w:rsidRDefault="009D46E6" w:rsidP="003C6E2E">
      <w:pPr>
        <w:pStyle w:val="Heading3"/>
      </w:pPr>
      <w:bookmarkStart w:id="223" w:name="_Toc369091908"/>
      <w:r>
        <w:t>Nový rámcový program HORIZONT 2020</w:t>
      </w:r>
      <w:bookmarkEnd w:id="223"/>
    </w:p>
    <w:p w:rsidR="009D46E6" w:rsidRDefault="009D46E6" w:rsidP="00866283">
      <w:r>
        <w:t>Počátkem července 2013 schválily Evropský parlament a Rada ministrů rozpočet nadcházejícího Rámcového programu EU pro výzkum a inovace Horizont 2020 (H2020), který bude zahájen v lednu 2014. Program Horizont 2020 má být největším a nejvýznamnějším programem pro financování evropské vědy, výzkumu a inovací v období 2014 až 2020 a jeho rozpočet bude tvořit více než 70 mld. Eur. Program H2020 plynule navazuje na předchozí rámcové programy pro výzkum a inovace (zejména na 7. RP) vyhlašované EU.</w:t>
      </w:r>
    </w:p>
    <w:p w:rsidR="009D46E6" w:rsidRDefault="009D46E6" w:rsidP="00866283">
      <w:r>
        <w:t>Oproti 7. RP bude mít program H2020 řadu nových prvků, které mají napomoci rychle a efektivně řešit problémy současnosti, zabezpečit dlouhodobý udržitelný růst a zajistit konkurenceschopnost Evropy. Větší důraz bude kladen na podporu inovací, což se prakticky projeví například v zavedení nových úvěrových nástrojů a v podpoře inovací u MSP. Program H2020 v sobě integruje také dřívější Rámcový program pro konkurenceschopnost a inovace (CIP) a Evropský inovační a technologický institut (EIT). Podporována bude návaznost na strukturální fondy a na jiné programy EU. Na rozdíl od 7. RP se počítá také s větší podporou tzv. bottom-up (zdola-nahoru) přístupu při formulaci výzkumných témat, většími možnostmi pro mladé vědce, větším propojením výzkumu a inovací s tržními principy a s větším důrazem na vytváření podnikatelských a pracovních příležitostí.</w:t>
      </w:r>
    </w:p>
    <w:p w:rsidR="009D46E6" w:rsidRDefault="009D46E6" w:rsidP="00866283">
      <w:r>
        <w:t>Struktura H2020 je tvořena třemi hlavními, vzájemně se posilujícími prioritami – vynikající věda, vedoucí postavení průmyslu a společenské výzvy. Přestože je struktura H2020 poněkud odlišná od 7. RP, hlavní oblasti výzkumných aktivit zůstávají zachovány. Pro rychlou orientaci v tematických prioritách obou rámcových programů může sloužit tabulka E.2, která uvádí rovněž procentní rozdělení finanční podpory v jednotlivých prioritách H2020.</w:t>
      </w:r>
    </w:p>
    <w:p w:rsidR="009D46E6" w:rsidRDefault="009D46E6" w:rsidP="00866283">
      <w:r>
        <w:t>Program H2020 není homogenním programem a k základní struktuře je třeba přičíst celou řadu nástrojů a programů, které mají vzhledem k H2020 jistou autonomii a které vyhlašují vlastní výzvy k podání návrhů projektů. Těmito nástroji jsou například sítě ERA-NET, Společné technologické iniciativy (JTI) nebo Inciativy společného programování (JPI). Očekává se, že zjednodušení pravidel účasti a celkově uživatelsky přátelštější ladění programu H2020 přispěje k vyšší účasti ČR v jeho budoucích projektech.</w:t>
      </w:r>
    </w:p>
    <w:p w:rsidR="009D46E6" w:rsidRDefault="009D46E6" w:rsidP="00866283"/>
    <w:p w:rsidR="009D46E6" w:rsidRPr="00BC1D05" w:rsidRDefault="009D46E6" w:rsidP="00750D9B">
      <w:pPr>
        <w:pStyle w:val="Caption"/>
      </w:pPr>
      <w:bookmarkStart w:id="224" w:name="_Toc369091935"/>
      <w:r>
        <w:t xml:space="preserve">Tabulka </w:t>
      </w:r>
      <w:fldSimple w:instr=" STYLEREF 1 \s ">
        <w:r>
          <w:rPr>
            <w:noProof/>
          </w:rPr>
          <w:t>E</w:t>
        </w:r>
      </w:fldSimple>
      <w:r>
        <w:t>.</w:t>
      </w:r>
      <w:fldSimple w:instr=" SEQ Tabulka \* ARABIC \s 1 ">
        <w:r>
          <w:rPr>
            <w:noProof/>
          </w:rPr>
          <w:t>2</w:t>
        </w:r>
      </w:fldSimple>
      <w:r w:rsidRPr="00BC1D05">
        <w:t>:</w:t>
      </w:r>
      <w:r>
        <w:t xml:space="preserve"> </w:t>
      </w:r>
      <w:r w:rsidRPr="00743BB6">
        <w:t xml:space="preserve">Tematický průnik </w:t>
      </w:r>
      <w:r>
        <w:t>H2020</w:t>
      </w:r>
      <w:r w:rsidRPr="00743BB6">
        <w:t xml:space="preserve"> a </w:t>
      </w:r>
      <w:r>
        <w:t>7. RP</w:t>
      </w:r>
      <w:r w:rsidRPr="00743BB6">
        <w:t xml:space="preserve">, rozpočet </w:t>
      </w:r>
      <w:r>
        <w:t>H2020</w:t>
      </w:r>
      <w:bookmarkEnd w:id="224"/>
    </w:p>
    <w:tbl>
      <w:tblPr>
        <w:tblW w:w="9638" w:type="dxa"/>
        <w:jc w:val="center"/>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left w:w="70" w:type="dxa"/>
          <w:right w:w="70" w:type="dxa"/>
        </w:tblCellMar>
        <w:tblLook w:val="00A0"/>
      </w:tblPr>
      <w:tblGrid>
        <w:gridCol w:w="1134"/>
        <w:gridCol w:w="5556"/>
        <w:gridCol w:w="1984"/>
        <w:gridCol w:w="964"/>
      </w:tblGrid>
      <w:tr w:rsidR="009D46E6" w:rsidRPr="00DB1559" w:rsidTr="00866283">
        <w:trPr>
          <w:trHeight w:val="227"/>
          <w:jc w:val="center"/>
        </w:trPr>
        <w:tc>
          <w:tcPr>
            <w:tcW w:w="1134" w:type="dxa"/>
            <w:shd w:val="clear" w:color="auto" w:fill="003366"/>
            <w:noWrap/>
            <w:vAlign w:val="center"/>
          </w:tcPr>
          <w:p w:rsidR="009D46E6" w:rsidRPr="0055772E" w:rsidRDefault="009D46E6" w:rsidP="00866283">
            <w:pPr>
              <w:spacing w:after="0" w:line="240" w:lineRule="auto"/>
              <w:jc w:val="left"/>
              <w:rPr>
                <w:rFonts w:cs="Tahoma"/>
                <w:color w:val="FFFFFF"/>
                <w:sz w:val="16"/>
                <w:szCs w:val="16"/>
                <w:lang w:eastAsia="cs-CZ"/>
              </w:rPr>
            </w:pPr>
            <w:r w:rsidRPr="0055772E">
              <w:rPr>
                <w:rFonts w:cs="Tahoma"/>
                <w:color w:val="FFFFFF"/>
                <w:sz w:val="16"/>
                <w:szCs w:val="16"/>
                <w:lang w:eastAsia="cs-CZ"/>
              </w:rPr>
              <w:t>Horizont 2020</w:t>
            </w:r>
          </w:p>
        </w:tc>
        <w:tc>
          <w:tcPr>
            <w:tcW w:w="5556" w:type="dxa"/>
            <w:shd w:val="clear" w:color="auto" w:fill="003366"/>
            <w:noWrap/>
            <w:vAlign w:val="center"/>
          </w:tcPr>
          <w:p w:rsidR="009D46E6" w:rsidRPr="0055772E" w:rsidRDefault="009D46E6" w:rsidP="00866283">
            <w:pPr>
              <w:spacing w:after="0" w:line="240" w:lineRule="auto"/>
              <w:jc w:val="left"/>
              <w:rPr>
                <w:rFonts w:cs="Tahoma"/>
                <w:color w:val="FFFFFF"/>
                <w:sz w:val="16"/>
                <w:szCs w:val="16"/>
                <w:lang w:eastAsia="cs-CZ"/>
              </w:rPr>
            </w:pPr>
          </w:p>
        </w:tc>
        <w:tc>
          <w:tcPr>
            <w:tcW w:w="1984" w:type="dxa"/>
            <w:shd w:val="clear" w:color="auto" w:fill="003366"/>
            <w:noWrap/>
            <w:vAlign w:val="center"/>
          </w:tcPr>
          <w:p w:rsidR="009D46E6" w:rsidRPr="0055772E" w:rsidRDefault="009D46E6" w:rsidP="00866283">
            <w:pPr>
              <w:spacing w:after="0" w:line="240" w:lineRule="auto"/>
              <w:jc w:val="left"/>
              <w:rPr>
                <w:rFonts w:cs="Tahoma"/>
                <w:color w:val="FFFFFF"/>
                <w:sz w:val="16"/>
                <w:szCs w:val="16"/>
                <w:lang w:eastAsia="cs-CZ"/>
              </w:rPr>
            </w:pPr>
            <w:r>
              <w:rPr>
                <w:rFonts w:cs="Tahoma"/>
                <w:color w:val="FFFFFF"/>
                <w:sz w:val="16"/>
                <w:szCs w:val="16"/>
                <w:lang w:eastAsia="cs-CZ"/>
              </w:rPr>
              <w:t>7. RP</w:t>
            </w:r>
          </w:p>
        </w:tc>
        <w:tc>
          <w:tcPr>
            <w:tcW w:w="964" w:type="dxa"/>
            <w:shd w:val="clear" w:color="auto" w:fill="003366"/>
            <w:noWrap/>
            <w:vAlign w:val="center"/>
          </w:tcPr>
          <w:p w:rsidR="009D46E6" w:rsidRPr="0055772E" w:rsidRDefault="009D46E6" w:rsidP="00866283">
            <w:pPr>
              <w:spacing w:after="0" w:line="240" w:lineRule="auto"/>
              <w:jc w:val="left"/>
              <w:rPr>
                <w:rFonts w:cs="Tahoma"/>
                <w:color w:val="FFFFFF"/>
                <w:sz w:val="16"/>
                <w:szCs w:val="16"/>
                <w:lang w:eastAsia="cs-CZ"/>
              </w:rPr>
            </w:pPr>
            <w:r w:rsidRPr="0055772E">
              <w:rPr>
                <w:rFonts w:cs="Tahoma"/>
                <w:color w:val="FFFFFF"/>
                <w:sz w:val="16"/>
                <w:szCs w:val="16"/>
                <w:lang w:eastAsia="cs-CZ"/>
              </w:rPr>
              <w:t>Rozpočet H2020 [%]</w:t>
            </w:r>
          </w:p>
        </w:tc>
      </w:tr>
      <w:tr w:rsidR="009D46E6" w:rsidRPr="00DB1559" w:rsidTr="00866283">
        <w:trPr>
          <w:trHeight w:val="227"/>
          <w:jc w:val="center"/>
        </w:trPr>
        <w:tc>
          <w:tcPr>
            <w:tcW w:w="1134" w:type="dxa"/>
            <w:vMerge w:val="restart"/>
            <w:shd w:val="clear" w:color="auto" w:fill="003366"/>
            <w:noWrap/>
            <w:vAlign w:val="center"/>
          </w:tcPr>
          <w:p w:rsidR="009D46E6" w:rsidRPr="0055772E" w:rsidRDefault="009D46E6" w:rsidP="00866283">
            <w:pPr>
              <w:spacing w:after="0" w:line="240" w:lineRule="auto"/>
              <w:jc w:val="left"/>
              <w:rPr>
                <w:rFonts w:cs="Tahoma"/>
                <w:color w:val="FFFFFF"/>
                <w:sz w:val="16"/>
                <w:szCs w:val="16"/>
                <w:lang w:eastAsia="cs-CZ"/>
              </w:rPr>
            </w:pPr>
            <w:r w:rsidRPr="0055772E">
              <w:rPr>
                <w:rFonts w:cs="Tahoma"/>
                <w:color w:val="FFFFFF"/>
                <w:sz w:val="16"/>
                <w:szCs w:val="16"/>
                <w:lang w:eastAsia="cs-CZ"/>
              </w:rPr>
              <w:t xml:space="preserve">I. Vynikající věda </w:t>
            </w:r>
          </w:p>
        </w:tc>
        <w:tc>
          <w:tcPr>
            <w:tcW w:w="5556"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Evropská výzkumná rada (ERC)</w:t>
            </w:r>
          </w:p>
        </w:tc>
        <w:tc>
          <w:tcPr>
            <w:tcW w:w="198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SP Myšlenky</w:t>
            </w:r>
          </w:p>
        </w:tc>
        <w:tc>
          <w:tcPr>
            <w:tcW w:w="96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17</w:t>
            </w:r>
            <w:r>
              <w:rPr>
                <w:rFonts w:cs="Tahoma"/>
                <w:color w:val="000000"/>
                <w:sz w:val="16"/>
                <w:szCs w:val="16"/>
                <w:lang w:eastAsia="cs-CZ"/>
              </w:rPr>
              <w:t>,00</w:t>
            </w:r>
          </w:p>
        </w:tc>
      </w:tr>
      <w:tr w:rsidR="009D46E6" w:rsidRPr="00DB1559" w:rsidTr="00866283">
        <w:trPr>
          <w:trHeight w:val="227"/>
          <w:jc w:val="center"/>
        </w:trPr>
        <w:tc>
          <w:tcPr>
            <w:tcW w:w="1134" w:type="dxa"/>
            <w:vMerge/>
            <w:shd w:val="clear" w:color="auto" w:fill="003366"/>
            <w:noWrap/>
            <w:vAlign w:val="center"/>
          </w:tcPr>
          <w:p w:rsidR="009D46E6" w:rsidRPr="0055772E" w:rsidRDefault="009D46E6" w:rsidP="00866283">
            <w:pPr>
              <w:spacing w:after="0" w:line="240" w:lineRule="auto"/>
              <w:jc w:val="left"/>
              <w:rPr>
                <w:rFonts w:cs="Tahoma"/>
                <w:color w:val="FFFFFF"/>
                <w:sz w:val="16"/>
                <w:szCs w:val="16"/>
                <w:lang w:eastAsia="cs-CZ"/>
              </w:rPr>
            </w:pPr>
          </w:p>
        </w:tc>
        <w:tc>
          <w:tcPr>
            <w:tcW w:w="5556"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Budoucí a vznikající technologie (FET)</w:t>
            </w:r>
          </w:p>
        </w:tc>
        <w:tc>
          <w:tcPr>
            <w:tcW w:w="198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SP Spolupráce (ICT, NMP)</w:t>
            </w:r>
          </w:p>
        </w:tc>
        <w:tc>
          <w:tcPr>
            <w:tcW w:w="96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3,5</w:t>
            </w:r>
            <w:r>
              <w:rPr>
                <w:rFonts w:cs="Tahoma"/>
                <w:color w:val="000000"/>
                <w:sz w:val="16"/>
                <w:szCs w:val="16"/>
                <w:lang w:eastAsia="cs-CZ"/>
              </w:rPr>
              <w:t>0</w:t>
            </w:r>
          </w:p>
        </w:tc>
      </w:tr>
      <w:tr w:rsidR="009D46E6" w:rsidRPr="00DB1559" w:rsidTr="00866283">
        <w:trPr>
          <w:trHeight w:val="227"/>
          <w:jc w:val="center"/>
        </w:trPr>
        <w:tc>
          <w:tcPr>
            <w:tcW w:w="1134" w:type="dxa"/>
            <w:vMerge/>
            <w:shd w:val="clear" w:color="auto" w:fill="003366"/>
            <w:noWrap/>
            <w:vAlign w:val="center"/>
          </w:tcPr>
          <w:p w:rsidR="009D46E6" w:rsidRPr="0055772E" w:rsidRDefault="009D46E6" w:rsidP="00866283">
            <w:pPr>
              <w:spacing w:after="0" w:line="240" w:lineRule="auto"/>
              <w:jc w:val="left"/>
              <w:rPr>
                <w:rFonts w:cs="Tahoma"/>
                <w:color w:val="FFFFFF"/>
                <w:sz w:val="16"/>
                <w:szCs w:val="16"/>
                <w:lang w:eastAsia="cs-CZ"/>
              </w:rPr>
            </w:pPr>
          </w:p>
        </w:tc>
        <w:tc>
          <w:tcPr>
            <w:tcW w:w="5556"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Marie Sklodowska-Curie akce (MSCA)</w:t>
            </w:r>
          </w:p>
        </w:tc>
        <w:tc>
          <w:tcPr>
            <w:tcW w:w="198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SP Lidé</w:t>
            </w:r>
          </w:p>
        </w:tc>
        <w:tc>
          <w:tcPr>
            <w:tcW w:w="96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8</w:t>
            </w:r>
            <w:r>
              <w:rPr>
                <w:rFonts w:cs="Tahoma"/>
                <w:color w:val="000000"/>
                <w:sz w:val="16"/>
                <w:szCs w:val="16"/>
                <w:lang w:eastAsia="cs-CZ"/>
              </w:rPr>
              <w:t>,00</w:t>
            </w:r>
          </w:p>
        </w:tc>
      </w:tr>
      <w:tr w:rsidR="009D46E6" w:rsidRPr="00DB1559" w:rsidTr="00866283">
        <w:trPr>
          <w:trHeight w:val="227"/>
          <w:jc w:val="center"/>
        </w:trPr>
        <w:tc>
          <w:tcPr>
            <w:tcW w:w="1134" w:type="dxa"/>
            <w:vMerge/>
            <w:shd w:val="clear" w:color="auto" w:fill="003366"/>
            <w:noWrap/>
            <w:vAlign w:val="center"/>
          </w:tcPr>
          <w:p w:rsidR="009D46E6" w:rsidRPr="0055772E" w:rsidRDefault="009D46E6" w:rsidP="00866283">
            <w:pPr>
              <w:spacing w:after="0" w:line="240" w:lineRule="auto"/>
              <w:jc w:val="left"/>
              <w:rPr>
                <w:rFonts w:cs="Tahoma"/>
                <w:color w:val="FFFFFF"/>
                <w:sz w:val="16"/>
                <w:szCs w:val="16"/>
                <w:lang w:eastAsia="cs-CZ"/>
              </w:rPr>
            </w:pPr>
          </w:p>
        </w:tc>
        <w:tc>
          <w:tcPr>
            <w:tcW w:w="5556"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Evropské výzkumné infrastruktury (včetně e-infrastruktur)</w:t>
            </w:r>
          </w:p>
        </w:tc>
        <w:tc>
          <w:tcPr>
            <w:tcW w:w="198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SP Kapacity (INFRA)</w:t>
            </w:r>
          </w:p>
        </w:tc>
        <w:tc>
          <w:tcPr>
            <w:tcW w:w="96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3,23</w:t>
            </w:r>
          </w:p>
        </w:tc>
      </w:tr>
      <w:tr w:rsidR="009D46E6" w:rsidRPr="00DB1559" w:rsidTr="00866283">
        <w:trPr>
          <w:trHeight w:val="227"/>
          <w:jc w:val="center"/>
        </w:trPr>
        <w:tc>
          <w:tcPr>
            <w:tcW w:w="1134" w:type="dxa"/>
            <w:vMerge w:val="restart"/>
            <w:shd w:val="clear" w:color="auto" w:fill="003366"/>
            <w:noWrap/>
            <w:vAlign w:val="center"/>
          </w:tcPr>
          <w:p w:rsidR="009D46E6" w:rsidRPr="0055772E" w:rsidRDefault="009D46E6" w:rsidP="00866283">
            <w:pPr>
              <w:spacing w:after="0" w:line="240" w:lineRule="auto"/>
              <w:jc w:val="left"/>
              <w:rPr>
                <w:rFonts w:cs="Tahoma"/>
                <w:color w:val="FFFFFF"/>
                <w:sz w:val="16"/>
                <w:szCs w:val="16"/>
                <w:lang w:eastAsia="cs-CZ"/>
              </w:rPr>
            </w:pPr>
            <w:r w:rsidRPr="0055772E">
              <w:rPr>
                <w:rFonts w:cs="Tahoma"/>
                <w:color w:val="FFFFFF"/>
                <w:sz w:val="16"/>
                <w:szCs w:val="16"/>
                <w:lang w:eastAsia="cs-CZ"/>
              </w:rPr>
              <w:t>II. Vedoucí postavení průmyslu</w:t>
            </w:r>
          </w:p>
        </w:tc>
        <w:tc>
          <w:tcPr>
            <w:tcW w:w="5556"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Průlomové a průmyslové technologie  - ICT, NMP, pokročilé materiály,</w:t>
            </w:r>
            <w:r>
              <w:rPr>
                <w:rFonts w:cs="Tahoma"/>
                <w:color w:val="000000"/>
                <w:sz w:val="16"/>
                <w:szCs w:val="16"/>
                <w:lang w:eastAsia="cs-CZ"/>
              </w:rPr>
              <w:t xml:space="preserve"> </w:t>
            </w:r>
            <w:r w:rsidRPr="0055772E">
              <w:rPr>
                <w:rFonts w:cs="Tahoma"/>
                <w:color w:val="000000"/>
                <w:sz w:val="16"/>
                <w:szCs w:val="16"/>
                <w:lang w:eastAsia="cs-CZ"/>
              </w:rPr>
              <w:t>biotechnologie, pokročilé výrobní systémy, vesmírné aplikace</w:t>
            </w:r>
          </w:p>
        </w:tc>
        <w:tc>
          <w:tcPr>
            <w:tcW w:w="198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SP Spolupráce (ICT, NMP, KBBE, SPA ...)</w:t>
            </w:r>
          </w:p>
        </w:tc>
        <w:tc>
          <w:tcPr>
            <w:tcW w:w="96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17,6</w:t>
            </w:r>
          </w:p>
        </w:tc>
      </w:tr>
      <w:tr w:rsidR="009D46E6" w:rsidRPr="00DB1559" w:rsidTr="00866283">
        <w:trPr>
          <w:trHeight w:val="227"/>
          <w:jc w:val="center"/>
        </w:trPr>
        <w:tc>
          <w:tcPr>
            <w:tcW w:w="1134" w:type="dxa"/>
            <w:vMerge/>
            <w:shd w:val="clear" w:color="auto" w:fill="003366"/>
            <w:noWrap/>
            <w:vAlign w:val="center"/>
          </w:tcPr>
          <w:p w:rsidR="009D46E6" w:rsidRPr="0055772E" w:rsidRDefault="009D46E6" w:rsidP="00866283">
            <w:pPr>
              <w:spacing w:after="0" w:line="240" w:lineRule="auto"/>
              <w:jc w:val="left"/>
              <w:rPr>
                <w:rFonts w:cs="Tahoma"/>
                <w:color w:val="FFFFFF"/>
                <w:sz w:val="16"/>
                <w:szCs w:val="16"/>
                <w:lang w:eastAsia="cs-CZ"/>
              </w:rPr>
            </w:pPr>
          </w:p>
        </w:tc>
        <w:tc>
          <w:tcPr>
            <w:tcW w:w="5556"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Přístup k rizikovému financování výzkumu a inovací</w:t>
            </w:r>
          </w:p>
        </w:tc>
        <w:tc>
          <w:tcPr>
            <w:tcW w:w="198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x</w:t>
            </w:r>
          </w:p>
        </w:tc>
        <w:tc>
          <w:tcPr>
            <w:tcW w:w="96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3,69</w:t>
            </w:r>
          </w:p>
        </w:tc>
      </w:tr>
      <w:tr w:rsidR="009D46E6" w:rsidRPr="00DB1559" w:rsidTr="00866283">
        <w:trPr>
          <w:trHeight w:val="227"/>
          <w:jc w:val="center"/>
        </w:trPr>
        <w:tc>
          <w:tcPr>
            <w:tcW w:w="1134" w:type="dxa"/>
            <w:vMerge/>
            <w:shd w:val="clear" w:color="auto" w:fill="003366"/>
            <w:noWrap/>
            <w:vAlign w:val="center"/>
          </w:tcPr>
          <w:p w:rsidR="009D46E6" w:rsidRPr="0055772E" w:rsidRDefault="009D46E6" w:rsidP="00866283">
            <w:pPr>
              <w:spacing w:after="0" w:line="240" w:lineRule="auto"/>
              <w:jc w:val="left"/>
              <w:rPr>
                <w:rFonts w:cs="Tahoma"/>
                <w:color w:val="FFFFFF"/>
                <w:sz w:val="16"/>
                <w:szCs w:val="16"/>
                <w:lang w:eastAsia="cs-CZ"/>
              </w:rPr>
            </w:pPr>
          </w:p>
        </w:tc>
        <w:tc>
          <w:tcPr>
            <w:tcW w:w="5556"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Inovace v MSP</w:t>
            </w:r>
          </w:p>
        </w:tc>
        <w:tc>
          <w:tcPr>
            <w:tcW w:w="198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SP Kapacity (SME)</w:t>
            </w:r>
          </w:p>
        </w:tc>
        <w:tc>
          <w:tcPr>
            <w:tcW w:w="96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0,8</w:t>
            </w:r>
            <w:r>
              <w:rPr>
                <w:rFonts w:cs="Tahoma"/>
                <w:color w:val="000000"/>
                <w:sz w:val="16"/>
                <w:szCs w:val="16"/>
                <w:lang w:eastAsia="cs-CZ"/>
              </w:rPr>
              <w:t>0</w:t>
            </w:r>
          </w:p>
        </w:tc>
      </w:tr>
      <w:tr w:rsidR="009D46E6" w:rsidRPr="00DB1559" w:rsidTr="00866283">
        <w:trPr>
          <w:trHeight w:val="227"/>
          <w:jc w:val="center"/>
        </w:trPr>
        <w:tc>
          <w:tcPr>
            <w:tcW w:w="1134" w:type="dxa"/>
            <w:vMerge w:val="restart"/>
            <w:shd w:val="clear" w:color="auto" w:fill="003366"/>
            <w:noWrap/>
            <w:vAlign w:val="center"/>
          </w:tcPr>
          <w:p w:rsidR="009D46E6" w:rsidRPr="0055772E" w:rsidRDefault="009D46E6" w:rsidP="00866283">
            <w:pPr>
              <w:spacing w:after="0" w:line="240" w:lineRule="auto"/>
              <w:jc w:val="left"/>
              <w:rPr>
                <w:rFonts w:cs="Tahoma"/>
                <w:color w:val="FFFFFF"/>
                <w:sz w:val="16"/>
                <w:szCs w:val="16"/>
                <w:lang w:eastAsia="cs-CZ"/>
              </w:rPr>
            </w:pPr>
            <w:r w:rsidRPr="0055772E">
              <w:rPr>
                <w:rFonts w:cs="Tahoma"/>
                <w:color w:val="FFFFFF"/>
                <w:sz w:val="16"/>
                <w:szCs w:val="16"/>
                <w:lang w:eastAsia="cs-CZ"/>
              </w:rPr>
              <w:t>III. Společenské výzvy</w:t>
            </w:r>
          </w:p>
        </w:tc>
        <w:tc>
          <w:tcPr>
            <w:tcW w:w="5556"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Zdraví, demografická změna a životní pohoda</w:t>
            </w:r>
          </w:p>
        </w:tc>
        <w:tc>
          <w:tcPr>
            <w:tcW w:w="198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SP Spolupráce (HEALTH)</w:t>
            </w:r>
          </w:p>
        </w:tc>
        <w:tc>
          <w:tcPr>
            <w:tcW w:w="96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9,7</w:t>
            </w:r>
            <w:r>
              <w:rPr>
                <w:rFonts w:cs="Tahoma"/>
                <w:color w:val="000000"/>
                <w:sz w:val="16"/>
                <w:szCs w:val="16"/>
                <w:lang w:eastAsia="cs-CZ"/>
              </w:rPr>
              <w:t>0</w:t>
            </w:r>
          </w:p>
        </w:tc>
      </w:tr>
      <w:tr w:rsidR="009D46E6" w:rsidRPr="00DB1559" w:rsidTr="00866283">
        <w:trPr>
          <w:trHeight w:val="227"/>
          <w:jc w:val="center"/>
        </w:trPr>
        <w:tc>
          <w:tcPr>
            <w:tcW w:w="1134" w:type="dxa"/>
            <w:vMerge/>
            <w:shd w:val="clear" w:color="auto" w:fill="003366"/>
            <w:noWrap/>
            <w:vAlign w:val="center"/>
          </w:tcPr>
          <w:p w:rsidR="009D46E6" w:rsidRPr="0055772E" w:rsidRDefault="009D46E6" w:rsidP="00866283">
            <w:pPr>
              <w:spacing w:after="0" w:line="240" w:lineRule="auto"/>
              <w:jc w:val="left"/>
              <w:rPr>
                <w:rFonts w:cs="Tahoma"/>
                <w:color w:val="FFFFFF"/>
                <w:sz w:val="16"/>
                <w:szCs w:val="16"/>
                <w:lang w:eastAsia="cs-CZ"/>
              </w:rPr>
            </w:pPr>
          </w:p>
        </w:tc>
        <w:tc>
          <w:tcPr>
            <w:tcW w:w="5556"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Potravinové zabezpečení, udržitelné zemědělství, mořský výzkum a bioekonomika</w:t>
            </w:r>
          </w:p>
        </w:tc>
        <w:tc>
          <w:tcPr>
            <w:tcW w:w="198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SP Spolupráce (KBBE)</w:t>
            </w:r>
          </w:p>
        </w:tc>
        <w:tc>
          <w:tcPr>
            <w:tcW w:w="96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5</w:t>
            </w:r>
            <w:r>
              <w:rPr>
                <w:rFonts w:cs="Tahoma"/>
                <w:color w:val="000000"/>
                <w:sz w:val="16"/>
                <w:szCs w:val="16"/>
                <w:lang w:eastAsia="cs-CZ"/>
              </w:rPr>
              <w:t>,00</w:t>
            </w:r>
          </w:p>
        </w:tc>
      </w:tr>
      <w:tr w:rsidR="009D46E6" w:rsidRPr="00DB1559" w:rsidTr="00866283">
        <w:trPr>
          <w:trHeight w:val="227"/>
          <w:jc w:val="center"/>
        </w:trPr>
        <w:tc>
          <w:tcPr>
            <w:tcW w:w="1134" w:type="dxa"/>
            <w:vMerge/>
            <w:shd w:val="clear" w:color="auto" w:fill="003366"/>
            <w:noWrap/>
            <w:vAlign w:val="center"/>
          </w:tcPr>
          <w:p w:rsidR="009D46E6" w:rsidRPr="0055772E" w:rsidRDefault="009D46E6" w:rsidP="00866283">
            <w:pPr>
              <w:spacing w:after="0" w:line="240" w:lineRule="auto"/>
              <w:jc w:val="left"/>
              <w:rPr>
                <w:rFonts w:cs="Tahoma"/>
                <w:color w:val="FFFFFF"/>
                <w:sz w:val="16"/>
                <w:szCs w:val="16"/>
                <w:lang w:eastAsia="cs-CZ"/>
              </w:rPr>
            </w:pPr>
          </w:p>
        </w:tc>
        <w:tc>
          <w:tcPr>
            <w:tcW w:w="5556"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Bezpečné, čisté a účinné energie</w:t>
            </w:r>
          </w:p>
        </w:tc>
        <w:tc>
          <w:tcPr>
            <w:tcW w:w="198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SP Spolupráce ( ENERGY,  SEC)</w:t>
            </w:r>
          </w:p>
        </w:tc>
        <w:tc>
          <w:tcPr>
            <w:tcW w:w="96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7,7</w:t>
            </w:r>
            <w:r>
              <w:rPr>
                <w:rFonts w:cs="Tahoma"/>
                <w:color w:val="000000"/>
                <w:sz w:val="16"/>
                <w:szCs w:val="16"/>
                <w:lang w:eastAsia="cs-CZ"/>
              </w:rPr>
              <w:t>0</w:t>
            </w:r>
          </w:p>
        </w:tc>
      </w:tr>
      <w:tr w:rsidR="009D46E6" w:rsidRPr="00DB1559" w:rsidTr="00866283">
        <w:trPr>
          <w:trHeight w:val="227"/>
          <w:jc w:val="center"/>
        </w:trPr>
        <w:tc>
          <w:tcPr>
            <w:tcW w:w="1134" w:type="dxa"/>
            <w:vMerge/>
            <w:shd w:val="clear" w:color="auto" w:fill="003366"/>
            <w:noWrap/>
            <w:vAlign w:val="center"/>
          </w:tcPr>
          <w:p w:rsidR="009D46E6" w:rsidRPr="0055772E" w:rsidRDefault="009D46E6" w:rsidP="00866283">
            <w:pPr>
              <w:spacing w:after="0" w:line="240" w:lineRule="auto"/>
              <w:jc w:val="left"/>
              <w:rPr>
                <w:rFonts w:cs="Tahoma"/>
                <w:color w:val="FFFFFF"/>
                <w:sz w:val="16"/>
                <w:szCs w:val="16"/>
                <w:lang w:eastAsia="cs-CZ"/>
              </w:rPr>
            </w:pPr>
          </w:p>
        </w:tc>
        <w:tc>
          <w:tcPr>
            <w:tcW w:w="5556"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Inteligentní, ekologická a integrovaná doprava</w:t>
            </w:r>
          </w:p>
        </w:tc>
        <w:tc>
          <w:tcPr>
            <w:tcW w:w="198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SP Spolupráce (TPT)</w:t>
            </w:r>
          </w:p>
        </w:tc>
        <w:tc>
          <w:tcPr>
            <w:tcW w:w="96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8,23</w:t>
            </w:r>
          </w:p>
        </w:tc>
      </w:tr>
      <w:tr w:rsidR="009D46E6" w:rsidRPr="00DB1559" w:rsidTr="00866283">
        <w:trPr>
          <w:trHeight w:val="227"/>
          <w:jc w:val="center"/>
        </w:trPr>
        <w:tc>
          <w:tcPr>
            <w:tcW w:w="1134" w:type="dxa"/>
            <w:vMerge/>
            <w:shd w:val="clear" w:color="auto" w:fill="003366"/>
            <w:noWrap/>
            <w:vAlign w:val="center"/>
          </w:tcPr>
          <w:p w:rsidR="009D46E6" w:rsidRPr="0055772E" w:rsidRDefault="009D46E6" w:rsidP="00866283">
            <w:pPr>
              <w:spacing w:after="0" w:line="240" w:lineRule="auto"/>
              <w:jc w:val="left"/>
              <w:rPr>
                <w:rFonts w:cs="Tahoma"/>
                <w:color w:val="FFFFFF"/>
                <w:sz w:val="16"/>
                <w:szCs w:val="16"/>
                <w:lang w:eastAsia="cs-CZ"/>
              </w:rPr>
            </w:pPr>
          </w:p>
        </w:tc>
        <w:tc>
          <w:tcPr>
            <w:tcW w:w="5556"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Klimatická změna, účinné využívání zdrojů a surovin</w:t>
            </w:r>
          </w:p>
        </w:tc>
        <w:tc>
          <w:tcPr>
            <w:tcW w:w="198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SP Spolupráce (ENV)</w:t>
            </w:r>
          </w:p>
        </w:tc>
        <w:tc>
          <w:tcPr>
            <w:tcW w:w="96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4</w:t>
            </w:r>
            <w:r>
              <w:rPr>
                <w:rFonts w:cs="Tahoma"/>
                <w:color w:val="000000"/>
                <w:sz w:val="16"/>
                <w:szCs w:val="16"/>
                <w:lang w:eastAsia="cs-CZ"/>
              </w:rPr>
              <w:t>,00</w:t>
            </w:r>
          </w:p>
        </w:tc>
      </w:tr>
      <w:tr w:rsidR="009D46E6" w:rsidRPr="00DB1559" w:rsidTr="00866283">
        <w:trPr>
          <w:trHeight w:val="227"/>
          <w:jc w:val="center"/>
        </w:trPr>
        <w:tc>
          <w:tcPr>
            <w:tcW w:w="1134" w:type="dxa"/>
            <w:vMerge/>
            <w:shd w:val="clear" w:color="auto" w:fill="003366"/>
            <w:noWrap/>
            <w:vAlign w:val="center"/>
          </w:tcPr>
          <w:p w:rsidR="009D46E6" w:rsidRPr="0055772E" w:rsidRDefault="009D46E6" w:rsidP="00866283">
            <w:pPr>
              <w:spacing w:after="0" w:line="240" w:lineRule="auto"/>
              <w:jc w:val="left"/>
              <w:rPr>
                <w:rFonts w:cs="Tahoma"/>
                <w:color w:val="FFFFFF"/>
                <w:sz w:val="16"/>
                <w:szCs w:val="16"/>
                <w:lang w:eastAsia="cs-CZ"/>
              </w:rPr>
            </w:pPr>
          </w:p>
        </w:tc>
        <w:tc>
          <w:tcPr>
            <w:tcW w:w="5556"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Evropa v měnícím se světě - inkluzivní, inovativní a reflexivní společnosti</w:t>
            </w:r>
          </w:p>
        </w:tc>
        <w:tc>
          <w:tcPr>
            <w:tcW w:w="198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SP Spolupráce (SSH, SEC)</w:t>
            </w:r>
          </w:p>
        </w:tc>
        <w:tc>
          <w:tcPr>
            <w:tcW w:w="96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1,7</w:t>
            </w:r>
            <w:r>
              <w:rPr>
                <w:rFonts w:cs="Tahoma"/>
                <w:color w:val="000000"/>
                <w:sz w:val="16"/>
                <w:szCs w:val="16"/>
                <w:lang w:eastAsia="cs-CZ"/>
              </w:rPr>
              <w:t>0</w:t>
            </w:r>
          </w:p>
        </w:tc>
      </w:tr>
      <w:tr w:rsidR="009D46E6" w:rsidRPr="00DB1559" w:rsidTr="00866283">
        <w:trPr>
          <w:trHeight w:val="227"/>
          <w:jc w:val="center"/>
        </w:trPr>
        <w:tc>
          <w:tcPr>
            <w:tcW w:w="1134" w:type="dxa"/>
            <w:vMerge/>
            <w:shd w:val="clear" w:color="auto" w:fill="003366"/>
            <w:noWrap/>
            <w:vAlign w:val="center"/>
          </w:tcPr>
          <w:p w:rsidR="009D46E6" w:rsidRPr="0055772E" w:rsidRDefault="009D46E6" w:rsidP="00866283">
            <w:pPr>
              <w:spacing w:after="0" w:line="240" w:lineRule="auto"/>
              <w:jc w:val="left"/>
              <w:rPr>
                <w:rFonts w:cs="Tahoma"/>
                <w:color w:val="FFFFFF"/>
                <w:sz w:val="16"/>
                <w:szCs w:val="16"/>
                <w:lang w:eastAsia="cs-CZ"/>
              </w:rPr>
            </w:pPr>
          </w:p>
        </w:tc>
        <w:tc>
          <w:tcPr>
            <w:tcW w:w="5556"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Ochrana svobody a bezpečnosti v Evropě</w:t>
            </w:r>
          </w:p>
        </w:tc>
        <w:tc>
          <w:tcPr>
            <w:tcW w:w="198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SP Spolupráce (SEC)</w:t>
            </w:r>
          </w:p>
        </w:tc>
        <w:tc>
          <w:tcPr>
            <w:tcW w:w="96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2,2</w:t>
            </w:r>
            <w:r>
              <w:rPr>
                <w:rFonts w:cs="Tahoma"/>
                <w:color w:val="000000"/>
                <w:sz w:val="16"/>
                <w:szCs w:val="16"/>
                <w:lang w:eastAsia="cs-CZ"/>
              </w:rPr>
              <w:t>0</w:t>
            </w:r>
          </w:p>
        </w:tc>
      </w:tr>
      <w:tr w:rsidR="009D46E6" w:rsidRPr="00DB1559" w:rsidTr="00866283">
        <w:trPr>
          <w:trHeight w:val="227"/>
          <w:jc w:val="center"/>
        </w:trPr>
        <w:tc>
          <w:tcPr>
            <w:tcW w:w="1134" w:type="dxa"/>
            <w:vMerge w:val="restart"/>
            <w:shd w:val="clear" w:color="auto" w:fill="003366"/>
            <w:noWrap/>
            <w:vAlign w:val="center"/>
          </w:tcPr>
          <w:p w:rsidR="009D46E6" w:rsidRPr="0055772E" w:rsidRDefault="009D46E6" w:rsidP="00866283">
            <w:pPr>
              <w:spacing w:after="0" w:line="240" w:lineRule="auto"/>
              <w:jc w:val="left"/>
              <w:rPr>
                <w:rFonts w:cs="Tahoma"/>
                <w:color w:val="FFFFFF"/>
                <w:sz w:val="16"/>
                <w:szCs w:val="16"/>
                <w:lang w:eastAsia="cs-CZ"/>
              </w:rPr>
            </w:pPr>
            <w:r w:rsidRPr="0055772E">
              <w:rPr>
                <w:rFonts w:cs="Tahoma"/>
                <w:color w:val="FFFFFF"/>
                <w:sz w:val="16"/>
                <w:szCs w:val="16"/>
                <w:lang w:eastAsia="cs-CZ"/>
              </w:rPr>
              <w:t>Další aktivity</w:t>
            </w:r>
          </w:p>
        </w:tc>
        <w:tc>
          <w:tcPr>
            <w:tcW w:w="5556"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Evropský institut inovací a technologií</w:t>
            </w:r>
          </w:p>
        </w:tc>
        <w:tc>
          <w:tcPr>
            <w:tcW w:w="198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x</w:t>
            </w:r>
          </w:p>
        </w:tc>
        <w:tc>
          <w:tcPr>
            <w:tcW w:w="96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3,52</w:t>
            </w:r>
          </w:p>
        </w:tc>
      </w:tr>
      <w:tr w:rsidR="009D46E6" w:rsidRPr="00DB1559" w:rsidTr="00866283">
        <w:trPr>
          <w:trHeight w:val="227"/>
          <w:jc w:val="center"/>
        </w:trPr>
        <w:tc>
          <w:tcPr>
            <w:tcW w:w="1134" w:type="dxa"/>
            <w:vMerge/>
            <w:shd w:val="clear" w:color="auto" w:fill="003366"/>
            <w:noWrap/>
            <w:vAlign w:val="center"/>
          </w:tcPr>
          <w:p w:rsidR="009D46E6" w:rsidRPr="0055772E" w:rsidRDefault="009D46E6" w:rsidP="00866283">
            <w:pPr>
              <w:spacing w:after="0" w:line="240" w:lineRule="auto"/>
              <w:jc w:val="left"/>
              <w:rPr>
                <w:rFonts w:cs="Tahoma"/>
                <w:color w:val="FFFFFF"/>
                <w:sz w:val="16"/>
                <w:szCs w:val="16"/>
                <w:lang w:eastAsia="cs-CZ"/>
              </w:rPr>
            </w:pPr>
          </w:p>
        </w:tc>
        <w:tc>
          <w:tcPr>
            <w:tcW w:w="5556"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Nejaderné přímé akce Společného výzkumného centra</w:t>
            </w:r>
          </w:p>
        </w:tc>
        <w:tc>
          <w:tcPr>
            <w:tcW w:w="198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JRC</w:t>
            </w:r>
          </w:p>
        </w:tc>
        <w:tc>
          <w:tcPr>
            <w:tcW w:w="96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2,47</w:t>
            </w:r>
          </w:p>
        </w:tc>
      </w:tr>
      <w:tr w:rsidR="009D46E6" w:rsidRPr="00DB1559" w:rsidTr="00866283">
        <w:trPr>
          <w:trHeight w:val="227"/>
          <w:jc w:val="center"/>
        </w:trPr>
        <w:tc>
          <w:tcPr>
            <w:tcW w:w="1134" w:type="dxa"/>
            <w:vMerge/>
            <w:shd w:val="clear" w:color="auto" w:fill="003366"/>
            <w:noWrap/>
            <w:vAlign w:val="center"/>
          </w:tcPr>
          <w:p w:rsidR="009D46E6" w:rsidRPr="0055772E" w:rsidRDefault="009D46E6" w:rsidP="00866283">
            <w:pPr>
              <w:spacing w:after="0" w:line="240" w:lineRule="auto"/>
              <w:jc w:val="left"/>
              <w:rPr>
                <w:rFonts w:cs="Tahoma"/>
                <w:color w:val="FFFFFF"/>
                <w:sz w:val="16"/>
                <w:szCs w:val="16"/>
                <w:lang w:eastAsia="cs-CZ"/>
              </w:rPr>
            </w:pPr>
          </w:p>
        </w:tc>
        <w:tc>
          <w:tcPr>
            <w:tcW w:w="5556"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Šíření excelence a rozšiřování účasti</w:t>
            </w:r>
          </w:p>
        </w:tc>
        <w:tc>
          <w:tcPr>
            <w:tcW w:w="198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x</w:t>
            </w:r>
          </w:p>
        </w:tc>
        <w:tc>
          <w:tcPr>
            <w:tcW w:w="96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1,06</w:t>
            </w:r>
          </w:p>
        </w:tc>
      </w:tr>
      <w:tr w:rsidR="009D46E6" w:rsidRPr="00DB1559" w:rsidTr="00866283">
        <w:trPr>
          <w:trHeight w:val="227"/>
          <w:jc w:val="center"/>
        </w:trPr>
        <w:tc>
          <w:tcPr>
            <w:tcW w:w="1134" w:type="dxa"/>
            <w:vMerge/>
            <w:shd w:val="clear" w:color="auto" w:fill="003366"/>
            <w:noWrap/>
            <w:vAlign w:val="center"/>
          </w:tcPr>
          <w:p w:rsidR="009D46E6" w:rsidRPr="0055772E" w:rsidRDefault="009D46E6" w:rsidP="00866283">
            <w:pPr>
              <w:spacing w:after="0" w:line="240" w:lineRule="auto"/>
              <w:jc w:val="left"/>
              <w:rPr>
                <w:rFonts w:cs="Tahoma"/>
                <w:color w:val="FFFFFF"/>
                <w:sz w:val="16"/>
                <w:szCs w:val="16"/>
                <w:lang w:eastAsia="cs-CZ"/>
              </w:rPr>
            </w:pPr>
          </w:p>
        </w:tc>
        <w:tc>
          <w:tcPr>
            <w:tcW w:w="5556"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Věda se společností a pro společnost</w:t>
            </w:r>
          </w:p>
        </w:tc>
        <w:tc>
          <w:tcPr>
            <w:tcW w:w="198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x</w:t>
            </w:r>
          </w:p>
        </w:tc>
        <w:tc>
          <w:tcPr>
            <w:tcW w:w="964" w:type="dxa"/>
            <w:noWrap/>
            <w:vAlign w:val="center"/>
          </w:tcPr>
          <w:p w:rsidR="009D46E6" w:rsidRPr="0055772E" w:rsidRDefault="009D46E6" w:rsidP="00866283">
            <w:pPr>
              <w:spacing w:after="0" w:line="240" w:lineRule="auto"/>
              <w:jc w:val="left"/>
              <w:rPr>
                <w:rFonts w:cs="Tahoma"/>
                <w:color w:val="000000"/>
                <w:sz w:val="16"/>
                <w:szCs w:val="16"/>
                <w:lang w:eastAsia="cs-CZ"/>
              </w:rPr>
            </w:pPr>
            <w:r w:rsidRPr="0055772E">
              <w:rPr>
                <w:rFonts w:cs="Tahoma"/>
                <w:color w:val="000000"/>
                <w:sz w:val="16"/>
                <w:szCs w:val="16"/>
                <w:lang w:eastAsia="cs-CZ"/>
              </w:rPr>
              <w:t>0,6</w:t>
            </w:r>
            <w:r>
              <w:rPr>
                <w:rFonts w:cs="Tahoma"/>
                <w:color w:val="000000"/>
                <w:sz w:val="16"/>
                <w:szCs w:val="16"/>
                <w:lang w:eastAsia="cs-CZ"/>
              </w:rPr>
              <w:t>0</w:t>
            </w:r>
          </w:p>
        </w:tc>
      </w:tr>
    </w:tbl>
    <w:p w:rsidR="009D46E6" w:rsidRPr="00743BB6" w:rsidRDefault="009D46E6" w:rsidP="00866283">
      <w:pPr>
        <w:pStyle w:val="Zdroj"/>
      </w:pPr>
      <w:r w:rsidRPr="00743BB6">
        <w:t>Pozn: Při tvorbě tabulky byly použity aktuální dostupné zdroje</w:t>
      </w:r>
      <w:r>
        <w:t>,</w:t>
      </w:r>
      <w:r w:rsidRPr="00743BB6">
        <w:t xml:space="preserve"> a přestože lze předpokládat, že nedojde k zásadním změnám ve struktuře a obsahu programu H2020, mají uvedené údaje pouze informativní charakter. Průběžně aktualizované informace o přípravě programu H2020 lze nalézt na webové stránce – </w:t>
      </w:r>
      <w:hyperlink r:id="rId229" w:history="1">
        <w:r w:rsidRPr="00743BB6">
          <w:rPr>
            <w:rStyle w:val="Hyperlink"/>
            <w:rFonts w:cs="MetaPro-Normal"/>
            <w:color w:val="595959"/>
            <w:u w:val="none"/>
          </w:rPr>
          <w:t>http://fp7.cz/cs/horizon-2020</w:t>
        </w:r>
      </w:hyperlink>
    </w:p>
    <w:p w:rsidR="009D46E6" w:rsidRPr="00743BB6" w:rsidRDefault="009D46E6" w:rsidP="00866283">
      <w:pPr>
        <w:pStyle w:val="Zdroj"/>
      </w:pPr>
      <w:r w:rsidRPr="00743BB6">
        <w:t>Zdroj: Technologické centrum AV ČR s využitím materiálů EK</w:t>
      </w:r>
    </w:p>
    <w:p w:rsidR="009D46E6" w:rsidRDefault="009D46E6" w:rsidP="00866283"/>
    <w:p w:rsidR="009D46E6" w:rsidRPr="005E237C" w:rsidRDefault="009D46E6" w:rsidP="00866283">
      <w:r w:rsidRPr="005E237C">
        <w:br w:type="page"/>
      </w:r>
    </w:p>
    <w:p w:rsidR="009D46E6" w:rsidRDefault="009D46E6" w:rsidP="00866283">
      <w:pPr>
        <w:pStyle w:val="Heading2"/>
      </w:pPr>
      <w:bookmarkStart w:id="225" w:name="_Toc369091909"/>
      <w:r w:rsidRPr="00076CBD">
        <w:t>Podpora mezinárodní spolupráce</w:t>
      </w:r>
      <w:bookmarkEnd w:id="225"/>
    </w:p>
    <w:p w:rsidR="009D46E6" w:rsidRDefault="009D46E6" w:rsidP="00866283">
      <w:r w:rsidRPr="003C676B">
        <w:t xml:space="preserve">Česko podporuje mezinárodní spolupráci ve VaV řadou mechanismů, ať už se jedná o programová schémata nebo různé formy partnerských dohod. </w:t>
      </w:r>
      <w:r>
        <w:t>V</w:t>
      </w:r>
      <w:r w:rsidRPr="003C676B">
        <w:t xml:space="preserve">ybraným mezinárodním organizacím přispívá rovněž kapitola </w:t>
      </w:r>
      <w:r>
        <w:t>Ministerstva zahraničních věcí (</w:t>
      </w:r>
      <w:r w:rsidRPr="003C676B">
        <w:t>CERN 223</w:t>
      </w:r>
      <w:r>
        <w:t>,</w:t>
      </w:r>
      <w:r w:rsidRPr="003C676B">
        <w:t>4</w:t>
      </w:r>
      <w:r>
        <w:t xml:space="preserve"> mil. Kč</w:t>
      </w:r>
      <w:r w:rsidRPr="003C676B">
        <w:t xml:space="preserve">, </w:t>
      </w:r>
      <w:r>
        <w:t>SÚJV v</w:t>
      </w:r>
      <w:r w:rsidRPr="003C676B">
        <w:t xml:space="preserve"> Dubně 71,7 mil. Kč</w:t>
      </w:r>
      <w:r>
        <w:t xml:space="preserve"> </w:t>
      </w:r>
      <w:r>
        <w:rPr>
          <w:lang w:val="en-US"/>
        </w:rPr>
        <w:t xml:space="preserve">~ </w:t>
      </w:r>
      <w:r w:rsidRPr="00126D55">
        <w:t>meziročně +36 %)</w:t>
      </w:r>
      <w:r w:rsidRPr="00126D55">
        <w:rPr>
          <w:rStyle w:val="FootnoteReference"/>
          <w:rFonts w:cs="MetaPro-Normal"/>
        </w:rPr>
        <w:footnoteReference w:id="49"/>
      </w:r>
      <w:r w:rsidRPr="00126D55">
        <w:t>.</w:t>
      </w:r>
      <w:r>
        <w:t xml:space="preserve"> </w:t>
      </w:r>
      <w:r w:rsidRPr="003C676B">
        <w:t xml:space="preserve">Finanční prostředky jsou ze státního rozpočtu směřovány </w:t>
      </w:r>
      <w:r>
        <w:t xml:space="preserve">ale </w:t>
      </w:r>
      <w:r w:rsidRPr="003C676B">
        <w:t xml:space="preserve">zejména prostřednictvím kapitoly MŠMT. MŠMT rozdělilo </w:t>
      </w:r>
      <w:r>
        <w:t>v</w:t>
      </w:r>
      <w:r w:rsidRPr="003C676B">
        <w:t xml:space="preserve"> roce </w:t>
      </w:r>
      <w:r>
        <w:t xml:space="preserve">2012 </w:t>
      </w:r>
      <w:r w:rsidRPr="003C676B">
        <w:t>v rámci institucionální podpory mezinárodní spolupráce ve VaV (poplatky za účast ČR v programech a za členství v organizacích, mimo operační programy) celkem 680,9 mil. Kč, což odpovídá meziročnímu nárůstu o 14 % a plnění ve výši 92 %</w:t>
      </w:r>
      <w:r w:rsidRPr="003C676B">
        <w:rPr>
          <w:rStyle w:val="FootnoteReference"/>
          <w:rFonts w:cs="MetaPro-Normal"/>
        </w:rPr>
        <w:footnoteReference w:id="50"/>
      </w:r>
      <w:r w:rsidRPr="003C676B">
        <w:t>.</w:t>
      </w:r>
      <w:r w:rsidRPr="00B42699">
        <w:t xml:space="preserve"> </w:t>
      </w:r>
    </w:p>
    <w:p w:rsidR="009D46E6" w:rsidRPr="00EC164E" w:rsidRDefault="009D46E6" w:rsidP="00866283">
      <w:r>
        <w:t>Účelová podpora je distribuována programy</w:t>
      </w:r>
      <w:r w:rsidRPr="00D2255C">
        <w:t xml:space="preserve"> COST CZ, EUPRO II, EUREKA CZ, INGO II a KONTAKT II </w:t>
      </w:r>
      <w:r w:rsidRPr="00D2255C">
        <w:rPr>
          <w:rStyle w:val="FootnoteReference"/>
          <w:rFonts w:cs="MetaPro-Normal"/>
        </w:rPr>
        <w:footnoteReference w:id="51"/>
      </w:r>
      <w:r w:rsidRPr="00D2255C">
        <w:t xml:space="preserve">. </w:t>
      </w:r>
      <w:r>
        <w:t>V</w:t>
      </w:r>
      <w:r w:rsidRPr="00D2255C">
        <w:t xml:space="preserve">ýčet aktivit </w:t>
      </w:r>
      <w:r>
        <w:t>doplňuje</w:t>
      </w:r>
      <w:r w:rsidRPr="00D2255C">
        <w:t xml:space="preserve"> program GESHER/MOST, finanční mechanismy EHP/Norsko</w:t>
      </w:r>
      <w:r>
        <w:t xml:space="preserve"> </w:t>
      </w:r>
      <w:r w:rsidRPr="00D2255C">
        <w:t xml:space="preserve">a další. </w:t>
      </w:r>
      <w:r>
        <w:t>Předpokladem</w:t>
      </w:r>
      <w:r w:rsidRPr="00D2255C">
        <w:t xml:space="preserve"> pro rozvoj mezinárodn</w:t>
      </w:r>
      <w:r>
        <w:t xml:space="preserve">í spolupráce je také 33 dosud schválených </w:t>
      </w:r>
      <w:r w:rsidRPr="00D2255C">
        <w:t>velk</w:t>
      </w:r>
      <w:r>
        <w:t>ých</w:t>
      </w:r>
      <w:r w:rsidRPr="00D2255C">
        <w:t xml:space="preserve"> infrastruktur pro </w:t>
      </w:r>
      <w:r>
        <w:t>VaVaI s aktuálním ročním rozpočtem ve výši 799,6 Kč</w:t>
      </w:r>
      <w:r w:rsidRPr="00D2255C">
        <w:rPr>
          <w:rStyle w:val="FootnoteReference"/>
          <w:rFonts w:cs="MetaPro-Normal"/>
        </w:rPr>
        <w:footnoteReference w:id="52"/>
      </w:r>
      <w:r>
        <w:t>. Ty mají integrační roli a poskytují přímé napojení na síť</w:t>
      </w:r>
      <w:r w:rsidRPr="00D2255C">
        <w:t xml:space="preserve"> strategických infrastruktur začleněných do ESFRI Roadmap. </w:t>
      </w:r>
      <w:r w:rsidRPr="00670B2E">
        <w:t>Da</w:t>
      </w:r>
      <w:r>
        <w:t xml:space="preserve">lší dva projekty velkých infrastruktur byly RVVI doporučeny </w:t>
      </w:r>
      <w:r w:rsidRPr="00EC164E">
        <w:t>pro financování v červnu 2013.</w:t>
      </w:r>
    </w:p>
    <w:p w:rsidR="009D46E6" w:rsidRDefault="009D46E6" w:rsidP="00866283">
      <w:r w:rsidRPr="00B82261">
        <w:t>Nastavení programů se v řadě ohledů shoduje – doba řešení projektu je omezena horní hranicí čtyř let (pro INGO tři roky), očekávány jsou měřitelné a hodnotitelné výsledky v podobě publikací, aplikovaných výstupů, patentů, výzkumných zpráv apod. Projekty jsou posuzovány z hlediska cíle, míry dosavadní mezinárodní spolupráce, potřebnosti a praktického využití jejich výsledků. Podpora může dosáhnout až 100 % uznaných nákladů, v případě aplikovaného výzkumu je výše příspěvku omezena na 50 %.</w:t>
      </w:r>
    </w:p>
    <w:p w:rsidR="009D46E6" w:rsidRDefault="009D46E6" w:rsidP="00866283">
      <w:r w:rsidRPr="00EC164E">
        <w:t>V první polovině roku 2013 proběhlo vyhodnocení čtyř národních programů na podporu mezinárodní spolupráce</w:t>
      </w:r>
      <w:r w:rsidRPr="00EC164E">
        <w:rPr>
          <w:rStyle w:val="FootnoteReference"/>
          <w:rFonts w:cs="MetaPro-Normal"/>
        </w:rPr>
        <w:footnoteReference w:id="53"/>
      </w:r>
      <w:r w:rsidRPr="00EC164E">
        <w:t xml:space="preserve">, včetně průzkumu mezi příjemci podpory. Hlavní výstupy jsou uvedeny v tabulkách u jednotlivých programů. Informace o čerpání </w:t>
      </w:r>
      <w:r>
        <w:t xml:space="preserve">podpory a tematickém zaměření </w:t>
      </w:r>
      <w:r w:rsidRPr="00EC164E">
        <w:t>shrnují grafy v závěru oddílu.</w:t>
      </w:r>
    </w:p>
    <w:p w:rsidR="009D46E6" w:rsidRPr="00EC164E" w:rsidRDefault="009D46E6" w:rsidP="00866283">
      <w:r w:rsidRPr="00EC164E">
        <w:t xml:space="preserve">Program COST </w:t>
      </w:r>
      <w:r>
        <w:t>(</w:t>
      </w:r>
      <w:r w:rsidRPr="00EC164E">
        <w:t>CZ</w:t>
      </w:r>
      <w:r>
        <w:t>)</w:t>
      </w:r>
      <w:r w:rsidRPr="00EC164E">
        <w:t xml:space="preserve"> se zaměřuje na podporu mnohostranné spolupráce v oblasti základního výzkumu mezi subjekty v Česku a členských zemí COST. Každý stát si volí vlastní způsob podpory svých institucí. Program je implementován formou tzv. Akcí, k nimž se VaV instituce připojují svými vlastními projekty. V roce 2012 dosáhly české instituce kvalitních výsledků v řadě domén, ať už se jedná o hodnocení kvality obrazu při vysílání digitální televize, detekci změn DNA u pacientů s hematologickými chorobami nebo výzkum povrchových plazmonů, fotonických platforem pro optické biosenzory.</w:t>
      </w:r>
    </w:p>
    <w:p w:rsidR="009D46E6" w:rsidRPr="00BC1D05" w:rsidRDefault="009D46E6" w:rsidP="00750D9B">
      <w:pPr>
        <w:pStyle w:val="Caption"/>
      </w:pPr>
      <w:bookmarkStart w:id="226" w:name="_Toc369091936"/>
      <w:r>
        <w:t xml:space="preserve">Tabulka </w:t>
      </w:r>
      <w:fldSimple w:instr=" STYLEREF 1 \s ">
        <w:r>
          <w:rPr>
            <w:noProof/>
          </w:rPr>
          <w:t>E</w:t>
        </w:r>
      </w:fldSimple>
      <w:r>
        <w:t>.</w:t>
      </w:r>
      <w:fldSimple w:instr=" SEQ Tabulka \* ARABIC \s 1 ">
        <w:r>
          <w:rPr>
            <w:noProof/>
          </w:rPr>
          <w:t>3</w:t>
        </w:r>
      </w:fldSimple>
      <w:r w:rsidRPr="00BC1D05">
        <w:t>:</w:t>
      </w:r>
      <w:r w:rsidRPr="00C82C22">
        <w:t xml:space="preserve"> </w:t>
      </w:r>
      <w:r>
        <w:t>Hlavní výstupy hodnocení programu COST</w:t>
      </w:r>
      <w:bookmarkEnd w:id="226"/>
    </w:p>
    <w:tbl>
      <w:tblPr>
        <w:tblW w:w="9639" w:type="dxa"/>
        <w:jc w:val="center"/>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28" w:type="dxa"/>
          <w:left w:w="57" w:type="dxa"/>
          <w:bottom w:w="28" w:type="dxa"/>
          <w:right w:w="57" w:type="dxa"/>
        </w:tblCellMar>
        <w:tblLook w:val="00A0"/>
      </w:tblPr>
      <w:tblGrid>
        <w:gridCol w:w="1644"/>
        <w:gridCol w:w="2665"/>
        <w:gridCol w:w="2665"/>
        <w:gridCol w:w="2665"/>
      </w:tblGrid>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Hodnocené období</w:t>
            </w:r>
          </w:p>
        </w:tc>
        <w:tc>
          <w:tcPr>
            <w:tcW w:w="2665"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1993-2012</w:t>
            </w:r>
          </w:p>
        </w:tc>
        <w:tc>
          <w:tcPr>
            <w:tcW w:w="2665"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Počet projektů</w:t>
            </w:r>
          </w:p>
        </w:tc>
        <w:tc>
          <w:tcPr>
            <w:tcW w:w="2665"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716</w:t>
            </w:r>
          </w:p>
        </w:tc>
      </w:tr>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Uznatelné náklady</w:t>
            </w:r>
          </w:p>
        </w:tc>
        <w:tc>
          <w:tcPr>
            <w:tcW w:w="2665"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2 075,5 mil. Kč</w:t>
            </w:r>
          </w:p>
        </w:tc>
        <w:tc>
          <w:tcPr>
            <w:tcW w:w="2665"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Státní podpora</w:t>
            </w:r>
          </w:p>
        </w:tc>
        <w:tc>
          <w:tcPr>
            <w:tcW w:w="2665"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1 021,7 mil Kč (49 %)</w:t>
            </w:r>
          </w:p>
        </w:tc>
      </w:tr>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Příjemci</w:t>
            </w:r>
          </w:p>
        </w:tc>
        <w:tc>
          <w:tcPr>
            <w:tcW w:w="799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AV ČR, veřejné vysoké školy</w:t>
            </w:r>
          </w:p>
        </w:tc>
      </w:tr>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Výsledky</w:t>
            </w:r>
          </w:p>
        </w:tc>
        <w:tc>
          <w:tcPr>
            <w:tcW w:w="799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Články v odborných časopisech a články ve sborníku z akcí</w:t>
            </w:r>
          </w:p>
        </w:tc>
      </w:tr>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Typ výzkumu</w:t>
            </w:r>
          </w:p>
        </w:tc>
        <w:tc>
          <w:tcPr>
            <w:tcW w:w="799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Základní i aplikovaný výzkum zastoupeny ve stejné míře, výstupů pro aplikační sféru relativně málo</w:t>
            </w:r>
          </w:p>
        </w:tc>
      </w:tr>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Využití výsledků</w:t>
            </w:r>
          </w:p>
        </w:tc>
        <w:tc>
          <w:tcPr>
            <w:tcW w:w="799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Další výzkum v instituci příjemce, využití při vysokoškolské výuce</w:t>
            </w:r>
          </w:p>
        </w:tc>
      </w:tr>
      <w:tr w:rsidR="009D46E6" w:rsidRPr="00DB1559" w:rsidTr="00DB1559">
        <w:trPr>
          <w:trHeight w:val="39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Přínosy</w:t>
            </w:r>
          </w:p>
        </w:tc>
        <w:tc>
          <w:tcPr>
            <w:tcW w:w="799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Získání kontaktů pro rozvoj mezinárodní spolupráce a s tím související zisk nových zahraničních grantů, využití výzkumných kapacity zahraničního partnera</w:t>
            </w:r>
          </w:p>
        </w:tc>
      </w:tr>
      <w:tr w:rsidR="009D46E6" w:rsidRPr="00DB1559" w:rsidTr="00DB1559">
        <w:trPr>
          <w:trHeight w:val="39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Závěry hodnocení</w:t>
            </w:r>
          </w:p>
        </w:tc>
        <w:tc>
          <w:tcPr>
            <w:tcW w:w="799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Počet podpořených projektů i výše podpory alokované na jednotlivé obory byly značně nerovnoměrné. Výstupů typických pro aplikační sféru vznikl relativně malý počet.</w:t>
            </w:r>
            <w:r w:rsidRPr="00DB1559">
              <w:t xml:space="preserve"> </w:t>
            </w:r>
            <w:r w:rsidRPr="00DB1559">
              <w:rPr>
                <w:rFonts w:cs="Tahoma"/>
                <w:sz w:val="16"/>
                <w:szCs w:val="16"/>
              </w:rPr>
              <w:t>Majoritní část (75 %) ukončených projektů byla hodnocena jako projekty s vynikajícími výsledky.</w:t>
            </w:r>
            <w:r w:rsidRPr="00DB1559">
              <w:t xml:space="preserve"> </w:t>
            </w:r>
            <w:r w:rsidRPr="00DB1559">
              <w:rPr>
                <w:rFonts w:cs="Tahoma"/>
                <w:sz w:val="16"/>
                <w:szCs w:val="16"/>
              </w:rPr>
              <w:t>Při realizaci projektů je velmi negativně vnímána nutnost pořádání každoročních obhajob.</w:t>
            </w:r>
          </w:p>
        </w:tc>
      </w:tr>
    </w:tbl>
    <w:p w:rsidR="009D46E6" w:rsidRDefault="009D46E6" w:rsidP="00866283">
      <w:pPr>
        <w:pStyle w:val="Zdroj"/>
      </w:pPr>
      <w:r w:rsidRPr="00A231B5">
        <w:t xml:space="preserve">Zdroj: </w:t>
      </w:r>
      <w:r w:rsidRPr="00090C66">
        <w:t>Čadil, Vondrák (2013): Vyhodnocení programu COST. Technologické centrum AV ČR.</w:t>
      </w:r>
    </w:p>
    <w:p w:rsidR="009D46E6" w:rsidRDefault="009D46E6" w:rsidP="00866283"/>
    <w:p w:rsidR="009D46E6" w:rsidRPr="00EC164E" w:rsidRDefault="009D46E6" w:rsidP="00866283">
      <w:r w:rsidRPr="00EC164E">
        <w:t xml:space="preserve">Program EUPRO </w:t>
      </w:r>
      <w:r>
        <w:t>(</w:t>
      </w:r>
      <w:r w:rsidRPr="00EC164E">
        <w:t>II</w:t>
      </w:r>
      <w:r>
        <w:t>)</w:t>
      </w:r>
      <w:r w:rsidRPr="00EC164E">
        <w:t xml:space="preserve"> vytváří infrastrukturu potřebnou pro koordinaci evropského výzkumu a zprostředkovává informace nezbytné pro úspěšné zapojení Česka VaV aktivit do ERA. Tento cíl v roce 2012 naplňovalo především Národní informační centrum pro evropský výzkum III (NICER), regionální a oborové kontaktní organizace. Významným projektem je Styčná informační kancelář ČR v Bruselu CZELO. Mobilitu výzkumníků usnadňuje síť konzultačních kanceláří EURAXESS.</w:t>
      </w:r>
    </w:p>
    <w:p w:rsidR="009D46E6" w:rsidRPr="00EC164E" w:rsidRDefault="009D46E6" w:rsidP="00866283">
      <w:r w:rsidRPr="00EC164E">
        <w:t xml:space="preserve">Program EUREKA </w:t>
      </w:r>
      <w:r>
        <w:t>(</w:t>
      </w:r>
      <w:r w:rsidRPr="00EC164E">
        <w:t>CZ</w:t>
      </w:r>
      <w:r>
        <w:t>)</w:t>
      </w:r>
      <w:r w:rsidRPr="00EC164E">
        <w:t xml:space="preserve"> představuje nástroj pro mezinárodní spolupráci v oblasti aplikovaného výzkumu a inovačních aktivit, do něhož se zapojují průmyslové firmy, výzkumné ústavy a vysoké školy napříč technologickými sektory. V roce 2012 byly jmenovitě oceněny brněnská společnost za využití nanotechnologicky zpracovaných částic stříbra v léčivech a pražská firma za integrovaný detektor radionuklidů. Členské země EUREKA se zapojují rovněž do komunitární programu EUROSTARS. Ten je zaměřen na spolupráci MSP, které mimo podnikatelskou činnost provádějí také vlastní VaV - české podniky v roce 2012 čerpaly z programu EUROSTARS částku 64,3 mil. Kč, o polovinu více než v předchozím roce.</w:t>
      </w:r>
    </w:p>
    <w:p w:rsidR="009D46E6" w:rsidRPr="00BC1D05" w:rsidRDefault="009D46E6" w:rsidP="00750D9B">
      <w:pPr>
        <w:pStyle w:val="Caption"/>
      </w:pPr>
      <w:bookmarkStart w:id="227" w:name="_Toc369091937"/>
      <w:r>
        <w:t xml:space="preserve">Tabulka </w:t>
      </w:r>
      <w:fldSimple w:instr=" STYLEREF 1 \s ">
        <w:r>
          <w:rPr>
            <w:noProof/>
          </w:rPr>
          <w:t>E</w:t>
        </w:r>
      </w:fldSimple>
      <w:r>
        <w:t>.</w:t>
      </w:r>
      <w:fldSimple w:instr=" SEQ Tabulka \* ARABIC \s 1 ">
        <w:r>
          <w:rPr>
            <w:noProof/>
          </w:rPr>
          <w:t>4</w:t>
        </w:r>
      </w:fldSimple>
      <w:r w:rsidRPr="00BC1D05">
        <w:t>:</w:t>
      </w:r>
      <w:r w:rsidRPr="00C82C22">
        <w:t xml:space="preserve"> </w:t>
      </w:r>
      <w:r>
        <w:t>Hlavní výstupy hodnocení programu EUREKA</w:t>
      </w:r>
      <w:bookmarkEnd w:id="227"/>
    </w:p>
    <w:tbl>
      <w:tblPr>
        <w:tblW w:w="9639" w:type="dxa"/>
        <w:jc w:val="center"/>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28" w:type="dxa"/>
          <w:left w:w="57" w:type="dxa"/>
          <w:bottom w:w="28" w:type="dxa"/>
          <w:right w:w="57" w:type="dxa"/>
        </w:tblCellMar>
        <w:tblLook w:val="00A0"/>
      </w:tblPr>
      <w:tblGrid>
        <w:gridCol w:w="1644"/>
        <w:gridCol w:w="2665"/>
        <w:gridCol w:w="2665"/>
        <w:gridCol w:w="2665"/>
      </w:tblGrid>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Hodnocené období</w:t>
            </w:r>
          </w:p>
        </w:tc>
        <w:tc>
          <w:tcPr>
            <w:tcW w:w="2665"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1993-2012</w:t>
            </w:r>
          </w:p>
        </w:tc>
        <w:tc>
          <w:tcPr>
            <w:tcW w:w="2665"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Počet projektů</w:t>
            </w:r>
          </w:p>
        </w:tc>
        <w:tc>
          <w:tcPr>
            <w:tcW w:w="2665"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257</w:t>
            </w:r>
          </w:p>
        </w:tc>
      </w:tr>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Uznatelné náklady</w:t>
            </w:r>
          </w:p>
        </w:tc>
        <w:tc>
          <w:tcPr>
            <w:tcW w:w="2665"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2 678,5 mil. Kč</w:t>
            </w:r>
          </w:p>
        </w:tc>
        <w:tc>
          <w:tcPr>
            <w:tcW w:w="2665"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Státní podpora</w:t>
            </w:r>
          </w:p>
        </w:tc>
        <w:tc>
          <w:tcPr>
            <w:tcW w:w="2665"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1 152,8 mil Kč (43 %)</w:t>
            </w:r>
          </w:p>
        </w:tc>
      </w:tr>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Příjemci</w:t>
            </w:r>
          </w:p>
        </w:tc>
        <w:tc>
          <w:tcPr>
            <w:tcW w:w="799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Soukromé podniky</w:t>
            </w:r>
          </w:p>
        </w:tc>
      </w:tr>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Výsledky</w:t>
            </w:r>
          </w:p>
        </w:tc>
        <w:tc>
          <w:tcPr>
            <w:tcW w:w="799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Články ve sbornících z akcí a v odborných časopisech, technicky realizované výsledky</w:t>
            </w:r>
          </w:p>
        </w:tc>
      </w:tr>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Typ výzkumu</w:t>
            </w:r>
          </w:p>
        </w:tc>
        <w:tc>
          <w:tcPr>
            <w:tcW w:w="799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Aplikovaný výzkum, relativně málo výstupů typu duševního vlastnictví</w:t>
            </w:r>
          </w:p>
        </w:tc>
      </w:tr>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Využití výsledků</w:t>
            </w:r>
          </w:p>
        </w:tc>
        <w:tc>
          <w:tcPr>
            <w:tcW w:w="799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Další výzkum v instituci příjemce a inovace vlastních výrobků a služeb</w:t>
            </w:r>
          </w:p>
        </w:tc>
      </w:tr>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Přínosy</w:t>
            </w:r>
          </w:p>
        </w:tc>
        <w:tc>
          <w:tcPr>
            <w:tcW w:w="799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Získání poznatku pro inovace vlastních výrobků a služeb a získání informací o nových trzích</w:t>
            </w:r>
          </w:p>
        </w:tc>
      </w:tr>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Závěry hodnocení</w:t>
            </w:r>
          </w:p>
        </w:tc>
        <w:tc>
          <w:tcPr>
            <w:tcW w:w="799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Program podporoval aplikovaný výzkum a vývoj v technických oborech. Velké rozpětí finanční velikosti projektů vyvolává otázku o smysluplnosti jednotné metriky a pravidel pro hodnocení, výběr a realizaci projektů. Přínosy spočívají zejména v inovacích vlastních produktů a kontaktech pro rozvoj mezinárodní spolupráce.</w:t>
            </w:r>
          </w:p>
        </w:tc>
      </w:tr>
    </w:tbl>
    <w:p w:rsidR="009D46E6" w:rsidRDefault="009D46E6" w:rsidP="00866283">
      <w:pPr>
        <w:pStyle w:val="Zdroj"/>
      </w:pPr>
      <w:r w:rsidRPr="00A231B5">
        <w:t xml:space="preserve">Zdroj: </w:t>
      </w:r>
      <w:r w:rsidRPr="00090C66">
        <w:t xml:space="preserve">Čadil, Vondrák (2013): Vyhodnocení programu </w:t>
      </w:r>
      <w:r>
        <w:t>EUREKA</w:t>
      </w:r>
      <w:r w:rsidRPr="00090C66">
        <w:t>. Technologické centrum AV ČR.</w:t>
      </w:r>
    </w:p>
    <w:p w:rsidR="009D46E6" w:rsidRPr="00B76129" w:rsidRDefault="009D46E6" w:rsidP="00866283">
      <w:pPr>
        <w:rPr>
          <w:color w:val="7F7F7F"/>
        </w:rPr>
      </w:pPr>
    </w:p>
    <w:p w:rsidR="009D46E6" w:rsidRPr="00EC164E" w:rsidRDefault="009D46E6" w:rsidP="00866283">
      <w:r w:rsidRPr="00EC164E">
        <w:t xml:space="preserve">Cílem programu INGO </w:t>
      </w:r>
      <w:r>
        <w:t>(</w:t>
      </w:r>
      <w:r w:rsidRPr="00EC164E">
        <w:t>II</w:t>
      </w:r>
      <w:r>
        <w:t>)</w:t>
      </w:r>
      <w:r w:rsidRPr="00EC164E">
        <w:t xml:space="preserve"> je umožnit účast českých vědeckých pracovišť v mezinárodních nevládních vědeckých organizacích a podpořit účast českých vědců v řídících orgánech těchto institucí. Bez takto postaveného programu by např. nebylo možné účastnit se výzkumných projektů CERN nebo Ústavu Laue-Langevin v Grenoblu. Právě projekty z oblasti jaderného a neutronového výzkumu nebo nanotechnologií patří ve svém hodnocení k nejprestižnějším.</w:t>
      </w:r>
    </w:p>
    <w:p w:rsidR="009D46E6" w:rsidRPr="00BC1D05" w:rsidRDefault="009D46E6" w:rsidP="00750D9B">
      <w:pPr>
        <w:pStyle w:val="Caption"/>
      </w:pPr>
      <w:bookmarkStart w:id="228" w:name="_Toc369091938"/>
      <w:r>
        <w:t xml:space="preserve">Tabulka </w:t>
      </w:r>
      <w:fldSimple w:instr=" STYLEREF 1 \s ">
        <w:r>
          <w:rPr>
            <w:noProof/>
          </w:rPr>
          <w:t>E</w:t>
        </w:r>
      </w:fldSimple>
      <w:r>
        <w:t>.</w:t>
      </w:r>
      <w:fldSimple w:instr=" SEQ Tabulka \* ARABIC \s 1 ">
        <w:r>
          <w:rPr>
            <w:noProof/>
          </w:rPr>
          <w:t>5</w:t>
        </w:r>
      </w:fldSimple>
      <w:r w:rsidRPr="00BC1D05">
        <w:t>:</w:t>
      </w:r>
      <w:r w:rsidRPr="00C82C22">
        <w:t xml:space="preserve"> </w:t>
      </w:r>
      <w:r>
        <w:t>Hlavní výstupy hodnocení programu INGO</w:t>
      </w:r>
      <w:bookmarkEnd w:id="228"/>
    </w:p>
    <w:tbl>
      <w:tblPr>
        <w:tblW w:w="9639" w:type="dxa"/>
        <w:jc w:val="center"/>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28" w:type="dxa"/>
          <w:left w:w="57" w:type="dxa"/>
          <w:bottom w:w="28" w:type="dxa"/>
          <w:right w:w="57" w:type="dxa"/>
        </w:tblCellMar>
        <w:tblLook w:val="00A0"/>
      </w:tblPr>
      <w:tblGrid>
        <w:gridCol w:w="1644"/>
        <w:gridCol w:w="2665"/>
        <w:gridCol w:w="2665"/>
        <w:gridCol w:w="2665"/>
      </w:tblGrid>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Hodnocené období</w:t>
            </w:r>
          </w:p>
        </w:tc>
        <w:tc>
          <w:tcPr>
            <w:tcW w:w="2665"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1998-2012</w:t>
            </w:r>
          </w:p>
        </w:tc>
        <w:tc>
          <w:tcPr>
            <w:tcW w:w="2665"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Počet projektů</w:t>
            </w:r>
          </w:p>
        </w:tc>
        <w:tc>
          <w:tcPr>
            <w:tcW w:w="2665"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357</w:t>
            </w:r>
          </w:p>
        </w:tc>
      </w:tr>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Uznatelné náklady</w:t>
            </w:r>
          </w:p>
        </w:tc>
        <w:tc>
          <w:tcPr>
            <w:tcW w:w="2665"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1 648,2 mil. Kč</w:t>
            </w:r>
          </w:p>
        </w:tc>
        <w:tc>
          <w:tcPr>
            <w:tcW w:w="2665"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Státní podpora</w:t>
            </w:r>
          </w:p>
        </w:tc>
        <w:tc>
          <w:tcPr>
            <w:tcW w:w="2665"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1 346,3 mil Kč (82 %)</w:t>
            </w:r>
          </w:p>
        </w:tc>
      </w:tr>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Příjemci</w:t>
            </w:r>
          </w:p>
        </w:tc>
        <w:tc>
          <w:tcPr>
            <w:tcW w:w="799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AV ČR, veřejné vysoké školy, podniky</w:t>
            </w:r>
          </w:p>
        </w:tc>
      </w:tr>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Výsledky</w:t>
            </w:r>
          </w:p>
        </w:tc>
        <w:tc>
          <w:tcPr>
            <w:tcW w:w="799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Články v odborných periodikách a příspěvky ve sbornících z akcí</w:t>
            </w:r>
          </w:p>
        </w:tc>
      </w:tr>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Typ výzkumu</w:t>
            </w:r>
          </w:p>
        </w:tc>
        <w:tc>
          <w:tcPr>
            <w:tcW w:w="799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Základní výzkum (70 % státní podpory), velmi nízký počet aplikovaných výsledků</w:t>
            </w:r>
          </w:p>
        </w:tc>
      </w:tr>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Využití výsledků</w:t>
            </w:r>
          </w:p>
        </w:tc>
        <w:tc>
          <w:tcPr>
            <w:tcW w:w="799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Další výzkum v instituci příjemce či v dalších českých výzkumných organizacích</w:t>
            </w:r>
          </w:p>
        </w:tc>
      </w:tr>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Přínosy</w:t>
            </w:r>
          </w:p>
        </w:tc>
        <w:tc>
          <w:tcPr>
            <w:tcW w:w="799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Získání kontaktů pro rozvoj spolupráce a strategické směřování mezinárodní výzkumné organizace</w:t>
            </w:r>
          </w:p>
        </w:tc>
      </w:tr>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Závěry hodnocení</w:t>
            </w:r>
          </w:p>
        </w:tc>
        <w:tc>
          <w:tcPr>
            <w:tcW w:w="799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Program podporoval velmi nesouměřitelné projekty (účast ve významných výzkumných infrastrukturách vs. nevýznamné vědecké společnosti). Počet podpořených projektů a výše veřejné podpory alokované na jednotlivé obory byly značně nerovnoměrné se zvyšujícím se zastoupením základního výzkumu.</w:t>
            </w:r>
          </w:p>
        </w:tc>
      </w:tr>
    </w:tbl>
    <w:p w:rsidR="009D46E6" w:rsidRDefault="009D46E6" w:rsidP="00866283">
      <w:pPr>
        <w:pStyle w:val="Zdroj"/>
      </w:pPr>
      <w:r w:rsidRPr="00A231B5">
        <w:t xml:space="preserve">Zdroj: </w:t>
      </w:r>
      <w:r w:rsidRPr="00090C66">
        <w:t xml:space="preserve">Čadil, Vondrák (2013): Vyhodnocení programu </w:t>
      </w:r>
      <w:r>
        <w:t>INGO</w:t>
      </w:r>
      <w:r w:rsidRPr="00090C66">
        <w:t>. Technologické centrum AV ČR.</w:t>
      </w:r>
    </w:p>
    <w:p w:rsidR="009D46E6" w:rsidRPr="00C82C22" w:rsidRDefault="009D46E6" w:rsidP="00866283">
      <w:pPr>
        <w:rPr>
          <w:color w:val="7F7F7F"/>
        </w:rPr>
      </w:pPr>
    </w:p>
    <w:p w:rsidR="009D46E6" w:rsidRPr="004616D7" w:rsidRDefault="009D46E6" w:rsidP="00866283">
      <w:r w:rsidRPr="004616D7">
        <w:t xml:space="preserve">Programu KONTAKT </w:t>
      </w:r>
      <w:r>
        <w:t>(</w:t>
      </w:r>
      <w:r w:rsidRPr="004616D7">
        <w:t>II</w:t>
      </w:r>
      <w:r>
        <w:t>)</w:t>
      </w:r>
      <w:r w:rsidRPr="004616D7">
        <w:t xml:space="preserve"> podporuje mezinárodní spolupráci institucí zabývajících se VaV ve státech, se kterými má Česko sjednanou dohodu o vědeckotechnické spolupráci. Zatímco v předchozích letech se soustředil především na spolupráci s členskými státy EU, nově se orientuje primárně na USA, Čínu, Rusko, Japonsko a Jižní Koreu. Z první fáze vychází s vynikajícím hodnocením např. projekty zaměřené na analýza molekulárního uspořádání retrovirové částice (VŠCHT Praha), testy expresní diagnostiky pro atypické formy TBC (MediGEN) nebo charakterizace na atomární úrovni pomocí mikroskopu atomárních sil (FZÚ AV ČR).</w:t>
      </w:r>
    </w:p>
    <w:p w:rsidR="009D46E6" w:rsidRDefault="009D46E6" w:rsidP="00866283">
      <w:pPr>
        <w:spacing w:before="200" w:after="200" w:line="276" w:lineRule="auto"/>
        <w:jc w:val="left"/>
        <w:rPr>
          <w:b/>
          <w:bCs/>
          <w:i/>
          <w:color w:val="595959"/>
          <w:szCs w:val="18"/>
        </w:rPr>
      </w:pPr>
      <w:r>
        <w:br w:type="page"/>
      </w:r>
    </w:p>
    <w:p w:rsidR="009D46E6" w:rsidRPr="00BC1D05" w:rsidRDefault="009D46E6" w:rsidP="00750D9B">
      <w:pPr>
        <w:pStyle w:val="Caption"/>
      </w:pPr>
      <w:bookmarkStart w:id="229" w:name="_Toc369091939"/>
      <w:r>
        <w:t xml:space="preserve">Tabulka </w:t>
      </w:r>
      <w:fldSimple w:instr=" STYLEREF 1 \s ">
        <w:r>
          <w:rPr>
            <w:noProof/>
          </w:rPr>
          <w:t>E</w:t>
        </w:r>
      </w:fldSimple>
      <w:r>
        <w:t>.</w:t>
      </w:r>
      <w:fldSimple w:instr=" SEQ Tabulka \* ARABIC \s 1 ">
        <w:r>
          <w:rPr>
            <w:noProof/>
          </w:rPr>
          <w:t>6</w:t>
        </w:r>
      </w:fldSimple>
      <w:r w:rsidRPr="00BC1D05">
        <w:t>:</w:t>
      </w:r>
      <w:r w:rsidRPr="00C82C22">
        <w:t xml:space="preserve"> </w:t>
      </w:r>
      <w:r>
        <w:t>Hlavní výstupy hodnocení programu KONTAKT</w:t>
      </w:r>
      <w:bookmarkEnd w:id="229"/>
    </w:p>
    <w:tbl>
      <w:tblPr>
        <w:tblW w:w="9639" w:type="dxa"/>
        <w:jc w:val="center"/>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28" w:type="dxa"/>
          <w:left w:w="57" w:type="dxa"/>
          <w:bottom w:w="28" w:type="dxa"/>
          <w:right w:w="57" w:type="dxa"/>
        </w:tblCellMar>
        <w:tblLook w:val="00A0"/>
      </w:tblPr>
      <w:tblGrid>
        <w:gridCol w:w="1644"/>
        <w:gridCol w:w="2665"/>
        <w:gridCol w:w="2665"/>
        <w:gridCol w:w="2665"/>
      </w:tblGrid>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Hodnocené období</w:t>
            </w:r>
          </w:p>
        </w:tc>
        <w:tc>
          <w:tcPr>
            <w:tcW w:w="2665"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2006-2012</w:t>
            </w:r>
          </w:p>
        </w:tc>
        <w:tc>
          <w:tcPr>
            <w:tcW w:w="2665"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Počet projektů</w:t>
            </w:r>
          </w:p>
        </w:tc>
        <w:tc>
          <w:tcPr>
            <w:tcW w:w="2665"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1 461</w:t>
            </w:r>
          </w:p>
        </w:tc>
      </w:tr>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Uznatelné náklady</w:t>
            </w:r>
          </w:p>
        </w:tc>
        <w:tc>
          <w:tcPr>
            <w:tcW w:w="2665"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2 317,9 mil. Kč</w:t>
            </w:r>
          </w:p>
        </w:tc>
        <w:tc>
          <w:tcPr>
            <w:tcW w:w="2665"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Státní podpora</w:t>
            </w:r>
          </w:p>
        </w:tc>
        <w:tc>
          <w:tcPr>
            <w:tcW w:w="2665"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1 456,1 mil Kč (63 %)</w:t>
            </w:r>
          </w:p>
        </w:tc>
      </w:tr>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Příjemci</w:t>
            </w:r>
          </w:p>
        </w:tc>
        <w:tc>
          <w:tcPr>
            <w:tcW w:w="799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Veřejné vysoké školy, AV ČR</w:t>
            </w:r>
          </w:p>
        </w:tc>
      </w:tr>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Výsledky</w:t>
            </w:r>
          </w:p>
        </w:tc>
        <w:tc>
          <w:tcPr>
            <w:tcW w:w="799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Články v odborných periodikách a příspěvky ve sbornících z akcí</w:t>
            </w:r>
          </w:p>
        </w:tc>
      </w:tr>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Typ výzkumu</w:t>
            </w:r>
          </w:p>
        </w:tc>
        <w:tc>
          <w:tcPr>
            <w:tcW w:w="799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V průběhu realizace programu se zvyšoval podíl základního výzkumu - postupně se stal dominantním</w:t>
            </w:r>
          </w:p>
        </w:tc>
      </w:tr>
      <w:tr w:rsidR="009D46E6" w:rsidRPr="00DB1559" w:rsidTr="00DB1559">
        <w:trPr>
          <w:trHeight w:val="22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Využití výsledků</w:t>
            </w:r>
          </w:p>
        </w:tc>
        <w:tc>
          <w:tcPr>
            <w:tcW w:w="799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Další výzkum v instituci příjemce</w:t>
            </w:r>
          </w:p>
        </w:tc>
      </w:tr>
      <w:tr w:rsidR="009D46E6" w:rsidRPr="00DB1559" w:rsidTr="00DB1559">
        <w:trPr>
          <w:trHeight w:val="283"/>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Přínosy</w:t>
            </w:r>
          </w:p>
        </w:tc>
        <w:tc>
          <w:tcPr>
            <w:tcW w:w="799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Získání kontaktů pro rozvoj spolupráce, hostování zahraničních odborníků v ČR, zpřístupnění informací</w:t>
            </w:r>
          </w:p>
        </w:tc>
      </w:tr>
      <w:tr w:rsidR="009D46E6" w:rsidRPr="00DB1559" w:rsidTr="00DB1559">
        <w:trPr>
          <w:trHeight w:val="397"/>
          <w:jc w:val="center"/>
        </w:trPr>
        <w:tc>
          <w:tcPr>
            <w:tcW w:w="164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Závěry hodnocení</w:t>
            </w:r>
          </w:p>
        </w:tc>
        <w:tc>
          <w:tcPr>
            <w:tcW w:w="799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Program byl vymezen příliš široce, stanovoval jen obecné cíle bez prioritních oborů. Počet projektů a výše podpory alokované na jednotlivé obory byly značně nerovnoměrné. Čtvrtina projektů skončených do roku 2010 nedosáhla žádného výsledku uvedeného v IS VaVaI. Nezanedbatelný je přínos projektů v oblasti rozvoje lidských zdrojů, třebaže program nebyl takto koncipován.</w:t>
            </w:r>
          </w:p>
        </w:tc>
      </w:tr>
    </w:tbl>
    <w:p w:rsidR="009D46E6" w:rsidRDefault="009D46E6" w:rsidP="00866283">
      <w:pPr>
        <w:pStyle w:val="Zdroj"/>
      </w:pPr>
      <w:r w:rsidRPr="00A231B5">
        <w:t xml:space="preserve">Zdroj: </w:t>
      </w:r>
      <w:r w:rsidRPr="00090C66">
        <w:t xml:space="preserve">Čadil, Vondrák (2013): Vyhodnocení programu </w:t>
      </w:r>
      <w:r>
        <w:t>KONTAKT</w:t>
      </w:r>
      <w:r w:rsidRPr="00090C66">
        <w:t>. Technologické centrum AV ČR.</w:t>
      </w:r>
    </w:p>
    <w:p w:rsidR="009D46E6" w:rsidRDefault="009D46E6" w:rsidP="00866283">
      <w:pPr>
        <w:rPr>
          <w:color w:val="7F7F7F"/>
        </w:rPr>
      </w:pPr>
    </w:p>
    <w:p w:rsidR="009D46E6" w:rsidRPr="00B82261" w:rsidRDefault="009D46E6" w:rsidP="00866283">
      <w:r w:rsidRPr="00B82261">
        <w:t>Rozdílné cíle jednotlivých programů se projevují v převažujícím tematickém zaměření podpořených projektů (tab. E.7). Jednoznačná situace panuje v programu EUREKA (CZ), který se zaměřuje na podporu aplikovaného výzkumu a mezi obory jasně převažují technické a informatické vědy. Výjimku mezi ostatními představuje program EUPRO (II) vykazující vysoké zastoupení společenských věd. Vysokou atraktivitu pro zahraniční partnery, má Česko tradičně ve fyzikálních, chemických, biologických a technických vědách.</w:t>
      </w:r>
    </w:p>
    <w:p w:rsidR="009D46E6" w:rsidRPr="00BC1D05" w:rsidRDefault="009D46E6" w:rsidP="00750D9B">
      <w:pPr>
        <w:pStyle w:val="Caption"/>
      </w:pPr>
      <w:bookmarkStart w:id="230" w:name="_Toc369091940"/>
      <w:r>
        <w:t xml:space="preserve">Tabulka </w:t>
      </w:r>
      <w:fldSimple w:instr=" STYLEREF 1 \s ">
        <w:r>
          <w:rPr>
            <w:noProof/>
          </w:rPr>
          <w:t>E</w:t>
        </w:r>
      </w:fldSimple>
      <w:r>
        <w:t>.</w:t>
      </w:r>
      <w:fldSimple w:instr=" SEQ Tabulka \* ARABIC \s 1 ">
        <w:r>
          <w:rPr>
            <w:noProof/>
          </w:rPr>
          <w:t>7</w:t>
        </w:r>
      </w:fldSimple>
      <w:r w:rsidRPr="00BC1D05">
        <w:t>:</w:t>
      </w:r>
      <w:r w:rsidRPr="00C82C22">
        <w:t xml:space="preserve"> Tematické zaměření projektů v programech </w:t>
      </w:r>
      <w:r>
        <w:t xml:space="preserve">mzn. </w:t>
      </w:r>
      <w:r w:rsidRPr="00C82C22">
        <w:t>spolupráce (</w:t>
      </w:r>
      <w:r>
        <w:t>2007-2013</w:t>
      </w:r>
      <w:r w:rsidRPr="00C82C22">
        <w:t>)</w:t>
      </w:r>
      <w:bookmarkEnd w:id="230"/>
    </w:p>
    <w:p w:rsidR="009D46E6" w:rsidRDefault="009D46E6" w:rsidP="001D7F37">
      <w:pPr>
        <w:pStyle w:val="Objekt"/>
      </w:pPr>
      <w:r w:rsidRPr="001D1D98">
        <w:pict>
          <v:shape id="Obrázek 367" o:spid="_x0000_i1234" type="#_x0000_t75" style="width:477.6pt;height:132.6pt;visibility:visible">
            <v:imagedata r:id="rId230" o:title=""/>
          </v:shape>
        </w:pict>
      </w:r>
    </w:p>
    <w:p w:rsidR="009D46E6" w:rsidRDefault="009D46E6" w:rsidP="00866283">
      <w:pPr>
        <w:pStyle w:val="Zdroj"/>
      </w:pPr>
      <w:r>
        <w:t>Pozn.: Rozdělení vědních oborů dle současně platné Metodiky; zařazení dle roku zahájení řešení projektu; uvedeny počty projektů</w:t>
      </w:r>
    </w:p>
    <w:p w:rsidR="009D46E6" w:rsidRPr="00BD5EC7" w:rsidRDefault="009D46E6" w:rsidP="00866283">
      <w:pPr>
        <w:pStyle w:val="Zdroj"/>
      </w:pPr>
      <w:r>
        <w:t>Zdroj: IS VaVaI</w:t>
      </w:r>
    </w:p>
    <w:p w:rsidR="009D46E6" w:rsidRPr="001416A4" w:rsidRDefault="009D46E6" w:rsidP="00866283"/>
    <w:p w:rsidR="009D46E6" w:rsidRPr="001416A4" w:rsidRDefault="009D46E6" w:rsidP="00866283">
      <w:r w:rsidRPr="001416A4">
        <w:t>Jednotlivé programy jsou vyhlašovány jednou ročně prostřednictvím veřejných soutěží s tím, že čerpání podpory je zahájeno vždy v následujícím roce - výši finanční podpory ukazuje graf E.9). Hlavním znakem obejmu podpory v programech je její rozkolísanost v jednotlivých letech. Celkové uznané náklady jsou s výjimkou programu EUREKA (CZ), kdy se jedná o aplikovaný výzkum, prakticky totožné s výší podpory - příjemci vstupují do projektů minimem vlastních prostředků. Rozdíly mezi programy jsou rovněž v absolutním počtu podpořených projektů, který je v hrubém pohledu nepřímo úměrná velikosti jednotlivých projektů (graf E.10) - menší počet větších projektů je typický pro EUPRO (II) nebo EUREKA (CZ), opakem je program KONTAKT (II).</w:t>
      </w:r>
    </w:p>
    <w:p w:rsidR="009D46E6" w:rsidRPr="001416A4" w:rsidRDefault="009D46E6" w:rsidP="00866283">
      <w:r w:rsidRPr="001416A4">
        <w:t>Ukončení stávajících programů je plánováno na rok 2017 - návrh rozpočtu počítá s postupným mírným nárůstem alokace. Od roku 2016 by se alokace původních programů měla částečně překrývat s nově vyhlášenou třetí vlnou iniciativ na podporu mezinárodní spolupráce</w:t>
      </w:r>
      <w:r w:rsidRPr="001416A4">
        <w:rPr>
          <w:rStyle w:val="FootnoteReference"/>
          <w:rFonts w:cs="MetaPro-Normal"/>
        </w:rPr>
        <w:footnoteReference w:id="54"/>
      </w:r>
      <w:r w:rsidRPr="001416A4">
        <w:t>.</w:t>
      </w:r>
    </w:p>
    <w:p w:rsidR="009D46E6" w:rsidRPr="00C82C22" w:rsidRDefault="009D46E6" w:rsidP="00866283">
      <w:pPr>
        <w:rPr>
          <w:color w:val="7F7F7F"/>
        </w:rPr>
      </w:pPr>
    </w:p>
    <w:p w:rsidR="009D46E6" w:rsidRPr="00BD5EC7" w:rsidRDefault="009D46E6" w:rsidP="00750D9B">
      <w:pPr>
        <w:pStyle w:val="Caption"/>
      </w:pPr>
      <w:bookmarkStart w:id="231" w:name="_Toc369092087"/>
      <w:r>
        <w:t xml:space="preserve">Graf </w:t>
      </w:r>
      <w:fldSimple w:instr=" STYLEREF 1 \s ">
        <w:r>
          <w:rPr>
            <w:noProof/>
          </w:rPr>
          <w:t>E</w:t>
        </w:r>
      </w:fldSimple>
      <w:r>
        <w:t>.</w:t>
      </w:r>
      <w:fldSimple w:instr=" SEQ Graf \* ARABIC \s 1 ">
        <w:r>
          <w:rPr>
            <w:noProof/>
          </w:rPr>
          <w:t>9</w:t>
        </w:r>
      </w:fldSimple>
      <w:r w:rsidRPr="00BD5EC7">
        <w:t xml:space="preserve">: </w:t>
      </w:r>
      <w:r>
        <w:t>Objem podpořených projektů v programech mzn. spolupráce</w:t>
      </w:r>
      <w:r w:rsidRPr="00C82C22">
        <w:t xml:space="preserve"> (200</w:t>
      </w:r>
      <w:r>
        <w:t>7</w:t>
      </w:r>
      <w:r w:rsidRPr="00C82C22">
        <w:t>-201</w:t>
      </w:r>
      <w:r>
        <w:t>3</w:t>
      </w:r>
      <w:r w:rsidRPr="00C82C22">
        <w:t>; mil. Kč)</w:t>
      </w:r>
      <w:bookmarkEnd w:id="231"/>
    </w:p>
    <w:p w:rsidR="009D46E6" w:rsidRPr="00C82C22" w:rsidRDefault="009D46E6" w:rsidP="001D7F37">
      <w:pPr>
        <w:pStyle w:val="Objekt"/>
      </w:pPr>
      <w:r w:rsidRPr="001D1D98">
        <w:pict>
          <v:shape id="Chart 263" o:spid="_x0000_i1235" type="#_x0000_t75" style="width:481.8pt;height:194.4pt;visibility:visible" o:gfxdata="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">
            <v:imagedata r:id="rId231" o:title="" croptop="-2514f" cropbottom="-1239f" cropleft="-68f" cropright="-130f"/>
            <o:lock v:ext="edit" aspectratio="f"/>
          </v:shape>
        </w:pict>
      </w:r>
    </w:p>
    <w:p w:rsidR="009D46E6" w:rsidRDefault="009D46E6" w:rsidP="00866283">
      <w:pPr>
        <w:pStyle w:val="Zdroj"/>
      </w:pPr>
      <w:r>
        <w:t>Pozn.: Celková alokace projektu je započítaná v roce zahájení řešení projektu.</w:t>
      </w:r>
    </w:p>
    <w:p w:rsidR="009D46E6" w:rsidRPr="00BD5EC7" w:rsidRDefault="009D46E6" w:rsidP="00866283">
      <w:pPr>
        <w:pStyle w:val="Zdroj"/>
      </w:pPr>
      <w:r>
        <w:t>Zdroj: IS VaVaI</w:t>
      </w:r>
    </w:p>
    <w:p w:rsidR="009D46E6" w:rsidRPr="00C82C22" w:rsidRDefault="009D46E6" w:rsidP="00866283"/>
    <w:p w:rsidR="009D46E6" w:rsidRPr="00BD5EC7" w:rsidRDefault="009D46E6" w:rsidP="00750D9B">
      <w:pPr>
        <w:pStyle w:val="Caption"/>
      </w:pPr>
      <w:bookmarkStart w:id="232" w:name="_Toc369092088"/>
      <w:r>
        <w:t xml:space="preserve">Graf </w:t>
      </w:r>
      <w:fldSimple w:instr=" STYLEREF 1 \s ">
        <w:r>
          <w:rPr>
            <w:noProof/>
          </w:rPr>
          <w:t>E</w:t>
        </w:r>
      </w:fldSimple>
      <w:r>
        <w:t>.</w:t>
      </w:r>
      <w:fldSimple w:instr=" SEQ Graf \* ARABIC \s 1 ">
        <w:r>
          <w:rPr>
            <w:noProof/>
          </w:rPr>
          <w:t>10</w:t>
        </w:r>
      </w:fldSimple>
      <w:r w:rsidRPr="00BD5EC7">
        <w:t xml:space="preserve">: </w:t>
      </w:r>
      <w:r>
        <w:t>Srovnání počtu doručených návrhů a podpořených projektů (2007-2013)</w:t>
      </w:r>
      <w:bookmarkEnd w:id="232"/>
    </w:p>
    <w:p w:rsidR="009D46E6" w:rsidRPr="00C82C22" w:rsidRDefault="009D46E6" w:rsidP="001D7F37">
      <w:pPr>
        <w:pStyle w:val="Objekt"/>
      </w:pPr>
      <w:r w:rsidRPr="001D1D98">
        <w:pict>
          <v:shape id="Chart 265" o:spid="_x0000_i1236" type="#_x0000_t75" style="width:481.8pt;height:194.4pt;visibility:visible" o:gfxdata="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">
            <v:imagedata r:id="rId232" o:title="" croptop="-2514f" cropbottom="-1239f" cropleft="-130f" cropright="-61f"/>
            <o:lock v:ext="edit" aspectratio="f"/>
          </v:shape>
        </w:pict>
      </w:r>
    </w:p>
    <w:p w:rsidR="009D46E6" w:rsidRPr="00BD5EC7" w:rsidRDefault="009D46E6" w:rsidP="00866283">
      <w:pPr>
        <w:pStyle w:val="Zdroj"/>
      </w:pPr>
      <w:r w:rsidRPr="00BD5EC7">
        <w:t xml:space="preserve">Zdroj: </w:t>
      </w:r>
      <w:r w:rsidRPr="00C82C22">
        <w:t>IS VaVaI</w:t>
      </w:r>
    </w:p>
    <w:p w:rsidR="009D46E6" w:rsidRDefault="009D46E6" w:rsidP="00866283"/>
    <w:p w:rsidR="009D46E6" w:rsidRDefault="009D46E6" w:rsidP="00866283"/>
    <w:p w:rsidR="009D46E6" w:rsidRDefault="009D46E6" w:rsidP="00866283">
      <w:pPr>
        <w:sectPr w:rsidR="009D46E6" w:rsidSect="00FD3E45">
          <w:headerReference w:type="even" r:id="rId233"/>
          <w:pgSz w:w="11906" w:h="16838" w:code="9"/>
          <w:pgMar w:top="1134" w:right="1134" w:bottom="1134" w:left="1134" w:header="737" w:footer="567" w:gutter="0"/>
          <w:cols w:space="567"/>
          <w:docGrid w:linePitch="360"/>
        </w:sectPr>
      </w:pPr>
    </w:p>
    <w:p w:rsidR="009D46E6" w:rsidRDefault="009D46E6" w:rsidP="00866283">
      <w:pPr>
        <w:pStyle w:val="Heading1"/>
      </w:pPr>
      <w:bookmarkStart w:id="233" w:name="_Toc369091910"/>
      <w:r>
        <w:t>Využití prostředků ze strukturálních fondů na VaVaI</w:t>
      </w:r>
      <w:bookmarkEnd w:id="233"/>
    </w:p>
    <w:p w:rsidR="009D46E6" w:rsidRDefault="009D46E6" w:rsidP="00866283">
      <w:r w:rsidRPr="00AE0788">
        <w:t>Podíl výdajů na VaV pocházejících ze zahraničních zdrojů v Česku dlouhodobě roste</w:t>
      </w:r>
      <w:r>
        <w:t xml:space="preserve">, v souladu s trendem prohlubující se integrace Evropského výzkumného prostoru (ERA) a rozšiřující se globalizace znalostně založených ekonomických aktivit. </w:t>
      </w:r>
      <w:r w:rsidRPr="00AE0788">
        <w:t>Prost</w:t>
      </w:r>
      <w:r>
        <w:t>ředky ze strukturálních fondů Evropské unie (SF)</w:t>
      </w:r>
      <w:r w:rsidRPr="00AE0788">
        <w:t xml:space="preserve"> poskytují významnou příležitost k</w:t>
      </w:r>
      <w:r>
        <w:t xml:space="preserve">e </w:t>
      </w:r>
      <w:r w:rsidRPr="00AE0788">
        <w:t>zkvalitnění infrastrukturního zázemí VaV, modernizaci vzdělávacího sys</w:t>
      </w:r>
      <w:r>
        <w:t>tému a</w:t>
      </w:r>
      <w:r w:rsidRPr="00AE0788">
        <w:t xml:space="preserve"> rozvoj lidských zdrojů ve VaV </w:t>
      </w:r>
      <w:r>
        <w:t>i</w:t>
      </w:r>
      <w:r w:rsidRPr="00AE0788">
        <w:t xml:space="preserve"> podpoře inovačních aktivit v podnikovém sektoru.</w:t>
      </w:r>
    </w:p>
    <w:p w:rsidR="009D46E6" w:rsidRPr="00A55E2C" w:rsidRDefault="009D46E6" w:rsidP="00866283"/>
    <w:p w:rsidR="009D46E6" w:rsidRDefault="009D46E6" w:rsidP="00866283">
      <w:r>
        <w:rPr>
          <w:noProof/>
          <w:lang w:eastAsia="cs-CZ"/>
        </w:rPr>
      </w:r>
      <w:r>
        <w:rPr>
          <w:noProof/>
          <w:lang w:eastAsia="cs-CZ"/>
        </w:rPr>
        <w:pict>
          <v:shape id="Textové pole 331" o:spid="_x0000_s1054" type="#_x0000_t202" style="width:481.9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" strokecolor="#008ccd" strokeweight="2pt">
            <v:textbox style="mso-fit-shape-to-text:t" inset="2mm,2mm,2mm,2mm">
              <w:txbxContent>
                <w:p w:rsidR="009D46E6" w:rsidRPr="001D063F" w:rsidRDefault="009D46E6" w:rsidP="00866283">
                  <w:pPr>
                    <w:jc w:val="left"/>
                    <w:rPr>
                      <w:b/>
                    </w:rPr>
                  </w:pPr>
                  <w:r>
                    <w:rPr>
                      <w:b/>
                    </w:rPr>
                    <w:t>Hlavní trendy</w:t>
                  </w:r>
                </w:p>
                <w:p w:rsidR="009D46E6" w:rsidRDefault="009D46E6" w:rsidP="000E3106">
                  <w:pPr>
                    <w:pStyle w:val="Odrky"/>
                  </w:pPr>
                  <w:r>
                    <w:t>Podíl výdajů na VaV pocházejících ze zahraničních zdrojů v Česku dlouhodobě roste (aktuálně 25,9 % ~ 18,8 mld. Kč) – eskalace trendu je patrná od roku 2011 (průměrná meziroční změna 60 %).</w:t>
                  </w:r>
                </w:p>
                <w:p w:rsidR="009D46E6" w:rsidRDefault="009D46E6" w:rsidP="000E3106">
                  <w:pPr>
                    <w:pStyle w:val="Odrky"/>
                  </w:pPr>
                  <w:r>
                    <w:t>Růst objemu zahraničních prostředků ve VaV je doprovázen zvyšujícím se počtem pracovišť, které tyto zdroje využívají - mírný pokles ale v roce 2012 zaznamenal podnikatelský sektor.</w:t>
                  </w:r>
                </w:p>
                <w:p w:rsidR="009D46E6" w:rsidRDefault="009D46E6" w:rsidP="000E3106">
                  <w:pPr>
                    <w:pStyle w:val="Odrky"/>
                  </w:pPr>
                  <w:r>
                    <w:t>Objem výdajů na VaV krytých z veřejných zahraničních zdrojů dosáhl v roce 2011 téměř 11,6 mld. Kč, při zcela dominantním zastoupení zdrojů z EU (99 %).</w:t>
                  </w:r>
                </w:p>
                <w:p w:rsidR="009D46E6" w:rsidRDefault="009D46E6" w:rsidP="000E3106">
                  <w:pPr>
                    <w:pStyle w:val="Odrky"/>
                  </w:pPr>
                  <w:r>
                    <w:t>Strukturální fondy EU, přesněji vybrané oblasti podpory pěti operačních programů s přímou vazbou na VaVaI podpořily do června 2013 souhrnnou částkou 103,9 mld. Kč celkem 2 874 projektů - příjemcům bylo dosud proplaceno 47,3 mld. Kč.</w:t>
                  </w:r>
                </w:p>
                <w:p w:rsidR="009D46E6" w:rsidRDefault="009D46E6" w:rsidP="000E3106">
                  <w:pPr>
                    <w:pStyle w:val="Odrky"/>
                  </w:pPr>
                  <w:r>
                    <w:t>Největší podíl na podpoře má OP Výzkum a vývoj pro inovace (55,8 mld. Kč, primárně infrastruktura pro VaV) a OP Podnikání a inovace (33,9 mld. Kč, zejména inovace a spolupráce v aplikační sféře).</w:t>
                  </w:r>
                </w:p>
              </w:txbxContent>
            </v:textbox>
            <w10:anchorlock/>
          </v:shape>
        </w:pict>
      </w:r>
    </w:p>
    <w:p w:rsidR="009D46E6" w:rsidRPr="001D063F" w:rsidRDefault="009D46E6" w:rsidP="00866283"/>
    <w:p w:rsidR="009D46E6" w:rsidRDefault="009D46E6" w:rsidP="00866283">
      <w:r w:rsidRPr="00AE0788">
        <w:t xml:space="preserve">Finanční ukazatele v oddílu </w:t>
      </w:r>
      <w:r>
        <w:t>F</w:t>
      </w:r>
      <w:r w:rsidRPr="00AE0788">
        <w:t xml:space="preserve">.1 popisují celkový objem prostředků, které do českého VaV investují zahraniční subjekty i způsob, jakým jsou dále distribuovány. Vedle toho ukazují data ČSÚ a Eurostatu rovněž pozici Česka ve srovnání s ostatním členskými státy EU. </w:t>
      </w:r>
      <w:r>
        <w:t>V oddílu F.2 jsou analyzována o</w:t>
      </w:r>
      <w:r w:rsidRPr="00AE0788">
        <w:t xml:space="preserve">bsáhlá data o </w:t>
      </w:r>
      <w:r>
        <w:t xml:space="preserve">čerpání prostředků ze strukturálních fondů v období 2007 - 2013 </w:t>
      </w:r>
      <w:r w:rsidRPr="00AE0788">
        <w:t xml:space="preserve">z </w:t>
      </w:r>
      <w:r>
        <w:t>monitorovacích systémů jednotlivých řídících orgánů</w:t>
      </w:r>
      <w:r w:rsidRPr="00AE0788">
        <w:t>. Objem finančních prostředků na VaV</w:t>
      </w:r>
      <w:r>
        <w:t>aI</w:t>
      </w:r>
      <w:r w:rsidRPr="00AE0788">
        <w:t xml:space="preserve"> činnost, který je rozdělován prostřednictvím </w:t>
      </w:r>
      <w:r>
        <w:t>operačních programů (OP)</w:t>
      </w:r>
      <w:r w:rsidRPr="00AE0788">
        <w:t xml:space="preserve">, tvoří významný díl ze zahraničních zdrojů, proto je </w:t>
      </w:r>
      <w:r>
        <w:t>realizaci kohezní politiky</w:t>
      </w:r>
      <w:r w:rsidRPr="00AE0788">
        <w:t xml:space="preserve"> </w:t>
      </w:r>
      <w:r>
        <w:t xml:space="preserve">v </w:t>
      </w:r>
      <w:r w:rsidRPr="00AE0788">
        <w:t>Česk</w:t>
      </w:r>
      <w:r>
        <w:t>u</w:t>
      </w:r>
      <w:r w:rsidRPr="00AE0788">
        <w:t xml:space="preserve"> věnována převážná část této</w:t>
      </w:r>
      <w:r>
        <w:t xml:space="preserve"> nově zařazené diskuzní</w:t>
      </w:r>
      <w:r w:rsidRPr="00AE0788">
        <w:t xml:space="preserve"> kapitoly. </w:t>
      </w:r>
      <w:r>
        <w:t>Závěrečný oddíl se blíže věnuje tématu výzkumných infrastruktur - zřejmě nejviditelnějšímu výstupu aktuální podpory VaVaI ze SF</w:t>
      </w:r>
      <w:r w:rsidRPr="00AE0788">
        <w:t>.</w:t>
      </w:r>
    </w:p>
    <w:p w:rsidR="009D46E6" w:rsidRDefault="009D46E6" w:rsidP="00866283"/>
    <w:p w:rsidR="009D46E6" w:rsidRDefault="009D46E6" w:rsidP="00866283">
      <w:pPr>
        <w:pStyle w:val="Heading2"/>
      </w:pPr>
      <w:bookmarkStart w:id="234" w:name="_Toc369091911"/>
      <w:r w:rsidRPr="001D063F">
        <w:t xml:space="preserve">Financování </w:t>
      </w:r>
      <w:r>
        <w:t>výzkumu a vývoje</w:t>
      </w:r>
      <w:r w:rsidRPr="001D063F">
        <w:t xml:space="preserve"> ze zahraničních zdrojů</w:t>
      </w:r>
      <w:bookmarkEnd w:id="234"/>
    </w:p>
    <w:p w:rsidR="009D46E6" w:rsidRPr="00AE5C8F" w:rsidRDefault="009D46E6" w:rsidP="00866283">
      <w:r w:rsidRPr="00AE5C8F">
        <w:t>Kategorie zahraničních zdrojů se skládá ze soukromých prostředků, jejichž původcem jsou především podniky se sídlem mimo Česko, a prostředků veřejných, proudících do země hlavně z fondů EU, od mezinárodních organizací a vlád ostatních států. Podíl výdajů na VaV pocházejících ze zahraničních zdrojů v Česku dlouhodobě roste, eskalace trendu je patrná zejména od roku 2011 (graf F.1). V následujících dvou letech průměrná meziroční změna celkových výdajů ze zahraničních zdrojů dosáhla 60 %, a to díky bezprecedentnímu růstu objemu veřejných prostředků (z 2,2 na 11,6 mld. Kč) spojeným s pokrokem v čerpání SF určených na VaVaI. Ovšem ani přísun soukromých prostředků, který táhl růst do roku 2009, přes přetrvávající ekonomickou recesi se výrazně nesnížil a v roce 2011 se tak zastoupení zahraničních zdrojů ve VaV z privátního a veřejného v Česku prakticky vyrovnalo</w:t>
      </w:r>
      <w:r w:rsidRPr="00AE5C8F">
        <w:rPr>
          <w:rStyle w:val="FootnoteReference"/>
          <w:rFonts w:cs="MetaPro-Normal"/>
        </w:rPr>
        <w:footnoteReference w:id="55"/>
      </w:r>
      <w:r w:rsidRPr="00AE5C8F">
        <w:t>. V souhrnném pohledu tvoří zahraniční zdroje 26 % celkových výdajů na VaV v Česku, totožný poměr platí při omezení na soukromé zdroje, u veřejných prostředků však zahraniční představují 44 %.</w:t>
      </w:r>
    </w:p>
    <w:p w:rsidR="009D46E6" w:rsidRPr="00AE5C8F" w:rsidRDefault="009D46E6" w:rsidP="00866283">
      <w:r w:rsidRPr="00AE5C8F">
        <w:t>Růst objemu zahraničních prostředků ve VaV je doprovázen zvyšujícím se počtem pracovišť, která tyto zdroje využívají – rozšiřuje se základna těch, která mají potřebnou kvalitu či zkušenosti, aby na zahraniční veřejné</w:t>
      </w:r>
      <w:r w:rsidRPr="00AE5C8F">
        <w:rPr>
          <w:vertAlign w:val="superscript"/>
        </w:rPr>
        <w:footnoteReference w:id="56"/>
      </w:r>
      <w:r w:rsidRPr="00AE5C8F">
        <w:t xml:space="preserve"> zdroje dosáhla. Největší relativní nárůst je patrný u soukromých podniků pod zahraniční kontrolou, nad nimiž co do počtu prakticky čtyřnásobně převažují domácí firmy čerpající veřejné zahraniční zdroje. Rok 2012 však znamenal zastavení tohoto trendu, přesněji stabilizaci veřejného a mírný pokles podnikatelského sektoru, který lze interpretovat jako určité nasycení - nikoliv ve smyslu objemu prostředků, ale prostého počtu pracovišť, které mají kapacity být partnery pro zahraniční kapitál.</w:t>
      </w:r>
    </w:p>
    <w:p w:rsidR="009D46E6" w:rsidRPr="00BD5EC7" w:rsidRDefault="009D46E6" w:rsidP="00750D9B">
      <w:pPr>
        <w:pStyle w:val="Caption"/>
      </w:pPr>
      <w:bookmarkStart w:id="235" w:name="_Toc369092089"/>
      <w:r>
        <w:t xml:space="preserve">Graf </w:t>
      </w:r>
      <w:fldSimple w:instr=" STYLEREF 1 \s ">
        <w:r>
          <w:rPr>
            <w:noProof/>
          </w:rPr>
          <w:t>F</w:t>
        </w:r>
      </w:fldSimple>
      <w:r>
        <w:t>.</w:t>
      </w:r>
      <w:fldSimple w:instr=" SEQ Graf \* ARABIC \s 1 ">
        <w:r>
          <w:rPr>
            <w:noProof/>
          </w:rPr>
          <w:t>1</w:t>
        </w:r>
      </w:fldSimple>
      <w:r w:rsidRPr="00BD5EC7">
        <w:t xml:space="preserve">: </w:t>
      </w:r>
      <w:r w:rsidRPr="00A231B5">
        <w:t>Výdaje na VaV ze zahraničních zdrojů (Česko; 200</w:t>
      </w:r>
      <w:r>
        <w:t>7</w:t>
      </w:r>
      <w:r w:rsidRPr="00A231B5">
        <w:t>-201</w:t>
      </w:r>
      <w:r>
        <w:t>2</w:t>
      </w:r>
      <w:r w:rsidRPr="00A231B5">
        <w:t>; mld. Kč)</w:t>
      </w:r>
      <w:bookmarkEnd w:id="235"/>
    </w:p>
    <w:p w:rsidR="009D46E6" w:rsidRDefault="009D46E6" w:rsidP="001D7F37">
      <w:pPr>
        <w:pStyle w:val="Objekt"/>
      </w:pPr>
      <w:r w:rsidRPr="001D1D98">
        <w:pict>
          <v:shape id="Chart 273" o:spid="_x0000_i1238" type="#_x0000_t75" style="width:481.8pt;height:166.8pt;visibility:visible" o:gfxdata="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">
            <v:imagedata r:id="rId234" o:title="" croptop="-1569f" cropbottom="-2221f" cropleft="-131f" cropright="-654f"/>
            <o:lock v:ext="edit" aspectratio="f"/>
          </v:shape>
        </w:pict>
      </w:r>
    </w:p>
    <w:p w:rsidR="009D46E6" w:rsidRPr="00BD5EC7" w:rsidRDefault="009D46E6" w:rsidP="00866283">
      <w:pPr>
        <w:pStyle w:val="Zdroj"/>
      </w:pPr>
      <w:r w:rsidRPr="00BD5EC7">
        <w:t xml:space="preserve">Zdroj: </w:t>
      </w:r>
      <w:r w:rsidRPr="00A231B5">
        <w:t>ČSÚ 201</w:t>
      </w:r>
      <w:r>
        <w:t>3</w:t>
      </w:r>
      <w:r w:rsidRPr="00A231B5">
        <w:t xml:space="preserve"> - Roční statistické šetření výzkumu a vývoje VTR 5-01</w:t>
      </w:r>
    </w:p>
    <w:p w:rsidR="009D46E6" w:rsidRDefault="009D46E6" w:rsidP="00866283"/>
    <w:p w:rsidR="009D46E6" w:rsidRDefault="009D46E6" w:rsidP="00866283">
      <w:r w:rsidRPr="006F2CEA">
        <w:t>Objem výdajů na VaV v Česku krytých z veřejných zahraničních zdrojů dosáhl v roce 2012 téměř 11,6 mld. Kč, při zcela dominantním zastoupení zdrojů z EU (11,5 mld. Kč - včetně předfinancování ze státního rozpočtu). Vedle klíčového růstu prostředků rozdělených SF menším tempem posilovalo také financování z ostatních zdrojů (rámcové programy apod.).</w:t>
      </w:r>
      <w:r>
        <w:t xml:space="preserve"> </w:t>
      </w:r>
      <w:r w:rsidRPr="006F2CEA">
        <w:t>Protože prostředky z EU tvoří majoritní část výdajů na VaV z veřejných zahraničních zdrojů, jejich sektorové, tematické a geografické směřování prakticky kopíruje údaje uvedené v tabulce F.1.</w:t>
      </w:r>
      <w:r>
        <w:t xml:space="preserve"> V případě sektoru se tentokrát jedná o sektor užití prostředků, nikoliv jejich původ.</w:t>
      </w:r>
    </w:p>
    <w:p w:rsidR="009D46E6" w:rsidRDefault="009D46E6" w:rsidP="00866283">
      <w:r>
        <w:t>Hlavními trendy u veřejných zahraničních zdrojů je pokračující vyčnívání vysokoškolského sektoru, zčtyřnásobení objemu prostředků pro lékařské vědy v posledním sledovaném roce a rozevírání nůžek mezi dříve dominantní Prahou a Jihomoravským krajem - v roce 2012 již adresátem dvojnásobku financí.</w:t>
      </w:r>
    </w:p>
    <w:p w:rsidR="009D46E6" w:rsidRDefault="009D46E6" w:rsidP="00866283">
      <w:r>
        <w:t>Alokace soukromých zdrojů vychází z tržních principů a vykazuje proto odlišný vzorec - nezpochybnitelnou a dále sílící roli podnikatelského sektoru, prakticky neviditelný vysokoškolský sektor a vládní sektor, jehož výrazně lepší pozice je tvořená výsledky jediného pracoviště (Ústavem organické chemie a biochemie AV ČR). Praha zůstává cílem téměř poloviny soukromých zahraničních zdrojů na VaV a roste výrazněji než Jihomoravský kraj.</w:t>
      </w:r>
    </w:p>
    <w:p w:rsidR="009D46E6" w:rsidRPr="00BC1D05" w:rsidRDefault="009D46E6" w:rsidP="00750D9B">
      <w:pPr>
        <w:pStyle w:val="Caption"/>
      </w:pPr>
      <w:bookmarkStart w:id="236" w:name="_Toc369091941"/>
      <w:r>
        <w:t xml:space="preserve">Tabulka </w:t>
      </w:r>
      <w:fldSimple w:instr=" STYLEREF 1 \s ">
        <w:r>
          <w:rPr>
            <w:noProof/>
          </w:rPr>
          <w:t>F</w:t>
        </w:r>
      </w:fldSimple>
      <w:r>
        <w:t>.</w:t>
      </w:r>
      <w:fldSimple w:instr=" SEQ Tabulka \* ARABIC \s 1 ">
        <w:r>
          <w:rPr>
            <w:noProof/>
          </w:rPr>
          <w:t>1</w:t>
        </w:r>
      </w:fldSimple>
      <w:r w:rsidRPr="00BC1D05">
        <w:t xml:space="preserve">: </w:t>
      </w:r>
      <w:r w:rsidRPr="002F4CB9">
        <w:t>Struktura výdajů na VaV ze zahraničních zdrojů (Česko; 2007-201</w:t>
      </w:r>
      <w:r>
        <w:t>2</w:t>
      </w:r>
      <w:r w:rsidRPr="002F4CB9">
        <w:t>; mld. Kč)</w:t>
      </w:r>
      <w:bookmarkEnd w:id="236"/>
    </w:p>
    <w:p w:rsidR="009D46E6" w:rsidRDefault="009D46E6" w:rsidP="001D7F37">
      <w:pPr>
        <w:pStyle w:val="Objekt"/>
      </w:pPr>
      <w:r w:rsidRPr="001D1D98">
        <w:pict>
          <v:shape id="Obrázek 371" o:spid="_x0000_i1239" type="#_x0000_t75" style="width:481.2pt;height:268.2pt;visibility:visible">
            <v:imagedata r:id="rId235" o:title=""/>
          </v:shape>
        </w:pict>
      </w:r>
    </w:p>
    <w:p w:rsidR="009D46E6" w:rsidRPr="00A231B5" w:rsidRDefault="009D46E6" w:rsidP="00866283">
      <w:pPr>
        <w:pStyle w:val="Zdroj"/>
      </w:pPr>
      <w:r w:rsidRPr="00A231B5">
        <w:t>Pozn.: Barevný pruh ukazuje podíl daného sektoru/vědní oblasti/kraje na celkových výdajích (zobrazeny jsou vždy tři největší položky).</w:t>
      </w:r>
    </w:p>
    <w:p w:rsidR="009D46E6" w:rsidRDefault="009D46E6" w:rsidP="00866283">
      <w:pPr>
        <w:pStyle w:val="Zdroj"/>
      </w:pPr>
      <w:r w:rsidRPr="00A231B5">
        <w:t>Zdroj: ČSÚ  - Roční statistické šetření výzkumu a vývoje VTR 5-01</w:t>
      </w:r>
    </w:p>
    <w:p w:rsidR="009D46E6" w:rsidRDefault="009D46E6" w:rsidP="00866283"/>
    <w:p w:rsidR="009D46E6" w:rsidRDefault="009D46E6" w:rsidP="00866283">
      <w:r>
        <w:t>Na zahraniční veřejné zdroje dosáhlo v roce 2012 celkem 411 VaV pracovišť. Průměrná obdržená částka 28 mil. Kč se při zúžení kategorií výrazně diferencuje (podniky 10 mil. vs. vysoké školy 68 mil. Kč, třetinová finanční náročnost sociálních a humanitních věd oproti ostatním vědním oblastem). S růstem velikosti pracoviště se plynule zvyšuje objem získaných prostředků s výjimkou malých pracovišť do 5 zaměstnanců - ta získávají v průměru dvojnásobek částky než pracoviště v kategorii 5-19 zaměstnanců. Ústavy AV ČR využívají zahraniční zdroje v naprosté většině na výzkum v oblasti přírodních věd (75 %), u vysokých škol je rozdělení vyrovnanější - převažují technické vědy (45 %). Odlišnosti se přenáší i na regionální úroveň - ve vládním sektoru 65 % prostředků míří do Prahy, ve vysokoškolském je to pouze 6 % na úkor Jihomoravského (45 %) a Olomouckého kraje (16 %). Podnikatelský sektor je jednoznačně nejúspěšnější v Libereckém kraji (35 %).</w:t>
      </w:r>
    </w:p>
    <w:p w:rsidR="009D46E6" w:rsidRPr="005D7147" w:rsidRDefault="009D46E6" w:rsidP="00866283">
      <w:r>
        <w:t xml:space="preserve">Růst obejmu zahraničních soukromých zdrojů je tažen hlavně investicemi do VaV v oblasti ICT (meziročně </w:t>
      </w:r>
      <w:r w:rsidRPr="005D7147">
        <w:t xml:space="preserve">+26 %) a pak širokou skupinou profesních, vědeckých a technických činností. </w:t>
      </w:r>
    </w:p>
    <w:p w:rsidR="009D46E6" w:rsidRPr="005D7147" w:rsidRDefault="009D46E6" w:rsidP="00866283">
      <w:r w:rsidRPr="005D7147">
        <w:t xml:space="preserve">Míra, v jaké jsou národní prostředky na VaV doplňovány ze zahraničních zdrojů, se napříč státy velmi liší. Evropské státy podílem zahraničních zdrojů na VaV dalece předčí asijské země, kde má financování VaV výhradně národní rámec. Uvnitř EU pak určitou roli hraje velikost domácí ekonomiky. Velká hospodářství (Německo, Francie) mají zastoupení zahraničních zdrojů ve VaV (podíl na GERD) nižší, do evropského přerozdělovacího mechanismu spíše přispívají – v grafu F.2 se nachází vlevo od hodnoty EU28. Výjimku v tomto ohledu představuje </w:t>
      </w:r>
      <w:r>
        <w:t>Spojené království</w:t>
      </w:r>
      <w:r w:rsidRPr="005D7147">
        <w:t>.</w:t>
      </w:r>
    </w:p>
    <w:p w:rsidR="009D46E6" w:rsidRPr="005D7147" w:rsidRDefault="009D46E6" w:rsidP="00866283">
      <w:r w:rsidRPr="005D7147">
        <w:t>Objem zahraničních zdrojů mířících do Česka vzrostl mezi roky 2007 a 2011 pětinásobně, což znamenalo téměř ztrojnásobení podílu na (také rostoucích) GERD – Česko se tak dostalo v tomto ukazateli vysoce nad průměr EU28 a ze zemí s dostupnými údaji dosahuje nejvyšší hodnoty.</w:t>
      </w:r>
    </w:p>
    <w:p w:rsidR="009D46E6" w:rsidRPr="005D7147" w:rsidRDefault="009D46E6" w:rsidP="00866283">
      <w:r w:rsidRPr="005D7147">
        <w:t xml:space="preserve">Přepočet zahraničních zdrojů na HDP odstraňuje vliv velikosti celkových výdajů na VaV. Vysoko nad průměr EU vystupují severské země (Dánsko, Finsko), Rakousko nebo </w:t>
      </w:r>
      <w:r>
        <w:t>Spojené království</w:t>
      </w:r>
      <w:r w:rsidRPr="005D7147">
        <w:t>, pod hodnotou EU28 pak zůstávají všechny nové členské země mimo Estonska a Česka. Česko se díky výraznému růstu zahraničních zdrojů ve VaV a naopak stagnujícímu HDP posunulo nad úroveň všech zemí vyjma Rakouska.</w:t>
      </w:r>
    </w:p>
    <w:p w:rsidR="009D46E6" w:rsidRPr="005D7147" w:rsidRDefault="009D46E6" w:rsidP="00866283">
      <w:r w:rsidRPr="005D7147">
        <w:t>Právě vývojový trend mezi roky 2007 a 2011 dodává grafu třetí rozměr. Česko zaznamenalo v tomto období masivní příliv zahraničních zdrojů do VaV a prošlo tak nejvýraznější změnou ze zobrazených zemí.</w:t>
      </w:r>
      <w:r>
        <w:t xml:space="preserve"> Podíl zahraničních zdrojů na HDP přitom roste mírně rychleji než jejich podíl na GERD - zatímco HDP stagnuje, GERD i v době hospodářského útlumu rostou (právě díky zahraničním veřejným zdrojům)). </w:t>
      </w:r>
    </w:p>
    <w:p w:rsidR="009D46E6" w:rsidRDefault="009D46E6" w:rsidP="00750D9B">
      <w:pPr>
        <w:pStyle w:val="Caption"/>
      </w:pPr>
      <w:bookmarkStart w:id="237" w:name="_Toc369092090"/>
      <w:r>
        <w:t xml:space="preserve">Graf </w:t>
      </w:r>
      <w:fldSimple w:instr=" STYLEREF 1 \s ">
        <w:r>
          <w:rPr>
            <w:noProof/>
          </w:rPr>
          <w:t>F</w:t>
        </w:r>
      </w:fldSimple>
      <w:r>
        <w:t>.</w:t>
      </w:r>
      <w:fldSimple w:instr=" SEQ Graf \* ARABIC \s 1 ">
        <w:r>
          <w:rPr>
            <w:noProof/>
          </w:rPr>
          <w:t>2</w:t>
        </w:r>
      </w:fldSimple>
      <w:r w:rsidRPr="00BD5EC7">
        <w:t xml:space="preserve">: </w:t>
      </w:r>
      <w:r w:rsidRPr="002F4CB9">
        <w:t>Podíl výdajů na VaV ze zahraničních zdrojů na HDP a GERD (země EU; 200</w:t>
      </w:r>
      <w:r>
        <w:t>7-2011</w:t>
      </w:r>
      <w:r w:rsidRPr="002F4CB9">
        <w:t>)</w:t>
      </w:r>
      <w:bookmarkEnd w:id="237"/>
    </w:p>
    <w:p w:rsidR="009D46E6" w:rsidRPr="002F4CB9" w:rsidRDefault="009D46E6" w:rsidP="001D7F37">
      <w:pPr>
        <w:pStyle w:val="Objekt"/>
      </w:pPr>
      <w:r w:rsidRPr="001D1D98">
        <w:pict>
          <v:shape id="Chart 275" o:spid="_x0000_i1240" type="#_x0000_t75" style="width:472.2pt;height:198.6pt;visibility:visible" o:gfxdata="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">
            <v:imagedata r:id="rId236" o:title="" croptop="-641f" cropbottom="-708f" cropleft="-332f" cropright="-858f"/>
            <o:lock v:ext="edit" aspectratio="f"/>
          </v:shape>
        </w:pict>
      </w:r>
    </w:p>
    <w:p w:rsidR="009D46E6" w:rsidRDefault="009D46E6" w:rsidP="00866283">
      <w:pPr>
        <w:pStyle w:val="Zdroj"/>
      </w:pPr>
      <w:r w:rsidRPr="002F4CB9">
        <w:t xml:space="preserve">Pozn.: </w:t>
      </w:r>
      <w:r>
        <w:t>Zobrazeny jsou pouze vybrané země EU s dostupnými údaji za rok 2011</w:t>
      </w:r>
      <w:r w:rsidRPr="002F4CB9">
        <w:t>.</w:t>
      </w:r>
    </w:p>
    <w:p w:rsidR="009D46E6" w:rsidRDefault="009D46E6" w:rsidP="00866283">
      <w:pPr>
        <w:pStyle w:val="Zdroj"/>
      </w:pPr>
      <w:r w:rsidRPr="002F4CB9">
        <w:t>Zdroj: Eurostat; ČSÚ - Roční statistické šetření výzkumu a vývoje VTR 5-01</w:t>
      </w:r>
    </w:p>
    <w:p w:rsidR="009D46E6" w:rsidRPr="005D7147" w:rsidRDefault="009D46E6" w:rsidP="00866283">
      <w:r w:rsidRPr="005D7147">
        <w:br w:type="page"/>
      </w:r>
    </w:p>
    <w:p w:rsidR="009D46E6" w:rsidRDefault="009D46E6" w:rsidP="00866283">
      <w:pPr>
        <w:pStyle w:val="Heading2"/>
      </w:pPr>
      <w:bookmarkStart w:id="238" w:name="_Toc369091912"/>
      <w:r>
        <w:t>Podpora VaVaI ze strukturálních fondů</w:t>
      </w:r>
      <w:bookmarkEnd w:id="238"/>
    </w:p>
    <w:p w:rsidR="009D46E6" w:rsidRPr="00EE155B" w:rsidRDefault="009D46E6" w:rsidP="00EE155B">
      <w:pPr>
        <w:spacing w:before="240"/>
        <w:rPr>
          <w:b/>
        </w:rPr>
      </w:pPr>
      <w:r w:rsidRPr="00EE155B">
        <w:rPr>
          <w:b/>
        </w:rPr>
        <w:t>Institucionální kontext</w:t>
      </w:r>
    </w:p>
    <w:p w:rsidR="009D46E6" w:rsidRDefault="009D46E6" w:rsidP="00866283">
      <w:r w:rsidRPr="002878D4">
        <w:t xml:space="preserve">EU realizuje cíle své regionální a strukturální politiky v rámci sedmiletých cyklů, pro které členské země zpracovávají vždy nové programové dokumenty. </w:t>
      </w:r>
      <w:r>
        <w:t xml:space="preserve">Česko se po svém přistoupení (květen 2004) zapojilo do zkráceného </w:t>
      </w:r>
      <w:r w:rsidRPr="002878D4">
        <w:t>programovací období 200</w:t>
      </w:r>
      <w:r>
        <w:t xml:space="preserve">4 </w:t>
      </w:r>
      <w:r w:rsidRPr="002878D4">
        <w:t>-</w:t>
      </w:r>
      <w:r>
        <w:t xml:space="preserve"> </w:t>
      </w:r>
      <w:r w:rsidRPr="002878D4">
        <w:t>2006</w:t>
      </w:r>
      <w:r>
        <w:rPr>
          <w:rStyle w:val="FootnoteReference"/>
          <w:rFonts w:cs="MetaPro-Normal"/>
        </w:rPr>
        <w:footnoteReference w:id="57"/>
      </w:r>
      <w:r>
        <w:t>, současné programy jsou vymezeny roky</w:t>
      </w:r>
      <w:r w:rsidRPr="002878D4">
        <w:t xml:space="preserve"> 2007 </w:t>
      </w:r>
      <w:r>
        <w:t>a</w:t>
      </w:r>
      <w:r w:rsidRPr="002878D4">
        <w:t xml:space="preserve"> 2013.</w:t>
      </w:r>
      <w:r>
        <w:t xml:space="preserve"> Možnost čerpat prostředky je u běžících projektů prodloužena pravidlem N+2</w:t>
      </w:r>
      <w:r>
        <w:rPr>
          <w:rStyle w:val="FootnoteReference"/>
          <w:rFonts w:cs="MetaPro-Normal"/>
        </w:rPr>
        <w:footnoteReference w:id="58"/>
      </w:r>
      <w:r>
        <w:t xml:space="preserve"> až do konce roku 2015.</w:t>
      </w:r>
    </w:p>
    <w:p w:rsidR="009D46E6" w:rsidRDefault="009D46E6" w:rsidP="00866283">
      <w:r>
        <w:t>Cíle r</w:t>
      </w:r>
      <w:r w:rsidRPr="002878D4">
        <w:t>egionální a struktu</w:t>
      </w:r>
      <w:r>
        <w:t>rální politiky EU jsou financovány krze strukturální fondy (SF) - investiční projekty z Evropského</w:t>
      </w:r>
      <w:r w:rsidRPr="009A3C07">
        <w:t xml:space="preserve"> fond</w:t>
      </w:r>
      <w:r>
        <w:t>u</w:t>
      </w:r>
      <w:r w:rsidRPr="009A3C07">
        <w:t xml:space="preserve"> pro regionální rozvo</w:t>
      </w:r>
      <w:r>
        <w:t>j (ERDF), sociální programy nebo rozvoj lidských zdrojů z Evropského sociálního fondu (ESF).</w:t>
      </w:r>
      <w:r w:rsidRPr="00047C46">
        <w:t xml:space="preserve"> V </w:t>
      </w:r>
      <w:r>
        <w:t>aktuálním</w:t>
      </w:r>
      <w:r w:rsidRPr="00047C46">
        <w:t xml:space="preserve"> programov</w:t>
      </w:r>
      <w:r>
        <w:t>acím</w:t>
      </w:r>
      <w:r w:rsidRPr="00047C46">
        <w:t xml:space="preserve"> období </w:t>
      </w:r>
      <w:r>
        <w:t xml:space="preserve">bylo v rámci SF pro Česko alokováno </w:t>
      </w:r>
      <w:r w:rsidRPr="00047C46">
        <w:t>26,7 mld. E</w:t>
      </w:r>
      <w:r>
        <w:t>ur</w:t>
      </w:r>
      <w:r w:rsidRPr="00047C46">
        <w:t xml:space="preserve"> (</w:t>
      </w:r>
      <w:r>
        <w:t>tj. téměř 800</w:t>
      </w:r>
      <w:r w:rsidRPr="00047C46">
        <w:t xml:space="preserve"> mld. Kč).</w:t>
      </w:r>
      <w:r>
        <w:t xml:space="preserve"> </w:t>
      </w:r>
      <w:r w:rsidRPr="00D805C7">
        <w:t>Jednotlivé</w:t>
      </w:r>
      <w:r>
        <w:t xml:space="preserve"> operační programy</w:t>
      </w:r>
      <w:r w:rsidRPr="00D805C7">
        <w:t xml:space="preserve"> </w:t>
      </w:r>
      <w:r>
        <w:t>(</w:t>
      </w:r>
      <w:r w:rsidRPr="00D805C7">
        <w:t>OP</w:t>
      </w:r>
      <w:r>
        <w:t>)</w:t>
      </w:r>
      <w:r w:rsidRPr="00D805C7">
        <w:t xml:space="preserve"> stále disponují částí alokace, kterou řídicí orgány plánují rozdělit </w:t>
      </w:r>
      <w:r>
        <w:t>(v červnu 2013 tato částka představovala 14,5 % celkové alokace)</w:t>
      </w:r>
      <w:r w:rsidRPr="00D805C7">
        <w:t>.</w:t>
      </w:r>
    </w:p>
    <w:p w:rsidR="009D46E6" w:rsidRDefault="009D46E6" w:rsidP="00866283">
      <w:r>
        <w:t>Národní</w:t>
      </w:r>
      <w:r w:rsidRPr="008C1B87">
        <w:t xml:space="preserve"> strategick</w:t>
      </w:r>
      <w:r>
        <w:t>ý referenční</w:t>
      </w:r>
      <w:r w:rsidRPr="008C1B87">
        <w:t xml:space="preserve"> rám</w:t>
      </w:r>
      <w:r>
        <w:t>e</w:t>
      </w:r>
      <w:r w:rsidRPr="008C1B87">
        <w:t>c</w:t>
      </w:r>
      <w:r>
        <w:t xml:space="preserve"> </w:t>
      </w:r>
      <w:r w:rsidRPr="003B671C">
        <w:t>(NSRR)</w:t>
      </w:r>
      <w:r>
        <w:t xml:space="preserve"> </w:t>
      </w:r>
      <w:r w:rsidRPr="00393436">
        <w:t>představuje základní programový dokument Č</w:t>
      </w:r>
      <w:r>
        <w:t>R</w:t>
      </w:r>
      <w:r w:rsidRPr="00393436">
        <w:t xml:space="preserve"> pro využívání fondů </w:t>
      </w:r>
      <w:r>
        <w:t>a udává systém OP.</w:t>
      </w:r>
      <w:r w:rsidRPr="00156A6F">
        <w:t xml:space="preserve"> </w:t>
      </w:r>
      <w:r>
        <w:t>Zaměření jednotlivých OP je specifikováno strukturou prioritních os, oblastí podpory a dílčích programů nebo aktivit - graf F.3.</w:t>
      </w:r>
      <w:r w:rsidRPr="006072F8">
        <w:t xml:space="preserve"> </w:t>
      </w:r>
      <w:r w:rsidRPr="003C4E89">
        <w:t>Vedle věcných vymezení hranic se jmenované programy odlišují zejména zdroji podpory (OPVK - ESF a OP VaVpI, OPPI - ERDF) nebo pravidly pro veřejnou podporu stanovenými Evropskou komisí (OP VaVpI se zaměřuje na akademickou sféru, OPPI navazuje podporou VaVaI procesů v podnicích).</w:t>
      </w:r>
    </w:p>
    <w:p w:rsidR="009D46E6" w:rsidRDefault="009D46E6" w:rsidP="00866283">
      <w:r>
        <w:t xml:space="preserve">Ve vymezení OP hrají roli i rozdílné režimy veřejné podpory. </w:t>
      </w:r>
      <w:r w:rsidRPr="003C4E89">
        <w:t>Podpora OP VaVpI umožní zvýšit kapacitu VaV a terciárního vzdělávání prostřednictvím investic do infrastruktury. Ty jsou provázané s měkkými intervencemi OPVK a podporou návazných fází inovačního procesu OPPI.</w:t>
      </w:r>
      <w:r>
        <w:t xml:space="preserve"> Stranou pak stojí dva OP omezené na území hl. m. Prahy a financované v rámci cíle Konkurenceschopnost a zaměstnanost s obecně nižší mírou podpory.</w:t>
      </w:r>
    </w:p>
    <w:p w:rsidR="009D46E6" w:rsidRPr="00BD5EC7" w:rsidRDefault="009D46E6" w:rsidP="00750D9B">
      <w:pPr>
        <w:pStyle w:val="Caption"/>
      </w:pPr>
      <w:bookmarkStart w:id="239" w:name="_Toc369092091"/>
      <w:r>
        <w:t xml:space="preserve">Graf </w:t>
      </w:r>
      <w:fldSimple w:instr=" STYLEREF 1 \s ">
        <w:r>
          <w:rPr>
            <w:noProof/>
          </w:rPr>
          <w:t>F</w:t>
        </w:r>
      </w:fldSimple>
      <w:r>
        <w:t>.</w:t>
      </w:r>
      <w:fldSimple w:instr=" SEQ Graf \* ARABIC \s 1 ">
        <w:r>
          <w:rPr>
            <w:noProof/>
          </w:rPr>
          <w:t>3</w:t>
        </w:r>
      </w:fldSimple>
      <w:r w:rsidRPr="00BD5EC7">
        <w:t xml:space="preserve">: </w:t>
      </w:r>
      <w:r>
        <w:t>Operační programy podporující VaVaI a jejich struktura (období 2007-2013)</w:t>
      </w:r>
      <w:bookmarkEnd w:id="239"/>
    </w:p>
    <w:tbl>
      <w:tblPr>
        <w:tblW w:w="9579" w:type="dxa"/>
        <w:jc w:val="center"/>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top w:w="28" w:type="dxa"/>
          <w:left w:w="28" w:type="dxa"/>
          <w:bottom w:w="28" w:type="dxa"/>
          <w:right w:w="28" w:type="dxa"/>
        </w:tblCellMar>
        <w:tblLook w:val="00A0"/>
      </w:tblPr>
      <w:tblGrid>
        <w:gridCol w:w="1587"/>
        <w:gridCol w:w="1587"/>
        <w:gridCol w:w="1587"/>
        <w:gridCol w:w="1587"/>
        <w:gridCol w:w="1587"/>
        <w:gridCol w:w="1644"/>
      </w:tblGrid>
      <w:tr w:rsidR="009D46E6" w:rsidRPr="00DB1559" w:rsidTr="00DB1559">
        <w:trPr>
          <w:trHeight w:val="283"/>
          <w:jc w:val="center"/>
        </w:trPr>
        <w:tc>
          <w:tcPr>
            <w:tcW w:w="1587" w:type="dxa"/>
            <w:vAlign w:val="center"/>
          </w:tcPr>
          <w:p w:rsidR="009D46E6" w:rsidRPr="00DB1559" w:rsidRDefault="009D46E6" w:rsidP="00DB1559">
            <w:pPr>
              <w:keepNext/>
              <w:spacing w:after="0" w:line="240" w:lineRule="auto"/>
              <w:jc w:val="center"/>
              <w:rPr>
                <w:rFonts w:cs="Tahoma"/>
                <w:color w:val="FFFFFF"/>
                <w:sz w:val="16"/>
                <w:szCs w:val="16"/>
              </w:rPr>
            </w:pPr>
          </w:p>
        </w:tc>
        <w:tc>
          <w:tcPr>
            <w:tcW w:w="1587" w:type="dxa"/>
            <w:vAlign w:val="center"/>
          </w:tcPr>
          <w:p w:rsidR="009D46E6" w:rsidRPr="00DB1559" w:rsidRDefault="009D46E6" w:rsidP="00DB1559">
            <w:pPr>
              <w:keepNext/>
              <w:spacing w:after="0" w:line="240" w:lineRule="auto"/>
              <w:jc w:val="center"/>
              <w:rPr>
                <w:rFonts w:cs="Tahoma"/>
                <w:color w:val="FFFFFF"/>
                <w:sz w:val="16"/>
                <w:szCs w:val="16"/>
              </w:rPr>
            </w:pPr>
          </w:p>
        </w:tc>
        <w:tc>
          <w:tcPr>
            <w:tcW w:w="1587" w:type="dxa"/>
            <w:vAlign w:val="center"/>
          </w:tcPr>
          <w:p w:rsidR="009D46E6" w:rsidRPr="00DB1559" w:rsidRDefault="009D46E6" w:rsidP="00DB1559">
            <w:pPr>
              <w:keepNext/>
              <w:spacing w:after="0" w:line="240" w:lineRule="auto"/>
              <w:jc w:val="center"/>
              <w:rPr>
                <w:rFonts w:cs="Tahoma"/>
                <w:color w:val="FFFFFF"/>
                <w:sz w:val="16"/>
                <w:szCs w:val="16"/>
              </w:rPr>
            </w:pPr>
          </w:p>
        </w:tc>
        <w:tc>
          <w:tcPr>
            <w:tcW w:w="1587" w:type="dxa"/>
            <w:vAlign w:val="center"/>
          </w:tcPr>
          <w:p w:rsidR="009D46E6" w:rsidRPr="00DB1559" w:rsidRDefault="009D46E6" w:rsidP="00DB1559">
            <w:pPr>
              <w:keepNext/>
              <w:spacing w:after="0" w:line="240" w:lineRule="auto"/>
              <w:jc w:val="center"/>
              <w:rPr>
                <w:rFonts w:cs="Tahoma"/>
                <w:color w:val="FFFFFF"/>
                <w:sz w:val="16"/>
                <w:szCs w:val="16"/>
              </w:rPr>
            </w:pPr>
          </w:p>
        </w:tc>
        <w:tc>
          <w:tcPr>
            <w:tcW w:w="1587" w:type="dxa"/>
            <w:vAlign w:val="center"/>
          </w:tcPr>
          <w:p w:rsidR="009D46E6" w:rsidRPr="00DB1559" w:rsidRDefault="009D46E6" w:rsidP="00DB1559">
            <w:pPr>
              <w:keepNext/>
              <w:spacing w:after="0" w:line="240" w:lineRule="auto"/>
              <w:jc w:val="center"/>
              <w:rPr>
                <w:rFonts w:cs="Tahoma"/>
                <w:color w:val="FFFFFF"/>
                <w:sz w:val="16"/>
                <w:szCs w:val="16"/>
              </w:rPr>
            </w:pPr>
          </w:p>
        </w:tc>
        <w:tc>
          <w:tcPr>
            <w:tcW w:w="1644" w:type="dxa"/>
            <w:shd w:val="clear" w:color="auto" w:fill="00416E"/>
            <w:vAlign w:val="center"/>
          </w:tcPr>
          <w:p w:rsidR="009D46E6" w:rsidRPr="00DB1559" w:rsidRDefault="009D46E6" w:rsidP="00DB1559">
            <w:pPr>
              <w:keepNext/>
              <w:spacing w:after="0" w:line="240" w:lineRule="auto"/>
              <w:jc w:val="center"/>
              <w:rPr>
                <w:rFonts w:cs="Tahoma"/>
                <w:color w:val="FFFFFF"/>
                <w:sz w:val="16"/>
                <w:szCs w:val="16"/>
              </w:rPr>
            </w:pPr>
            <w:r w:rsidRPr="00DB1559">
              <w:rPr>
                <w:rFonts w:cs="Tahoma"/>
                <w:color w:val="FFFFFF"/>
                <w:sz w:val="16"/>
                <w:szCs w:val="16"/>
              </w:rPr>
              <w:t>Strukturální fondy</w:t>
            </w:r>
          </w:p>
        </w:tc>
      </w:tr>
      <w:tr w:rsidR="009D46E6" w:rsidRPr="00DB1559" w:rsidTr="00DB1559">
        <w:trPr>
          <w:trHeight w:val="283"/>
          <w:jc w:val="center"/>
        </w:trPr>
        <w:tc>
          <w:tcPr>
            <w:tcW w:w="1587" w:type="dxa"/>
            <w:tcBorders>
              <w:bottom w:val="dashSmallGap" w:sz="8" w:space="0" w:color="008CCD"/>
            </w:tcBorders>
            <w:shd w:val="clear" w:color="auto" w:fill="FFFFFF"/>
            <w:vAlign w:val="center"/>
          </w:tcPr>
          <w:p w:rsidR="009D46E6" w:rsidRPr="00DB1559" w:rsidRDefault="009D46E6" w:rsidP="00DB1559">
            <w:pPr>
              <w:keepNext/>
              <w:spacing w:after="0" w:line="240" w:lineRule="auto"/>
              <w:jc w:val="center"/>
              <w:rPr>
                <w:rFonts w:cs="Tahoma"/>
                <w:color w:val="CD5F1E"/>
                <w:sz w:val="16"/>
                <w:szCs w:val="16"/>
              </w:rPr>
            </w:pPr>
            <w:r>
              <w:rPr>
                <w:noProof/>
                <w:lang w:eastAsia="cs-CZ"/>
              </w:rPr>
              <w:pict>
                <v:shapetype id="_x0000_t32" coordsize="21600,21600" o:spt="32" o:oned="t" path="m,l21600,21600e" filled="f">
                  <v:path arrowok="t" fillok="f" o:connecttype="none"/>
                  <o:lock v:ext="edit" shapetype="t"/>
                </v:shapetype>
                <v:shape id="Přímá spojnice se šipkou 332" o:spid="_x0000_s1055" type="#_x0000_t32" style="position:absolute;left:0;text-align:left;margin-left:442.05pt;margin-top:2.25pt;width:0;height:14.15pt;z-index:251649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" o:allowincell="f" strokecolor="#cd5f1e" strokeweight="1.5pt">
                  <v:stroke dashstyle="3 1" endarrow="open" endarrowlength="short"/>
                </v:shape>
              </w:pict>
            </w:r>
          </w:p>
        </w:tc>
        <w:tc>
          <w:tcPr>
            <w:tcW w:w="1587" w:type="dxa"/>
            <w:tcBorders>
              <w:bottom w:val="dashSmallGap" w:sz="8" w:space="0" w:color="008CCD"/>
            </w:tcBorders>
            <w:shd w:val="clear" w:color="auto" w:fill="FFFFFF"/>
            <w:vAlign w:val="center"/>
          </w:tcPr>
          <w:p w:rsidR="009D46E6" w:rsidRPr="00DB1559" w:rsidRDefault="009D46E6" w:rsidP="00DB1559">
            <w:pPr>
              <w:keepNext/>
              <w:spacing w:after="0" w:line="240" w:lineRule="auto"/>
              <w:jc w:val="center"/>
              <w:rPr>
                <w:rFonts w:cs="Tahoma"/>
                <w:color w:val="FFFFFF"/>
                <w:sz w:val="16"/>
                <w:szCs w:val="16"/>
              </w:rPr>
            </w:pPr>
          </w:p>
        </w:tc>
        <w:tc>
          <w:tcPr>
            <w:tcW w:w="1587" w:type="dxa"/>
            <w:tcBorders>
              <w:bottom w:val="dashSmallGap" w:sz="8" w:space="0" w:color="008CCD"/>
            </w:tcBorders>
            <w:shd w:val="clear" w:color="auto" w:fill="FFFFFF"/>
            <w:vAlign w:val="center"/>
          </w:tcPr>
          <w:p w:rsidR="009D46E6" w:rsidRPr="00DB1559" w:rsidRDefault="009D46E6" w:rsidP="00DB1559">
            <w:pPr>
              <w:keepNext/>
              <w:spacing w:after="0" w:line="240" w:lineRule="auto"/>
              <w:jc w:val="center"/>
              <w:rPr>
                <w:rFonts w:cs="Tahoma"/>
                <w:color w:val="FFFFFF"/>
                <w:sz w:val="16"/>
                <w:szCs w:val="16"/>
              </w:rPr>
            </w:pPr>
          </w:p>
        </w:tc>
        <w:tc>
          <w:tcPr>
            <w:tcW w:w="1587" w:type="dxa"/>
            <w:tcBorders>
              <w:bottom w:val="dashSmallGap" w:sz="8" w:space="0" w:color="008CCD"/>
            </w:tcBorders>
            <w:shd w:val="clear" w:color="auto" w:fill="FFFFFF"/>
            <w:vAlign w:val="center"/>
          </w:tcPr>
          <w:p w:rsidR="009D46E6" w:rsidRPr="00DB1559" w:rsidRDefault="009D46E6" w:rsidP="00DB1559">
            <w:pPr>
              <w:keepNext/>
              <w:spacing w:after="0" w:line="240" w:lineRule="auto"/>
              <w:jc w:val="center"/>
              <w:rPr>
                <w:rFonts w:cs="Tahoma"/>
                <w:color w:val="FFFFFF"/>
                <w:sz w:val="16"/>
                <w:szCs w:val="16"/>
              </w:rPr>
            </w:pPr>
          </w:p>
        </w:tc>
        <w:tc>
          <w:tcPr>
            <w:tcW w:w="1587" w:type="dxa"/>
            <w:tcBorders>
              <w:bottom w:val="dashSmallGap" w:sz="8" w:space="0" w:color="008CCD"/>
            </w:tcBorders>
            <w:shd w:val="clear" w:color="auto" w:fill="FFFFFF"/>
            <w:vAlign w:val="center"/>
          </w:tcPr>
          <w:p w:rsidR="009D46E6" w:rsidRPr="00DB1559" w:rsidRDefault="009D46E6" w:rsidP="00DB1559">
            <w:pPr>
              <w:keepNext/>
              <w:spacing w:after="0" w:line="240" w:lineRule="auto"/>
              <w:jc w:val="center"/>
              <w:rPr>
                <w:rFonts w:cs="Tahoma"/>
                <w:color w:val="FFFFFF"/>
                <w:sz w:val="16"/>
                <w:szCs w:val="16"/>
              </w:rPr>
            </w:pPr>
          </w:p>
        </w:tc>
        <w:tc>
          <w:tcPr>
            <w:tcW w:w="1644" w:type="dxa"/>
            <w:tcBorders>
              <w:bottom w:val="dashSmallGap" w:sz="8" w:space="0" w:color="CD5F1E"/>
            </w:tcBorders>
            <w:shd w:val="clear" w:color="auto" w:fill="FFFFFF"/>
            <w:vAlign w:val="center"/>
          </w:tcPr>
          <w:p w:rsidR="009D46E6" w:rsidRPr="00DB1559" w:rsidRDefault="009D46E6" w:rsidP="00DB1559">
            <w:pPr>
              <w:keepNext/>
              <w:spacing w:after="0" w:line="240" w:lineRule="auto"/>
              <w:jc w:val="center"/>
              <w:rPr>
                <w:rFonts w:cs="Tahoma"/>
                <w:color w:val="C3003C"/>
                <w:sz w:val="16"/>
                <w:szCs w:val="16"/>
              </w:rPr>
            </w:pPr>
          </w:p>
        </w:tc>
      </w:tr>
      <w:tr w:rsidR="009D46E6" w:rsidRPr="00DB1559" w:rsidTr="00DB1559">
        <w:trPr>
          <w:trHeight w:val="283"/>
          <w:jc w:val="center"/>
        </w:trPr>
        <w:tc>
          <w:tcPr>
            <w:tcW w:w="1587" w:type="dxa"/>
            <w:tcBorders>
              <w:top w:val="dashSmallGap" w:sz="8" w:space="0" w:color="008CCD"/>
              <w:left w:val="dashSmallGap" w:sz="8" w:space="0" w:color="008CCD"/>
              <w:bottom w:val="dashSmallGap" w:sz="8" w:space="0" w:color="008CCD"/>
              <w:right w:val="dashSmallGap" w:sz="8" w:space="0" w:color="008CCD"/>
            </w:tcBorders>
            <w:vAlign w:val="center"/>
          </w:tcPr>
          <w:p w:rsidR="009D46E6" w:rsidRPr="00DB1559" w:rsidRDefault="009D46E6" w:rsidP="00DB1559">
            <w:pPr>
              <w:keepNext/>
              <w:spacing w:after="0" w:line="240" w:lineRule="auto"/>
              <w:jc w:val="center"/>
              <w:rPr>
                <w:rFonts w:cs="Tahoma"/>
                <w:color w:val="00416E"/>
                <w:sz w:val="16"/>
                <w:szCs w:val="16"/>
              </w:rPr>
            </w:pPr>
            <w:r w:rsidRPr="00DB1559">
              <w:rPr>
                <w:rFonts w:cs="Tahoma"/>
                <w:color w:val="00416E"/>
                <w:sz w:val="16"/>
                <w:szCs w:val="16"/>
              </w:rPr>
              <w:t>OP VaVpI</w:t>
            </w:r>
          </w:p>
        </w:tc>
        <w:tc>
          <w:tcPr>
            <w:tcW w:w="1587" w:type="dxa"/>
            <w:tcBorders>
              <w:top w:val="dashSmallGap" w:sz="8" w:space="0" w:color="008CCD"/>
              <w:left w:val="dashSmallGap" w:sz="8" w:space="0" w:color="008CCD"/>
              <w:bottom w:val="dashSmallGap" w:sz="8" w:space="0" w:color="008CCD"/>
              <w:right w:val="dashSmallGap" w:sz="8" w:space="0" w:color="008CCD"/>
            </w:tcBorders>
            <w:vAlign w:val="center"/>
          </w:tcPr>
          <w:p w:rsidR="009D46E6" w:rsidRPr="00DB1559" w:rsidRDefault="009D46E6" w:rsidP="00DB1559">
            <w:pPr>
              <w:keepNext/>
              <w:spacing w:after="0" w:line="240" w:lineRule="auto"/>
              <w:jc w:val="center"/>
              <w:rPr>
                <w:rFonts w:cs="Tahoma"/>
                <w:color w:val="00416E"/>
                <w:sz w:val="16"/>
                <w:szCs w:val="16"/>
              </w:rPr>
            </w:pPr>
            <w:r w:rsidRPr="00DB1559">
              <w:rPr>
                <w:rFonts w:cs="Tahoma"/>
                <w:color w:val="00416E"/>
                <w:sz w:val="16"/>
                <w:szCs w:val="16"/>
              </w:rPr>
              <w:t>OPVK</w:t>
            </w:r>
          </w:p>
        </w:tc>
        <w:tc>
          <w:tcPr>
            <w:tcW w:w="1587" w:type="dxa"/>
            <w:tcBorders>
              <w:top w:val="dashSmallGap" w:sz="8" w:space="0" w:color="008CCD"/>
              <w:left w:val="dashSmallGap" w:sz="8" w:space="0" w:color="008CCD"/>
              <w:bottom w:val="dashSmallGap" w:sz="8" w:space="0" w:color="008CCD"/>
              <w:right w:val="dashSmallGap" w:sz="8" w:space="0" w:color="008CCD"/>
            </w:tcBorders>
            <w:vAlign w:val="center"/>
          </w:tcPr>
          <w:p w:rsidR="009D46E6" w:rsidRPr="00DB1559" w:rsidRDefault="009D46E6" w:rsidP="00DB1559">
            <w:pPr>
              <w:keepNext/>
              <w:spacing w:after="0" w:line="240" w:lineRule="auto"/>
              <w:jc w:val="center"/>
              <w:rPr>
                <w:rFonts w:cs="Tahoma"/>
                <w:color w:val="00416E"/>
                <w:sz w:val="16"/>
                <w:szCs w:val="16"/>
              </w:rPr>
            </w:pPr>
            <w:r w:rsidRPr="00DB1559">
              <w:rPr>
                <w:rFonts w:cs="Tahoma"/>
                <w:color w:val="00416E"/>
                <w:sz w:val="16"/>
                <w:szCs w:val="16"/>
              </w:rPr>
              <w:t>OPPI</w:t>
            </w:r>
          </w:p>
        </w:tc>
        <w:tc>
          <w:tcPr>
            <w:tcW w:w="1587" w:type="dxa"/>
            <w:tcBorders>
              <w:top w:val="dashSmallGap" w:sz="8" w:space="0" w:color="008CCD"/>
              <w:left w:val="dashSmallGap" w:sz="8" w:space="0" w:color="008CCD"/>
              <w:bottom w:val="dashSmallGap" w:sz="8" w:space="0" w:color="008CCD"/>
              <w:right w:val="dashSmallGap" w:sz="8" w:space="0" w:color="008CCD"/>
            </w:tcBorders>
            <w:vAlign w:val="center"/>
          </w:tcPr>
          <w:p w:rsidR="009D46E6" w:rsidRPr="00DB1559" w:rsidRDefault="009D46E6" w:rsidP="00DB1559">
            <w:pPr>
              <w:keepNext/>
              <w:spacing w:after="0" w:line="240" w:lineRule="auto"/>
              <w:jc w:val="center"/>
              <w:rPr>
                <w:rFonts w:cs="Tahoma"/>
                <w:color w:val="00416E"/>
                <w:sz w:val="16"/>
                <w:szCs w:val="16"/>
              </w:rPr>
            </w:pPr>
            <w:r w:rsidRPr="00DB1559">
              <w:rPr>
                <w:rFonts w:cs="Tahoma"/>
                <w:color w:val="00416E"/>
                <w:sz w:val="16"/>
                <w:szCs w:val="16"/>
              </w:rPr>
              <w:t>OPPK</w:t>
            </w:r>
          </w:p>
        </w:tc>
        <w:tc>
          <w:tcPr>
            <w:tcW w:w="1587" w:type="dxa"/>
            <w:tcBorders>
              <w:top w:val="dashSmallGap" w:sz="8" w:space="0" w:color="008CCD"/>
              <w:left w:val="dashSmallGap" w:sz="8" w:space="0" w:color="008CCD"/>
              <w:bottom w:val="dashSmallGap" w:sz="8" w:space="0" w:color="008CCD"/>
              <w:right w:val="dashSmallGap" w:sz="8" w:space="0" w:color="CD5F1E"/>
            </w:tcBorders>
            <w:vAlign w:val="center"/>
          </w:tcPr>
          <w:p w:rsidR="009D46E6" w:rsidRPr="00DB1559" w:rsidRDefault="009D46E6" w:rsidP="00DB1559">
            <w:pPr>
              <w:keepNext/>
              <w:spacing w:after="0" w:line="240" w:lineRule="auto"/>
              <w:jc w:val="center"/>
              <w:rPr>
                <w:rFonts w:cs="Tahoma"/>
                <w:color w:val="00416E"/>
                <w:sz w:val="16"/>
                <w:szCs w:val="16"/>
              </w:rPr>
            </w:pPr>
            <w:r w:rsidRPr="00DB1559">
              <w:rPr>
                <w:rFonts w:cs="Tahoma"/>
                <w:color w:val="00416E"/>
                <w:sz w:val="16"/>
                <w:szCs w:val="16"/>
              </w:rPr>
              <w:t>OPPA</w:t>
            </w:r>
          </w:p>
        </w:tc>
        <w:tc>
          <w:tcPr>
            <w:tcW w:w="1644" w:type="dxa"/>
            <w:tcBorders>
              <w:top w:val="dashSmallGap" w:sz="8" w:space="0" w:color="CD5F1E"/>
              <w:left w:val="dashSmallGap" w:sz="8" w:space="0" w:color="CD5F1E"/>
              <w:bottom w:val="dashSmallGap" w:sz="8" w:space="0" w:color="CD5F1E"/>
              <w:right w:val="dashSmallGap" w:sz="8" w:space="0" w:color="CD5F1E"/>
            </w:tcBorders>
            <w:vAlign w:val="center"/>
          </w:tcPr>
          <w:p w:rsidR="009D46E6" w:rsidRPr="00DB1559" w:rsidRDefault="009D46E6" w:rsidP="00DB1559">
            <w:pPr>
              <w:keepNext/>
              <w:spacing w:after="0" w:line="240" w:lineRule="auto"/>
              <w:jc w:val="center"/>
              <w:rPr>
                <w:rFonts w:cs="Tahoma"/>
                <w:color w:val="00416E"/>
                <w:sz w:val="16"/>
                <w:szCs w:val="16"/>
              </w:rPr>
            </w:pPr>
            <w:r w:rsidRPr="00DB1559">
              <w:rPr>
                <w:rFonts w:cs="Tahoma"/>
                <w:color w:val="00416E"/>
                <w:sz w:val="16"/>
                <w:szCs w:val="16"/>
              </w:rPr>
              <w:t>Operační program</w:t>
            </w:r>
          </w:p>
        </w:tc>
      </w:tr>
      <w:tr w:rsidR="009D46E6" w:rsidRPr="00DB1559" w:rsidTr="00DB1559">
        <w:trPr>
          <w:trHeight w:val="283"/>
          <w:jc w:val="center"/>
        </w:trPr>
        <w:tc>
          <w:tcPr>
            <w:tcW w:w="1587" w:type="dxa"/>
            <w:tcBorders>
              <w:top w:val="dashSmallGap" w:sz="8" w:space="0" w:color="008CCD"/>
              <w:left w:val="dashSmallGap" w:sz="8" w:space="0" w:color="008CCD"/>
              <w:bottom w:val="dashSmallGap" w:sz="8" w:space="0" w:color="008CCD"/>
              <w:right w:val="dashSmallGap" w:sz="8" w:space="0" w:color="008CCD"/>
            </w:tcBorders>
            <w:vAlign w:val="center"/>
          </w:tcPr>
          <w:p w:rsidR="009D46E6" w:rsidRPr="00DB1559" w:rsidRDefault="009D46E6" w:rsidP="00DB1559">
            <w:pPr>
              <w:keepNext/>
              <w:spacing w:after="0" w:line="240" w:lineRule="auto"/>
              <w:jc w:val="center"/>
              <w:rPr>
                <w:rFonts w:cs="Tahoma"/>
                <w:color w:val="00416E"/>
                <w:sz w:val="16"/>
                <w:szCs w:val="16"/>
              </w:rPr>
            </w:pPr>
            <w:r w:rsidRPr="00DB1559">
              <w:rPr>
                <w:rFonts w:cs="Tahoma"/>
                <w:color w:val="00416E"/>
                <w:sz w:val="16"/>
                <w:szCs w:val="16"/>
              </w:rPr>
              <w:t>PO1 - PO4</w:t>
            </w:r>
          </w:p>
        </w:tc>
        <w:tc>
          <w:tcPr>
            <w:tcW w:w="1587" w:type="dxa"/>
            <w:tcBorders>
              <w:top w:val="dashSmallGap" w:sz="8" w:space="0" w:color="008CCD"/>
              <w:left w:val="dashSmallGap" w:sz="8" w:space="0" w:color="008CCD"/>
              <w:bottom w:val="dashSmallGap" w:sz="8" w:space="0" w:color="008CCD"/>
              <w:right w:val="dashSmallGap" w:sz="8" w:space="0" w:color="008CCD"/>
            </w:tcBorders>
            <w:vAlign w:val="center"/>
          </w:tcPr>
          <w:p w:rsidR="009D46E6" w:rsidRPr="00DB1559" w:rsidRDefault="009D46E6" w:rsidP="00DB1559">
            <w:pPr>
              <w:keepNext/>
              <w:spacing w:after="0" w:line="240" w:lineRule="auto"/>
              <w:jc w:val="center"/>
              <w:rPr>
                <w:rFonts w:cs="Tahoma"/>
                <w:color w:val="00416E"/>
                <w:sz w:val="16"/>
                <w:szCs w:val="16"/>
              </w:rPr>
            </w:pPr>
            <w:r w:rsidRPr="00DB1559">
              <w:rPr>
                <w:rFonts w:cs="Tahoma"/>
                <w:color w:val="00416E"/>
                <w:sz w:val="16"/>
                <w:szCs w:val="16"/>
              </w:rPr>
              <w:t>PO2</w:t>
            </w:r>
          </w:p>
        </w:tc>
        <w:tc>
          <w:tcPr>
            <w:tcW w:w="1587" w:type="dxa"/>
            <w:tcBorders>
              <w:top w:val="dashSmallGap" w:sz="8" w:space="0" w:color="008CCD"/>
              <w:left w:val="dashSmallGap" w:sz="8" w:space="0" w:color="008CCD"/>
              <w:bottom w:val="dashSmallGap" w:sz="8" w:space="0" w:color="008CCD"/>
              <w:right w:val="dashSmallGap" w:sz="8" w:space="0" w:color="008CCD"/>
            </w:tcBorders>
            <w:vAlign w:val="center"/>
          </w:tcPr>
          <w:p w:rsidR="009D46E6" w:rsidRPr="00DB1559" w:rsidRDefault="009D46E6" w:rsidP="00DB1559">
            <w:pPr>
              <w:keepNext/>
              <w:spacing w:after="0" w:line="240" w:lineRule="auto"/>
              <w:jc w:val="center"/>
              <w:rPr>
                <w:rFonts w:cs="Tahoma"/>
                <w:color w:val="00416E"/>
                <w:sz w:val="16"/>
                <w:szCs w:val="16"/>
              </w:rPr>
            </w:pPr>
            <w:r w:rsidRPr="00DB1559">
              <w:rPr>
                <w:rFonts w:cs="Tahoma"/>
                <w:color w:val="00416E"/>
                <w:sz w:val="16"/>
                <w:szCs w:val="16"/>
              </w:rPr>
              <w:t>PO4 - PO5</w:t>
            </w:r>
          </w:p>
        </w:tc>
        <w:tc>
          <w:tcPr>
            <w:tcW w:w="1587" w:type="dxa"/>
            <w:tcBorders>
              <w:top w:val="dashSmallGap" w:sz="8" w:space="0" w:color="008CCD"/>
              <w:left w:val="dashSmallGap" w:sz="8" w:space="0" w:color="008CCD"/>
              <w:bottom w:val="dashSmallGap" w:sz="8" w:space="0" w:color="008CCD"/>
              <w:right w:val="dashSmallGap" w:sz="8" w:space="0" w:color="008CCD"/>
            </w:tcBorders>
            <w:vAlign w:val="center"/>
          </w:tcPr>
          <w:p w:rsidR="009D46E6" w:rsidRPr="00DB1559" w:rsidRDefault="009D46E6" w:rsidP="00DB1559">
            <w:pPr>
              <w:keepNext/>
              <w:spacing w:after="0" w:line="240" w:lineRule="auto"/>
              <w:jc w:val="center"/>
              <w:rPr>
                <w:rFonts w:cs="Tahoma"/>
                <w:color w:val="00416E"/>
                <w:sz w:val="16"/>
                <w:szCs w:val="16"/>
              </w:rPr>
            </w:pPr>
            <w:r w:rsidRPr="00DB1559">
              <w:rPr>
                <w:rFonts w:cs="Tahoma"/>
                <w:color w:val="00416E"/>
                <w:sz w:val="16"/>
                <w:szCs w:val="16"/>
              </w:rPr>
              <w:t>PO3</w:t>
            </w:r>
          </w:p>
        </w:tc>
        <w:tc>
          <w:tcPr>
            <w:tcW w:w="1587" w:type="dxa"/>
            <w:tcBorders>
              <w:top w:val="dashSmallGap" w:sz="8" w:space="0" w:color="008CCD"/>
              <w:left w:val="dashSmallGap" w:sz="8" w:space="0" w:color="008CCD"/>
              <w:bottom w:val="dashSmallGap" w:sz="8" w:space="0" w:color="008CCD"/>
              <w:right w:val="dashSmallGap" w:sz="8" w:space="0" w:color="CD5F1E"/>
            </w:tcBorders>
            <w:vAlign w:val="center"/>
          </w:tcPr>
          <w:p w:rsidR="009D46E6" w:rsidRPr="00DB1559" w:rsidRDefault="009D46E6" w:rsidP="00DB1559">
            <w:pPr>
              <w:keepNext/>
              <w:spacing w:after="0" w:line="240" w:lineRule="auto"/>
              <w:jc w:val="center"/>
              <w:rPr>
                <w:rFonts w:cs="Tahoma"/>
                <w:color w:val="00416E"/>
                <w:sz w:val="16"/>
                <w:szCs w:val="16"/>
              </w:rPr>
            </w:pPr>
            <w:r w:rsidRPr="00DB1559">
              <w:rPr>
                <w:rFonts w:cs="Tahoma"/>
                <w:color w:val="00416E"/>
                <w:sz w:val="16"/>
                <w:szCs w:val="16"/>
              </w:rPr>
              <w:t>PO1</w:t>
            </w:r>
          </w:p>
        </w:tc>
        <w:tc>
          <w:tcPr>
            <w:tcW w:w="1644" w:type="dxa"/>
            <w:tcBorders>
              <w:top w:val="dashSmallGap" w:sz="8" w:space="0" w:color="CD5F1E"/>
              <w:left w:val="dashSmallGap" w:sz="8" w:space="0" w:color="CD5F1E"/>
              <w:bottom w:val="dashSmallGap" w:sz="8" w:space="0" w:color="CD5F1E"/>
              <w:right w:val="dashSmallGap" w:sz="8" w:space="0" w:color="CD5F1E"/>
            </w:tcBorders>
            <w:vAlign w:val="center"/>
          </w:tcPr>
          <w:p w:rsidR="009D46E6" w:rsidRPr="00DB1559" w:rsidRDefault="009D46E6" w:rsidP="00DB1559">
            <w:pPr>
              <w:keepNext/>
              <w:spacing w:after="0" w:line="240" w:lineRule="auto"/>
              <w:jc w:val="center"/>
              <w:rPr>
                <w:rFonts w:cs="Tahoma"/>
                <w:color w:val="00416E"/>
                <w:sz w:val="16"/>
                <w:szCs w:val="16"/>
              </w:rPr>
            </w:pPr>
            <w:r w:rsidRPr="00DB1559">
              <w:rPr>
                <w:rFonts w:cs="Tahoma"/>
                <w:color w:val="00416E"/>
                <w:sz w:val="16"/>
                <w:szCs w:val="16"/>
              </w:rPr>
              <w:t>Prioritní osa</w:t>
            </w:r>
          </w:p>
        </w:tc>
      </w:tr>
      <w:tr w:rsidR="009D46E6" w:rsidRPr="00DB1559" w:rsidTr="00DB1559">
        <w:trPr>
          <w:trHeight w:val="283"/>
          <w:jc w:val="center"/>
        </w:trPr>
        <w:tc>
          <w:tcPr>
            <w:tcW w:w="1587" w:type="dxa"/>
            <w:tcBorders>
              <w:top w:val="dashSmallGap" w:sz="8" w:space="0" w:color="008CCD"/>
              <w:left w:val="dashSmallGap" w:sz="8" w:space="0" w:color="008CCD"/>
              <w:bottom w:val="dashSmallGap" w:sz="8" w:space="0" w:color="008CCD"/>
              <w:right w:val="dashSmallGap" w:sz="8" w:space="0" w:color="008CCD"/>
            </w:tcBorders>
            <w:vAlign w:val="center"/>
          </w:tcPr>
          <w:p w:rsidR="009D46E6" w:rsidRPr="00DB1559" w:rsidRDefault="009D46E6" w:rsidP="00DB1559">
            <w:pPr>
              <w:keepNext/>
              <w:spacing w:after="0" w:line="240" w:lineRule="auto"/>
              <w:jc w:val="center"/>
              <w:rPr>
                <w:rFonts w:cs="Tahoma"/>
                <w:color w:val="00416E"/>
                <w:sz w:val="16"/>
                <w:szCs w:val="16"/>
              </w:rPr>
            </w:pPr>
            <w:r w:rsidRPr="00DB1559">
              <w:rPr>
                <w:rFonts w:cs="Tahoma"/>
                <w:color w:val="00416E"/>
                <w:sz w:val="16"/>
                <w:szCs w:val="16"/>
              </w:rPr>
              <w:t>Evropská centra excelence</w:t>
            </w:r>
          </w:p>
        </w:tc>
        <w:tc>
          <w:tcPr>
            <w:tcW w:w="1587" w:type="dxa"/>
            <w:tcBorders>
              <w:top w:val="dashSmallGap" w:sz="8" w:space="0" w:color="008CCD"/>
              <w:left w:val="dashSmallGap" w:sz="8" w:space="0" w:color="008CCD"/>
              <w:bottom w:val="dashSmallGap" w:sz="8" w:space="0" w:color="008CCD"/>
              <w:right w:val="dashSmallGap" w:sz="8" w:space="0" w:color="008CCD"/>
            </w:tcBorders>
            <w:vAlign w:val="center"/>
          </w:tcPr>
          <w:p w:rsidR="009D46E6" w:rsidRPr="00DB1559" w:rsidRDefault="009D46E6" w:rsidP="00DB1559">
            <w:pPr>
              <w:keepNext/>
              <w:spacing w:after="0" w:line="240" w:lineRule="auto"/>
              <w:jc w:val="center"/>
              <w:rPr>
                <w:rFonts w:cs="Tahoma"/>
                <w:color w:val="00416E"/>
                <w:sz w:val="16"/>
                <w:szCs w:val="16"/>
              </w:rPr>
            </w:pPr>
            <w:r w:rsidRPr="00DB1559">
              <w:rPr>
                <w:rFonts w:cs="Tahoma"/>
                <w:color w:val="00416E"/>
                <w:sz w:val="16"/>
                <w:szCs w:val="16"/>
              </w:rPr>
              <w:t>Lidské zdroje ve VaV</w:t>
            </w:r>
          </w:p>
        </w:tc>
        <w:tc>
          <w:tcPr>
            <w:tcW w:w="1587" w:type="dxa"/>
            <w:tcBorders>
              <w:top w:val="dashSmallGap" w:sz="8" w:space="0" w:color="008CCD"/>
              <w:left w:val="dashSmallGap" w:sz="8" w:space="0" w:color="008CCD"/>
              <w:bottom w:val="dashSmallGap" w:sz="8" w:space="0" w:color="008CCD"/>
              <w:right w:val="dashSmallGap" w:sz="8" w:space="0" w:color="008CCD"/>
            </w:tcBorders>
            <w:vAlign w:val="center"/>
          </w:tcPr>
          <w:p w:rsidR="009D46E6" w:rsidRPr="00DB1559" w:rsidRDefault="009D46E6" w:rsidP="00DB1559">
            <w:pPr>
              <w:keepNext/>
              <w:spacing w:after="0" w:line="240" w:lineRule="auto"/>
              <w:jc w:val="center"/>
              <w:rPr>
                <w:rFonts w:cs="Tahoma"/>
                <w:color w:val="00416E"/>
                <w:sz w:val="16"/>
                <w:szCs w:val="16"/>
              </w:rPr>
            </w:pPr>
            <w:r w:rsidRPr="00DB1559">
              <w:rPr>
                <w:rFonts w:cs="Tahoma"/>
                <w:color w:val="00416E"/>
                <w:sz w:val="16"/>
                <w:szCs w:val="16"/>
              </w:rPr>
              <w:t>Inovace</w:t>
            </w:r>
          </w:p>
        </w:tc>
        <w:tc>
          <w:tcPr>
            <w:tcW w:w="1587" w:type="dxa"/>
            <w:tcBorders>
              <w:top w:val="dashSmallGap" w:sz="8" w:space="0" w:color="008CCD"/>
              <w:left w:val="dashSmallGap" w:sz="8" w:space="0" w:color="008CCD"/>
              <w:bottom w:val="dashSmallGap" w:sz="8" w:space="0" w:color="008CCD"/>
              <w:right w:val="dashSmallGap" w:sz="8" w:space="0" w:color="008CCD"/>
            </w:tcBorders>
            <w:vAlign w:val="center"/>
          </w:tcPr>
          <w:p w:rsidR="009D46E6" w:rsidRPr="00DB1559" w:rsidRDefault="009D46E6" w:rsidP="00DB1559">
            <w:pPr>
              <w:keepNext/>
              <w:spacing w:after="0" w:line="240" w:lineRule="auto"/>
              <w:jc w:val="center"/>
              <w:rPr>
                <w:rFonts w:cs="Tahoma"/>
                <w:color w:val="00416E"/>
                <w:sz w:val="16"/>
                <w:szCs w:val="16"/>
              </w:rPr>
            </w:pPr>
            <w:r w:rsidRPr="00DB1559">
              <w:rPr>
                <w:rFonts w:cs="Tahoma"/>
                <w:color w:val="00416E"/>
                <w:sz w:val="16"/>
                <w:szCs w:val="16"/>
              </w:rPr>
              <w:t>Rozvoj inovačního prostředí</w:t>
            </w:r>
          </w:p>
        </w:tc>
        <w:tc>
          <w:tcPr>
            <w:tcW w:w="1587" w:type="dxa"/>
            <w:tcBorders>
              <w:top w:val="dashSmallGap" w:sz="8" w:space="0" w:color="008CCD"/>
              <w:left w:val="dashSmallGap" w:sz="8" w:space="0" w:color="008CCD"/>
              <w:bottom w:val="dashSmallGap" w:sz="8" w:space="0" w:color="008CCD"/>
              <w:right w:val="dashSmallGap" w:sz="8" w:space="0" w:color="CD5F1E"/>
            </w:tcBorders>
            <w:vAlign w:val="center"/>
          </w:tcPr>
          <w:p w:rsidR="009D46E6" w:rsidRPr="00DB1559" w:rsidRDefault="009D46E6" w:rsidP="00DB1559">
            <w:pPr>
              <w:keepNext/>
              <w:spacing w:after="0" w:line="240" w:lineRule="auto"/>
              <w:jc w:val="center"/>
              <w:rPr>
                <w:rFonts w:cs="Tahoma"/>
                <w:color w:val="00416E"/>
                <w:sz w:val="16"/>
                <w:szCs w:val="16"/>
              </w:rPr>
            </w:pPr>
            <w:r w:rsidRPr="00DB1559">
              <w:rPr>
                <w:rFonts w:cs="Tahoma"/>
                <w:color w:val="00416E"/>
                <w:sz w:val="16"/>
                <w:szCs w:val="16"/>
              </w:rPr>
              <w:t>Rozvoj lidských zdrojů ve VaV</w:t>
            </w:r>
          </w:p>
        </w:tc>
        <w:tc>
          <w:tcPr>
            <w:tcW w:w="1644" w:type="dxa"/>
            <w:vMerge w:val="restart"/>
            <w:tcBorders>
              <w:top w:val="dashSmallGap" w:sz="8" w:space="0" w:color="CD5F1E"/>
              <w:left w:val="dashSmallGap" w:sz="8" w:space="0" w:color="CD5F1E"/>
              <w:bottom w:val="dashSmallGap" w:sz="8" w:space="0" w:color="CD5F1E"/>
              <w:right w:val="dashSmallGap" w:sz="8" w:space="0" w:color="CD5F1E"/>
            </w:tcBorders>
            <w:vAlign w:val="center"/>
          </w:tcPr>
          <w:p w:rsidR="009D46E6" w:rsidRPr="00DB1559" w:rsidRDefault="009D46E6" w:rsidP="00DB1559">
            <w:pPr>
              <w:keepNext/>
              <w:spacing w:after="0" w:line="240" w:lineRule="auto"/>
              <w:jc w:val="center"/>
              <w:rPr>
                <w:rFonts w:cs="Tahoma"/>
                <w:color w:val="00416E"/>
                <w:sz w:val="16"/>
                <w:szCs w:val="16"/>
              </w:rPr>
            </w:pPr>
            <w:r w:rsidRPr="00DB1559">
              <w:rPr>
                <w:rFonts w:cs="Tahoma"/>
                <w:color w:val="00416E"/>
                <w:sz w:val="16"/>
                <w:szCs w:val="16"/>
              </w:rPr>
              <w:t>Oblast podpory/cíl/téma</w:t>
            </w:r>
          </w:p>
        </w:tc>
      </w:tr>
      <w:tr w:rsidR="009D46E6" w:rsidRPr="00DB1559" w:rsidTr="00DB1559">
        <w:trPr>
          <w:trHeight w:val="283"/>
          <w:jc w:val="center"/>
        </w:trPr>
        <w:tc>
          <w:tcPr>
            <w:tcW w:w="1587" w:type="dxa"/>
            <w:tcBorders>
              <w:top w:val="dashSmallGap" w:sz="8" w:space="0" w:color="008CCD"/>
              <w:left w:val="dashSmallGap" w:sz="8" w:space="0" w:color="008CCD"/>
              <w:bottom w:val="dashSmallGap" w:sz="8" w:space="0" w:color="008CCD"/>
              <w:right w:val="dashSmallGap" w:sz="8" w:space="0" w:color="008CCD"/>
            </w:tcBorders>
            <w:vAlign w:val="center"/>
          </w:tcPr>
          <w:p w:rsidR="009D46E6" w:rsidRPr="00DB1559" w:rsidRDefault="009D46E6" w:rsidP="00DB1559">
            <w:pPr>
              <w:keepNext/>
              <w:spacing w:after="0" w:line="240" w:lineRule="auto"/>
              <w:jc w:val="center"/>
              <w:rPr>
                <w:rFonts w:cs="Tahoma"/>
                <w:color w:val="00416E"/>
                <w:sz w:val="16"/>
                <w:szCs w:val="16"/>
              </w:rPr>
            </w:pPr>
            <w:r w:rsidRPr="00DB1559">
              <w:rPr>
                <w:rFonts w:cs="Tahoma"/>
                <w:color w:val="00416E"/>
                <w:sz w:val="16"/>
                <w:szCs w:val="16"/>
              </w:rPr>
              <w:t>Regionální VaV centra</w:t>
            </w:r>
          </w:p>
        </w:tc>
        <w:tc>
          <w:tcPr>
            <w:tcW w:w="1587" w:type="dxa"/>
            <w:tcBorders>
              <w:top w:val="dashSmallGap" w:sz="8" w:space="0" w:color="008CCD"/>
              <w:left w:val="dashSmallGap" w:sz="8" w:space="0" w:color="008CCD"/>
              <w:bottom w:val="dashSmallGap" w:sz="8" w:space="0" w:color="008CCD"/>
              <w:right w:val="dashSmallGap" w:sz="8" w:space="0" w:color="008CCD"/>
            </w:tcBorders>
            <w:vAlign w:val="center"/>
          </w:tcPr>
          <w:p w:rsidR="009D46E6" w:rsidRPr="00DB1559" w:rsidRDefault="009D46E6" w:rsidP="00DB1559">
            <w:pPr>
              <w:keepNext/>
              <w:spacing w:after="0" w:line="240" w:lineRule="auto"/>
              <w:jc w:val="center"/>
              <w:rPr>
                <w:rFonts w:cs="Tahoma"/>
                <w:color w:val="00416E"/>
                <w:sz w:val="16"/>
                <w:szCs w:val="16"/>
              </w:rPr>
            </w:pPr>
            <w:r w:rsidRPr="00DB1559">
              <w:rPr>
                <w:rFonts w:cs="Tahoma"/>
                <w:color w:val="00416E"/>
                <w:sz w:val="16"/>
                <w:szCs w:val="16"/>
              </w:rPr>
              <w:t>Partnerství a sítě</w:t>
            </w:r>
          </w:p>
        </w:tc>
        <w:tc>
          <w:tcPr>
            <w:tcW w:w="1587" w:type="dxa"/>
            <w:tcBorders>
              <w:top w:val="dashSmallGap" w:sz="8" w:space="0" w:color="008CCD"/>
              <w:left w:val="dashSmallGap" w:sz="8" w:space="0" w:color="008CCD"/>
              <w:bottom w:val="dashSmallGap" w:sz="8" w:space="0" w:color="008CCD"/>
              <w:right w:val="dashSmallGap" w:sz="8" w:space="0" w:color="008CCD"/>
            </w:tcBorders>
            <w:vAlign w:val="center"/>
          </w:tcPr>
          <w:p w:rsidR="009D46E6" w:rsidRPr="00DB1559" w:rsidRDefault="009D46E6" w:rsidP="00DB1559">
            <w:pPr>
              <w:keepNext/>
              <w:spacing w:after="0" w:line="240" w:lineRule="auto"/>
              <w:jc w:val="center"/>
              <w:rPr>
                <w:rFonts w:cs="Tahoma"/>
                <w:color w:val="00416E"/>
                <w:sz w:val="16"/>
                <w:szCs w:val="16"/>
              </w:rPr>
            </w:pPr>
            <w:r w:rsidRPr="00DB1559">
              <w:rPr>
                <w:rFonts w:cs="Tahoma"/>
                <w:color w:val="00416E"/>
                <w:sz w:val="16"/>
                <w:szCs w:val="16"/>
              </w:rPr>
              <w:t>Potenciál</w:t>
            </w:r>
          </w:p>
        </w:tc>
        <w:tc>
          <w:tcPr>
            <w:tcW w:w="1587" w:type="dxa"/>
            <w:tcBorders>
              <w:top w:val="dashSmallGap" w:sz="8" w:space="0" w:color="008CCD"/>
              <w:left w:val="dashSmallGap" w:sz="8" w:space="0" w:color="008CCD"/>
            </w:tcBorders>
            <w:shd w:val="clear" w:color="auto" w:fill="FFFFFF"/>
            <w:vAlign w:val="center"/>
          </w:tcPr>
          <w:p w:rsidR="009D46E6" w:rsidRPr="00DB1559" w:rsidRDefault="009D46E6" w:rsidP="00DB1559">
            <w:pPr>
              <w:keepNext/>
              <w:spacing w:after="0" w:line="240" w:lineRule="auto"/>
              <w:jc w:val="center"/>
              <w:rPr>
                <w:rFonts w:cs="Tahoma"/>
                <w:color w:val="FFFFFF"/>
                <w:sz w:val="16"/>
                <w:szCs w:val="16"/>
              </w:rPr>
            </w:pPr>
          </w:p>
        </w:tc>
        <w:tc>
          <w:tcPr>
            <w:tcW w:w="1587" w:type="dxa"/>
            <w:tcBorders>
              <w:top w:val="dashSmallGap" w:sz="8" w:space="0" w:color="008CCD"/>
              <w:right w:val="dashSmallGap" w:sz="8" w:space="0" w:color="CD5F1E"/>
            </w:tcBorders>
            <w:shd w:val="clear" w:color="auto" w:fill="FFFFFF"/>
            <w:vAlign w:val="center"/>
          </w:tcPr>
          <w:p w:rsidR="009D46E6" w:rsidRPr="00DB1559" w:rsidRDefault="009D46E6" w:rsidP="00DB1559">
            <w:pPr>
              <w:keepNext/>
              <w:spacing w:after="0" w:line="240" w:lineRule="auto"/>
              <w:jc w:val="center"/>
              <w:rPr>
                <w:rFonts w:cs="Tahoma"/>
                <w:color w:val="FFFFFF"/>
                <w:sz w:val="16"/>
                <w:szCs w:val="16"/>
              </w:rPr>
            </w:pPr>
          </w:p>
        </w:tc>
        <w:tc>
          <w:tcPr>
            <w:tcW w:w="1644" w:type="dxa"/>
            <w:vMerge/>
            <w:tcBorders>
              <w:top w:val="dashSmallGap" w:sz="8" w:space="0" w:color="CD5F1E"/>
              <w:left w:val="dashSmallGap" w:sz="8" w:space="0" w:color="CD5F1E"/>
              <w:bottom w:val="dashSmallGap" w:sz="8" w:space="0" w:color="CD5F1E"/>
              <w:right w:val="dashSmallGap" w:sz="8" w:space="0" w:color="CD5F1E"/>
            </w:tcBorders>
            <w:shd w:val="clear" w:color="auto" w:fill="FFFFFF"/>
            <w:vAlign w:val="center"/>
          </w:tcPr>
          <w:p w:rsidR="009D46E6" w:rsidRPr="00DB1559" w:rsidRDefault="009D46E6" w:rsidP="00DB1559">
            <w:pPr>
              <w:keepNext/>
              <w:spacing w:after="0" w:line="240" w:lineRule="auto"/>
              <w:jc w:val="center"/>
              <w:rPr>
                <w:rFonts w:cs="Tahoma"/>
                <w:color w:val="FFFFFF"/>
                <w:sz w:val="16"/>
                <w:szCs w:val="16"/>
              </w:rPr>
            </w:pPr>
          </w:p>
        </w:tc>
      </w:tr>
      <w:tr w:rsidR="009D46E6" w:rsidRPr="00DB1559" w:rsidTr="00DB1559">
        <w:trPr>
          <w:trHeight w:val="283"/>
          <w:jc w:val="center"/>
        </w:trPr>
        <w:tc>
          <w:tcPr>
            <w:tcW w:w="1587" w:type="dxa"/>
            <w:tcBorders>
              <w:top w:val="dashSmallGap" w:sz="8" w:space="0" w:color="008CCD"/>
              <w:left w:val="dashSmallGap" w:sz="8" w:space="0" w:color="008CCD"/>
              <w:bottom w:val="dashSmallGap" w:sz="8" w:space="0" w:color="008CCD"/>
              <w:right w:val="dashSmallGap" w:sz="8" w:space="0" w:color="008CCD"/>
            </w:tcBorders>
            <w:vAlign w:val="center"/>
          </w:tcPr>
          <w:p w:rsidR="009D46E6" w:rsidRPr="00DB1559" w:rsidRDefault="009D46E6" w:rsidP="00DB1559">
            <w:pPr>
              <w:keepNext/>
              <w:spacing w:after="0" w:line="240" w:lineRule="auto"/>
              <w:jc w:val="center"/>
              <w:rPr>
                <w:rFonts w:cs="Tahoma"/>
                <w:color w:val="00416E"/>
                <w:sz w:val="16"/>
                <w:szCs w:val="16"/>
              </w:rPr>
            </w:pPr>
            <w:r w:rsidRPr="00DB1559">
              <w:rPr>
                <w:rFonts w:cs="Tahoma"/>
                <w:color w:val="00416E"/>
                <w:sz w:val="16"/>
                <w:szCs w:val="16"/>
              </w:rPr>
              <w:t>Komercializace</w:t>
            </w:r>
          </w:p>
        </w:tc>
        <w:tc>
          <w:tcPr>
            <w:tcW w:w="1587" w:type="dxa"/>
            <w:tcBorders>
              <w:top w:val="dashSmallGap" w:sz="8" w:space="0" w:color="008CCD"/>
              <w:left w:val="dashSmallGap" w:sz="8" w:space="0" w:color="008CCD"/>
              <w:right w:val="dashSmallGap" w:sz="8" w:space="0" w:color="008CCD"/>
            </w:tcBorders>
            <w:shd w:val="clear" w:color="auto" w:fill="FFFFFF"/>
            <w:vAlign w:val="center"/>
          </w:tcPr>
          <w:p w:rsidR="009D46E6" w:rsidRPr="00DB1559" w:rsidRDefault="009D46E6" w:rsidP="00DB1559">
            <w:pPr>
              <w:keepNext/>
              <w:spacing w:after="0" w:line="240" w:lineRule="auto"/>
              <w:jc w:val="center"/>
              <w:rPr>
                <w:rFonts w:cs="Tahoma"/>
                <w:color w:val="FFFFFF"/>
                <w:sz w:val="16"/>
                <w:szCs w:val="16"/>
              </w:rPr>
            </w:pPr>
          </w:p>
        </w:tc>
        <w:tc>
          <w:tcPr>
            <w:tcW w:w="1587" w:type="dxa"/>
            <w:tcBorders>
              <w:top w:val="dashSmallGap" w:sz="8" w:space="0" w:color="008CCD"/>
              <w:left w:val="dashSmallGap" w:sz="8" w:space="0" w:color="008CCD"/>
              <w:bottom w:val="dashSmallGap" w:sz="8" w:space="0" w:color="008CCD"/>
              <w:right w:val="dashSmallGap" w:sz="8" w:space="0" w:color="008CCD"/>
            </w:tcBorders>
            <w:vAlign w:val="center"/>
          </w:tcPr>
          <w:p w:rsidR="009D46E6" w:rsidRPr="00DB1559" w:rsidRDefault="009D46E6" w:rsidP="00DB1559">
            <w:pPr>
              <w:keepNext/>
              <w:spacing w:after="0" w:line="240" w:lineRule="auto"/>
              <w:jc w:val="center"/>
              <w:rPr>
                <w:rFonts w:cs="Tahoma"/>
                <w:color w:val="00416E"/>
                <w:sz w:val="16"/>
                <w:szCs w:val="16"/>
              </w:rPr>
            </w:pPr>
            <w:r w:rsidRPr="00DB1559">
              <w:rPr>
                <w:rFonts w:cs="Tahoma"/>
                <w:color w:val="00416E"/>
                <w:sz w:val="16"/>
                <w:szCs w:val="16"/>
              </w:rPr>
              <w:t>Prosperita</w:t>
            </w:r>
          </w:p>
        </w:tc>
        <w:tc>
          <w:tcPr>
            <w:tcW w:w="1587" w:type="dxa"/>
            <w:tcBorders>
              <w:left w:val="dashSmallGap" w:sz="8" w:space="0" w:color="008CCD"/>
            </w:tcBorders>
            <w:shd w:val="clear" w:color="auto" w:fill="FFFFFF"/>
            <w:vAlign w:val="center"/>
          </w:tcPr>
          <w:p w:rsidR="009D46E6" w:rsidRPr="00DB1559" w:rsidRDefault="009D46E6" w:rsidP="00DB1559">
            <w:pPr>
              <w:keepNext/>
              <w:spacing w:after="0" w:line="240" w:lineRule="auto"/>
              <w:jc w:val="center"/>
              <w:rPr>
                <w:rFonts w:cs="Tahoma"/>
                <w:color w:val="FFFFFF"/>
                <w:sz w:val="16"/>
                <w:szCs w:val="16"/>
              </w:rPr>
            </w:pPr>
          </w:p>
        </w:tc>
        <w:tc>
          <w:tcPr>
            <w:tcW w:w="1587" w:type="dxa"/>
            <w:tcBorders>
              <w:right w:val="dashSmallGap" w:sz="8" w:space="0" w:color="CD5F1E"/>
            </w:tcBorders>
            <w:shd w:val="clear" w:color="auto" w:fill="FFFFFF"/>
            <w:vAlign w:val="center"/>
          </w:tcPr>
          <w:p w:rsidR="009D46E6" w:rsidRPr="00DB1559" w:rsidRDefault="009D46E6" w:rsidP="00DB1559">
            <w:pPr>
              <w:keepNext/>
              <w:spacing w:after="0" w:line="240" w:lineRule="auto"/>
              <w:jc w:val="center"/>
              <w:rPr>
                <w:rFonts w:cs="Tahoma"/>
                <w:color w:val="FFFFFF"/>
                <w:sz w:val="16"/>
                <w:szCs w:val="16"/>
              </w:rPr>
            </w:pPr>
          </w:p>
        </w:tc>
        <w:tc>
          <w:tcPr>
            <w:tcW w:w="1644" w:type="dxa"/>
            <w:vMerge/>
            <w:tcBorders>
              <w:top w:val="dashSmallGap" w:sz="8" w:space="0" w:color="CD5F1E"/>
              <w:left w:val="dashSmallGap" w:sz="8" w:space="0" w:color="CD5F1E"/>
              <w:bottom w:val="dashSmallGap" w:sz="8" w:space="0" w:color="CD5F1E"/>
              <w:right w:val="dashSmallGap" w:sz="8" w:space="0" w:color="CD5F1E"/>
            </w:tcBorders>
            <w:shd w:val="clear" w:color="auto" w:fill="FFFFFF"/>
            <w:vAlign w:val="center"/>
          </w:tcPr>
          <w:p w:rsidR="009D46E6" w:rsidRPr="00DB1559" w:rsidRDefault="009D46E6" w:rsidP="00DB1559">
            <w:pPr>
              <w:keepNext/>
              <w:spacing w:after="0" w:line="240" w:lineRule="auto"/>
              <w:jc w:val="center"/>
              <w:rPr>
                <w:rFonts w:cs="Tahoma"/>
                <w:color w:val="FFFFFF"/>
                <w:sz w:val="16"/>
                <w:szCs w:val="16"/>
              </w:rPr>
            </w:pPr>
          </w:p>
        </w:tc>
      </w:tr>
      <w:tr w:rsidR="009D46E6" w:rsidRPr="00DB1559" w:rsidTr="00DB1559">
        <w:trPr>
          <w:trHeight w:val="283"/>
          <w:jc w:val="center"/>
        </w:trPr>
        <w:tc>
          <w:tcPr>
            <w:tcW w:w="1587" w:type="dxa"/>
            <w:tcBorders>
              <w:top w:val="dashSmallGap" w:sz="8" w:space="0" w:color="008CCD"/>
              <w:left w:val="dashSmallGap" w:sz="8" w:space="0" w:color="008CCD"/>
              <w:bottom w:val="dashSmallGap" w:sz="8" w:space="0" w:color="008CCD"/>
              <w:right w:val="dashSmallGap" w:sz="8" w:space="0" w:color="008CCD"/>
            </w:tcBorders>
            <w:vAlign w:val="center"/>
          </w:tcPr>
          <w:p w:rsidR="009D46E6" w:rsidRPr="00DB1559" w:rsidRDefault="009D46E6" w:rsidP="00DB1559">
            <w:pPr>
              <w:keepNext/>
              <w:spacing w:after="0" w:line="240" w:lineRule="auto"/>
              <w:jc w:val="center"/>
              <w:rPr>
                <w:rFonts w:cs="Tahoma"/>
                <w:color w:val="00416E"/>
                <w:sz w:val="16"/>
                <w:szCs w:val="16"/>
              </w:rPr>
            </w:pPr>
            <w:r w:rsidRPr="00DB1559">
              <w:rPr>
                <w:rFonts w:cs="Tahoma"/>
                <w:color w:val="00416E"/>
                <w:sz w:val="16"/>
                <w:szCs w:val="16"/>
              </w:rPr>
              <w:t>Popularizace</w:t>
            </w:r>
          </w:p>
        </w:tc>
        <w:tc>
          <w:tcPr>
            <w:tcW w:w="1587" w:type="dxa"/>
            <w:tcBorders>
              <w:left w:val="dashSmallGap" w:sz="8" w:space="0" w:color="008CCD"/>
              <w:right w:val="dashSmallGap" w:sz="8" w:space="0" w:color="008CCD"/>
            </w:tcBorders>
            <w:shd w:val="clear" w:color="auto" w:fill="FFFFFF"/>
            <w:vAlign w:val="center"/>
          </w:tcPr>
          <w:p w:rsidR="009D46E6" w:rsidRPr="00DB1559" w:rsidRDefault="009D46E6" w:rsidP="00DB1559">
            <w:pPr>
              <w:keepNext/>
              <w:spacing w:after="0" w:line="240" w:lineRule="auto"/>
              <w:jc w:val="center"/>
              <w:rPr>
                <w:rFonts w:cs="Tahoma"/>
                <w:color w:val="FFFFFF"/>
                <w:sz w:val="16"/>
                <w:szCs w:val="16"/>
              </w:rPr>
            </w:pPr>
          </w:p>
        </w:tc>
        <w:tc>
          <w:tcPr>
            <w:tcW w:w="1587" w:type="dxa"/>
            <w:tcBorders>
              <w:top w:val="dashSmallGap" w:sz="8" w:space="0" w:color="008CCD"/>
              <w:left w:val="dashSmallGap" w:sz="8" w:space="0" w:color="008CCD"/>
              <w:bottom w:val="dashSmallGap" w:sz="8" w:space="0" w:color="008CCD"/>
              <w:right w:val="dashSmallGap" w:sz="8" w:space="0" w:color="008CCD"/>
            </w:tcBorders>
            <w:vAlign w:val="center"/>
          </w:tcPr>
          <w:p w:rsidR="009D46E6" w:rsidRPr="00DB1559" w:rsidRDefault="009D46E6" w:rsidP="00DB1559">
            <w:pPr>
              <w:keepNext/>
              <w:spacing w:after="0" w:line="240" w:lineRule="auto"/>
              <w:jc w:val="center"/>
              <w:rPr>
                <w:rFonts w:cs="Tahoma"/>
                <w:color w:val="00416E"/>
                <w:sz w:val="16"/>
                <w:szCs w:val="16"/>
              </w:rPr>
            </w:pPr>
            <w:r w:rsidRPr="00DB1559">
              <w:rPr>
                <w:rFonts w:cs="Tahoma"/>
                <w:color w:val="00416E"/>
                <w:sz w:val="16"/>
                <w:szCs w:val="16"/>
              </w:rPr>
              <w:t>Spolupráce</w:t>
            </w:r>
          </w:p>
        </w:tc>
        <w:tc>
          <w:tcPr>
            <w:tcW w:w="1587" w:type="dxa"/>
            <w:tcBorders>
              <w:left w:val="dashSmallGap" w:sz="8" w:space="0" w:color="008CCD"/>
            </w:tcBorders>
            <w:shd w:val="clear" w:color="auto" w:fill="FFFFFF"/>
            <w:vAlign w:val="center"/>
          </w:tcPr>
          <w:p w:rsidR="009D46E6" w:rsidRPr="00DB1559" w:rsidRDefault="009D46E6" w:rsidP="00DB1559">
            <w:pPr>
              <w:keepNext/>
              <w:spacing w:after="0" w:line="240" w:lineRule="auto"/>
              <w:jc w:val="center"/>
              <w:rPr>
                <w:rFonts w:cs="Tahoma"/>
                <w:color w:val="FFFFFF"/>
                <w:sz w:val="16"/>
                <w:szCs w:val="16"/>
              </w:rPr>
            </w:pPr>
          </w:p>
        </w:tc>
        <w:tc>
          <w:tcPr>
            <w:tcW w:w="1587" w:type="dxa"/>
            <w:tcBorders>
              <w:right w:val="dashSmallGap" w:sz="8" w:space="0" w:color="CD5F1E"/>
            </w:tcBorders>
            <w:shd w:val="clear" w:color="auto" w:fill="FFFFFF"/>
            <w:vAlign w:val="center"/>
          </w:tcPr>
          <w:p w:rsidR="009D46E6" w:rsidRPr="00DB1559" w:rsidRDefault="009D46E6" w:rsidP="00DB1559">
            <w:pPr>
              <w:keepNext/>
              <w:spacing w:after="0" w:line="240" w:lineRule="auto"/>
              <w:jc w:val="center"/>
              <w:rPr>
                <w:rFonts w:cs="Tahoma"/>
                <w:color w:val="FFFFFF"/>
                <w:sz w:val="16"/>
                <w:szCs w:val="16"/>
              </w:rPr>
            </w:pPr>
          </w:p>
        </w:tc>
        <w:tc>
          <w:tcPr>
            <w:tcW w:w="1644" w:type="dxa"/>
            <w:vMerge/>
            <w:tcBorders>
              <w:top w:val="dashSmallGap" w:sz="8" w:space="0" w:color="CD5F1E"/>
              <w:left w:val="dashSmallGap" w:sz="8" w:space="0" w:color="CD5F1E"/>
              <w:bottom w:val="dashSmallGap" w:sz="8" w:space="0" w:color="CD5F1E"/>
              <w:right w:val="dashSmallGap" w:sz="8" w:space="0" w:color="CD5F1E"/>
            </w:tcBorders>
            <w:shd w:val="clear" w:color="auto" w:fill="FFFFFF"/>
            <w:vAlign w:val="center"/>
          </w:tcPr>
          <w:p w:rsidR="009D46E6" w:rsidRPr="00DB1559" w:rsidRDefault="009D46E6" w:rsidP="00DB1559">
            <w:pPr>
              <w:keepNext/>
              <w:spacing w:after="0" w:line="240" w:lineRule="auto"/>
              <w:jc w:val="center"/>
              <w:rPr>
                <w:rFonts w:cs="Tahoma"/>
                <w:color w:val="FFFFFF"/>
                <w:sz w:val="16"/>
                <w:szCs w:val="16"/>
              </w:rPr>
            </w:pPr>
          </w:p>
        </w:tc>
      </w:tr>
      <w:tr w:rsidR="009D46E6" w:rsidRPr="00DB1559" w:rsidTr="00DB1559">
        <w:trPr>
          <w:trHeight w:val="283"/>
          <w:jc w:val="center"/>
        </w:trPr>
        <w:tc>
          <w:tcPr>
            <w:tcW w:w="1587" w:type="dxa"/>
            <w:tcBorders>
              <w:top w:val="dashSmallGap" w:sz="8" w:space="0" w:color="008CCD"/>
              <w:left w:val="dashSmallGap" w:sz="8" w:space="0" w:color="008CCD"/>
              <w:bottom w:val="dashSmallGap" w:sz="8" w:space="0" w:color="008CCD"/>
              <w:right w:val="dashSmallGap" w:sz="8" w:space="0" w:color="008CCD"/>
            </w:tcBorders>
            <w:vAlign w:val="center"/>
          </w:tcPr>
          <w:p w:rsidR="009D46E6" w:rsidRPr="00DB1559" w:rsidRDefault="009D46E6" w:rsidP="00DB1559">
            <w:pPr>
              <w:keepNext/>
              <w:spacing w:after="0" w:line="240" w:lineRule="auto"/>
              <w:jc w:val="center"/>
              <w:rPr>
                <w:rFonts w:cs="Tahoma"/>
                <w:color w:val="00416E"/>
                <w:sz w:val="16"/>
                <w:szCs w:val="16"/>
              </w:rPr>
            </w:pPr>
            <w:r w:rsidRPr="00DB1559">
              <w:rPr>
                <w:rFonts w:cs="Tahoma"/>
                <w:color w:val="00416E"/>
                <w:sz w:val="16"/>
                <w:szCs w:val="16"/>
              </w:rPr>
              <w:t>Infrastruktura na VŠ</w:t>
            </w:r>
          </w:p>
        </w:tc>
        <w:tc>
          <w:tcPr>
            <w:tcW w:w="1587" w:type="dxa"/>
            <w:tcBorders>
              <w:left w:val="dashSmallGap" w:sz="8" w:space="0" w:color="008CCD"/>
            </w:tcBorders>
            <w:shd w:val="clear" w:color="auto" w:fill="FFFFFF"/>
            <w:vAlign w:val="center"/>
          </w:tcPr>
          <w:p w:rsidR="009D46E6" w:rsidRPr="00DB1559" w:rsidRDefault="009D46E6" w:rsidP="00DB1559">
            <w:pPr>
              <w:keepNext/>
              <w:spacing w:after="0" w:line="240" w:lineRule="auto"/>
              <w:jc w:val="center"/>
              <w:rPr>
                <w:rFonts w:cs="Tahoma"/>
                <w:color w:val="FFFFFF"/>
                <w:sz w:val="16"/>
                <w:szCs w:val="16"/>
              </w:rPr>
            </w:pPr>
          </w:p>
        </w:tc>
        <w:tc>
          <w:tcPr>
            <w:tcW w:w="1587" w:type="dxa"/>
            <w:tcBorders>
              <w:top w:val="dashSmallGap" w:sz="8" w:space="0" w:color="008CCD"/>
            </w:tcBorders>
            <w:shd w:val="clear" w:color="auto" w:fill="FFFFFF"/>
            <w:vAlign w:val="center"/>
          </w:tcPr>
          <w:p w:rsidR="009D46E6" w:rsidRPr="00DB1559" w:rsidRDefault="009D46E6" w:rsidP="00DB1559">
            <w:pPr>
              <w:keepNext/>
              <w:spacing w:after="0" w:line="240" w:lineRule="auto"/>
              <w:jc w:val="center"/>
              <w:rPr>
                <w:rFonts w:cs="Tahoma"/>
                <w:color w:val="FFFFFF"/>
                <w:sz w:val="16"/>
                <w:szCs w:val="16"/>
              </w:rPr>
            </w:pPr>
          </w:p>
        </w:tc>
        <w:tc>
          <w:tcPr>
            <w:tcW w:w="1587" w:type="dxa"/>
            <w:shd w:val="clear" w:color="auto" w:fill="FFFFFF"/>
            <w:vAlign w:val="center"/>
          </w:tcPr>
          <w:p w:rsidR="009D46E6" w:rsidRPr="00DB1559" w:rsidRDefault="009D46E6" w:rsidP="00DB1559">
            <w:pPr>
              <w:keepNext/>
              <w:spacing w:after="0" w:line="240" w:lineRule="auto"/>
              <w:jc w:val="center"/>
              <w:rPr>
                <w:rFonts w:cs="Tahoma"/>
                <w:color w:val="FFFFFF"/>
                <w:sz w:val="16"/>
                <w:szCs w:val="16"/>
              </w:rPr>
            </w:pPr>
          </w:p>
        </w:tc>
        <w:tc>
          <w:tcPr>
            <w:tcW w:w="1587" w:type="dxa"/>
            <w:tcBorders>
              <w:right w:val="dashSmallGap" w:sz="8" w:space="0" w:color="CD5F1E"/>
            </w:tcBorders>
            <w:shd w:val="clear" w:color="auto" w:fill="FFFFFF"/>
            <w:vAlign w:val="center"/>
          </w:tcPr>
          <w:p w:rsidR="009D46E6" w:rsidRPr="00DB1559" w:rsidRDefault="009D46E6" w:rsidP="00DB1559">
            <w:pPr>
              <w:keepNext/>
              <w:spacing w:after="0" w:line="240" w:lineRule="auto"/>
              <w:jc w:val="center"/>
              <w:rPr>
                <w:rFonts w:cs="Tahoma"/>
                <w:color w:val="FFFFFF"/>
                <w:sz w:val="16"/>
                <w:szCs w:val="16"/>
              </w:rPr>
            </w:pPr>
          </w:p>
        </w:tc>
        <w:tc>
          <w:tcPr>
            <w:tcW w:w="1644" w:type="dxa"/>
            <w:vMerge/>
            <w:tcBorders>
              <w:top w:val="dashSmallGap" w:sz="8" w:space="0" w:color="CD5F1E"/>
              <w:left w:val="dashSmallGap" w:sz="8" w:space="0" w:color="CD5F1E"/>
              <w:bottom w:val="dashSmallGap" w:sz="8" w:space="0" w:color="CD5F1E"/>
              <w:right w:val="dashSmallGap" w:sz="8" w:space="0" w:color="CD5F1E"/>
            </w:tcBorders>
            <w:shd w:val="clear" w:color="auto" w:fill="FFFFFF"/>
            <w:vAlign w:val="center"/>
          </w:tcPr>
          <w:p w:rsidR="009D46E6" w:rsidRPr="00DB1559" w:rsidRDefault="009D46E6" w:rsidP="00DB1559">
            <w:pPr>
              <w:keepNext/>
              <w:spacing w:after="0" w:line="240" w:lineRule="auto"/>
              <w:jc w:val="center"/>
              <w:rPr>
                <w:rFonts w:cs="Tahoma"/>
                <w:color w:val="FFFFFF"/>
                <w:sz w:val="16"/>
                <w:szCs w:val="16"/>
              </w:rPr>
            </w:pPr>
          </w:p>
        </w:tc>
      </w:tr>
      <w:tr w:rsidR="009D46E6" w:rsidRPr="00DB1559" w:rsidTr="00DB1559">
        <w:trPr>
          <w:trHeight w:val="283"/>
          <w:jc w:val="center"/>
        </w:trPr>
        <w:tc>
          <w:tcPr>
            <w:tcW w:w="1587" w:type="dxa"/>
            <w:tcBorders>
              <w:top w:val="dashSmallGap" w:sz="8" w:space="0" w:color="008CCD"/>
            </w:tcBorders>
            <w:shd w:val="clear" w:color="auto" w:fill="FFFFFF"/>
            <w:vAlign w:val="center"/>
          </w:tcPr>
          <w:p w:rsidR="009D46E6" w:rsidRPr="00DB1559" w:rsidRDefault="009D46E6" w:rsidP="00DB1559">
            <w:pPr>
              <w:keepNext/>
              <w:spacing w:after="0" w:line="240" w:lineRule="auto"/>
              <w:jc w:val="center"/>
              <w:rPr>
                <w:rFonts w:cs="Tahoma"/>
                <w:color w:val="CD5F1E"/>
                <w:sz w:val="16"/>
                <w:szCs w:val="16"/>
              </w:rPr>
            </w:pPr>
            <w:r>
              <w:rPr>
                <w:noProof/>
                <w:lang w:eastAsia="cs-CZ"/>
              </w:rPr>
              <w:pict>
                <v:shape id="Přímá spojnice se šipkou 333" o:spid="_x0000_s1056" type="#_x0000_t32" style="position:absolute;left:0;text-align:left;margin-left:442.05pt;margin-top:5.3pt;width:0;height:14.15pt;z-index:2516500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" o:allowincell="f" strokecolor="#cd5f1e" strokeweight="1.5pt">
                  <v:stroke dashstyle="3 1" startarrow="open" startarrowlength="short" endarrowlength="short"/>
                </v:shape>
              </w:pict>
            </w:r>
          </w:p>
        </w:tc>
        <w:tc>
          <w:tcPr>
            <w:tcW w:w="1587" w:type="dxa"/>
            <w:shd w:val="clear" w:color="auto" w:fill="FFFFFF"/>
            <w:vAlign w:val="center"/>
          </w:tcPr>
          <w:p w:rsidR="009D46E6" w:rsidRPr="00DB1559" w:rsidRDefault="009D46E6" w:rsidP="00DB1559">
            <w:pPr>
              <w:keepNext/>
              <w:spacing w:after="0" w:line="240" w:lineRule="auto"/>
              <w:jc w:val="center"/>
              <w:rPr>
                <w:rFonts w:cs="Tahoma"/>
                <w:color w:val="FFFFFF"/>
                <w:sz w:val="16"/>
                <w:szCs w:val="16"/>
              </w:rPr>
            </w:pPr>
          </w:p>
        </w:tc>
        <w:tc>
          <w:tcPr>
            <w:tcW w:w="1587" w:type="dxa"/>
            <w:shd w:val="clear" w:color="auto" w:fill="FFFFFF"/>
            <w:vAlign w:val="center"/>
          </w:tcPr>
          <w:p w:rsidR="009D46E6" w:rsidRPr="00DB1559" w:rsidRDefault="009D46E6" w:rsidP="00DB1559">
            <w:pPr>
              <w:keepNext/>
              <w:spacing w:after="0" w:line="240" w:lineRule="auto"/>
              <w:jc w:val="center"/>
              <w:rPr>
                <w:rFonts w:cs="Tahoma"/>
                <w:color w:val="FFFFFF"/>
                <w:sz w:val="16"/>
                <w:szCs w:val="16"/>
              </w:rPr>
            </w:pPr>
          </w:p>
        </w:tc>
        <w:tc>
          <w:tcPr>
            <w:tcW w:w="1587" w:type="dxa"/>
            <w:shd w:val="clear" w:color="auto" w:fill="FFFFFF"/>
            <w:vAlign w:val="center"/>
          </w:tcPr>
          <w:p w:rsidR="009D46E6" w:rsidRPr="00DB1559" w:rsidRDefault="009D46E6" w:rsidP="00DB1559">
            <w:pPr>
              <w:keepNext/>
              <w:spacing w:after="0" w:line="240" w:lineRule="auto"/>
              <w:jc w:val="center"/>
              <w:rPr>
                <w:rFonts w:cs="Tahoma"/>
                <w:color w:val="FFFFFF"/>
                <w:sz w:val="16"/>
                <w:szCs w:val="16"/>
              </w:rPr>
            </w:pPr>
          </w:p>
        </w:tc>
        <w:tc>
          <w:tcPr>
            <w:tcW w:w="1587" w:type="dxa"/>
            <w:shd w:val="clear" w:color="auto" w:fill="FFFFFF"/>
            <w:vAlign w:val="center"/>
          </w:tcPr>
          <w:p w:rsidR="009D46E6" w:rsidRPr="00DB1559" w:rsidRDefault="009D46E6" w:rsidP="00DB1559">
            <w:pPr>
              <w:keepNext/>
              <w:spacing w:after="0" w:line="240" w:lineRule="auto"/>
              <w:jc w:val="center"/>
              <w:rPr>
                <w:rFonts w:cs="Tahoma"/>
                <w:color w:val="FFFFFF"/>
                <w:sz w:val="16"/>
                <w:szCs w:val="16"/>
              </w:rPr>
            </w:pPr>
          </w:p>
        </w:tc>
        <w:tc>
          <w:tcPr>
            <w:tcW w:w="1644" w:type="dxa"/>
            <w:tcBorders>
              <w:top w:val="dashSmallGap" w:sz="8" w:space="0" w:color="CD5F1E"/>
            </w:tcBorders>
            <w:shd w:val="clear" w:color="auto" w:fill="FFFFFF"/>
            <w:vAlign w:val="center"/>
          </w:tcPr>
          <w:p w:rsidR="009D46E6" w:rsidRPr="00DB1559" w:rsidRDefault="009D46E6" w:rsidP="00DB1559">
            <w:pPr>
              <w:keepNext/>
              <w:spacing w:after="0" w:line="240" w:lineRule="auto"/>
              <w:jc w:val="center"/>
              <w:rPr>
                <w:rFonts w:cs="Tahoma"/>
                <w:color w:val="FFFFFF"/>
                <w:sz w:val="16"/>
                <w:szCs w:val="16"/>
              </w:rPr>
            </w:pPr>
          </w:p>
        </w:tc>
      </w:tr>
      <w:tr w:rsidR="009D46E6" w:rsidRPr="00DB1559" w:rsidTr="00DB1559">
        <w:trPr>
          <w:trHeight w:val="283"/>
          <w:jc w:val="center"/>
        </w:trPr>
        <w:tc>
          <w:tcPr>
            <w:tcW w:w="1587" w:type="dxa"/>
            <w:shd w:val="clear" w:color="auto" w:fill="008CCD"/>
            <w:vAlign w:val="center"/>
          </w:tcPr>
          <w:p w:rsidR="009D46E6" w:rsidRPr="00DB1559" w:rsidRDefault="009D46E6" w:rsidP="00DB1559">
            <w:pPr>
              <w:keepNext/>
              <w:spacing w:after="0" w:line="240" w:lineRule="auto"/>
              <w:jc w:val="center"/>
              <w:rPr>
                <w:rFonts w:cs="Tahoma"/>
                <w:color w:val="FFFFFF"/>
                <w:sz w:val="16"/>
                <w:szCs w:val="16"/>
              </w:rPr>
            </w:pPr>
            <w:r w:rsidRPr="00DB1559">
              <w:rPr>
                <w:rFonts w:cs="Tahoma"/>
                <w:color w:val="FFFFFF"/>
                <w:sz w:val="16"/>
                <w:szCs w:val="16"/>
              </w:rPr>
              <w:t>MŠMT</w:t>
            </w:r>
          </w:p>
        </w:tc>
        <w:tc>
          <w:tcPr>
            <w:tcW w:w="1587" w:type="dxa"/>
            <w:shd w:val="clear" w:color="auto" w:fill="008CCD"/>
            <w:vAlign w:val="center"/>
          </w:tcPr>
          <w:p w:rsidR="009D46E6" w:rsidRPr="00DB1559" w:rsidRDefault="009D46E6" w:rsidP="00DB1559">
            <w:pPr>
              <w:keepNext/>
              <w:spacing w:after="0" w:line="240" w:lineRule="auto"/>
              <w:jc w:val="center"/>
              <w:rPr>
                <w:rFonts w:cs="Tahoma"/>
                <w:color w:val="FFFFFF"/>
                <w:sz w:val="16"/>
                <w:szCs w:val="16"/>
              </w:rPr>
            </w:pPr>
            <w:r w:rsidRPr="00DB1559">
              <w:rPr>
                <w:rFonts w:cs="Tahoma"/>
                <w:color w:val="FFFFFF"/>
                <w:sz w:val="16"/>
                <w:szCs w:val="16"/>
              </w:rPr>
              <w:t>MŠMT</w:t>
            </w:r>
          </w:p>
        </w:tc>
        <w:tc>
          <w:tcPr>
            <w:tcW w:w="1587" w:type="dxa"/>
            <w:shd w:val="clear" w:color="auto" w:fill="008CCD"/>
            <w:vAlign w:val="center"/>
          </w:tcPr>
          <w:p w:rsidR="009D46E6" w:rsidRPr="00DB1559" w:rsidRDefault="009D46E6" w:rsidP="00DB1559">
            <w:pPr>
              <w:keepNext/>
              <w:spacing w:after="0" w:line="240" w:lineRule="auto"/>
              <w:jc w:val="center"/>
              <w:rPr>
                <w:rFonts w:cs="Tahoma"/>
                <w:color w:val="FFFFFF"/>
                <w:sz w:val="16"/>
                <w:szCs w:val="16"/>
              </w:rPr>
            </w:pPr>
            <w:r w:rsidRPr="00DB1559">
              <w:rPr>
                <w:rFonts w:cs="Tahoma"/>
                <w:color w:val="FFFFFF"/>
                <w:sz w:val="16"/>
                <w:szCs w:val="16"/>
              </w:rPr>
              <w:t>MPO</w:t>
            </w:r>
          </w:p>
        </w:tc>
        <w:tc>
          <w:tcPr>
            <w:tcW w:w="1587" w:type="dxa"/>
            <w:shd w:val="clear" w:color="auto" w:fill="008CCD"/>
            <w:vAlign w:val="center"/>
          </w:tcPr>
          <w:p w:rsidR="009D46E6" w:rsidRPr="00DB1559" w:rsidRDefault="009D46E6" w:rsidP="00DB1559">
            <w:pPr>
              <w:keepNext/>
              <w:spacing w:after="0" w:line="240" w:lineRule="auto"/>
              <w:jc w:val="center"/>
              <w:rPr>
                <w:rFonts w:cs="Tahoma"/>
                <w:color w:val="FFFFFF"/>
                <w:sz w:val="16"/>
                <w:szCs w:val="16"/>
              </w:rPr>
            </w:pPr>
            <w:r w:rsidRPr="00DB1559">
              <w:rPr>
                <w:rFonts w:cs="Tahoma"/>
                <w:color w:val="FFFFFF"/>
                <w:sz w:val="16"/>
                <w:szCs w:val="16"/>
              </w:rPr>
              <w:t>Hl. m. Praha</w:t>
            </w:r>
          </w:p>
        </w:tc>
        <w:tc>
          <w:tcPr>
            <w:tcW w:w="1587" w:type="dxa"/>
            <w:shd w:val="clear" w:color="auto" w:fill="008CCD"/>
            <w:vAlign w:val="center"/>
          </w:tcPr>
          <w:p w:rsidR="009D46E6" w:rsidRPr="00DB1559" w:rsidRDefault="009D46E6" w:rsidP="00DB1559">
            <w:pPr>
              <w:keepNext/>
              <w:spacing w:after="0" w:line="240" w:lineRule="auto"/>
              <w:jc w:val="center"/>
              <w:rPr>
                <w:rFonts w:cs="Tahoma"/>
                <w:color w:val="FFFFFF"/>
                <w:sz w:val="16"/>
                <w:szCs w:val="16"/>
              </w:rPr>
            </w:pPr>
            <w:r w:rsidRPr="00DB1559">
              <w:rPr>
                <w:rFonts w:cs="Tahoma"/>
                <w:color w:val="FFFFFF"/>
                <w:sz w:val="16"/>
                <w:szCs w:val="16"/>
              </w:rPr>
              <w:t>Hl. m. Praha</w:t>
            </w:r>
          </w:p>
        </w:tc>
        <w:tc>
          <w:tcPr>
            <w:tcW w:w="1644" w:type="dxa"/>
            <w:shd w:val="clear" w:color="auto" w:fill="00416E"/>
            <w:vAlign w:val="center"/>
          </w:tcPr>
          <w:p w:rsidR="009D46E6" w:rsidRPr="00DB1559" w:rsidRDefault="009D46E6" w:rsidP="00DB1559">
            <w:pPr>
              <w:keepNext/>
              <w:spacing w:after="0" w:line="240" w:lineRule="auto"/>
              <w:jc w:val="center"/>
              <w:rPr>
                <w:rFonts w:cs="Tahoma"/>
                <w:color w:val="FFFFFF"/>
                <w:sz w:val="16"/>
                <w:szCs w:val="16"/>
              </w:rPr>
            </w:pPr>
            <w:r w:rsidRPr="00DB1559">
              <w:rPr>
                <w:rFonts w:cs="Tahoma"/>
                <w:color w:val="FFFFFF"/>
                <w:sz w:val="16"/>
                <w:szCs w:val="16"/>
              </w:rPr>
              <w:t>Řídící orgán</w:t>
            </w:r>
          </w:p>
        </w:tc>
      </w:tr>
    </w:tbl>
    <w:p w:rsidR="009D46E6" w:rsidRPr="00BD5EC7" w:rsidRDefault="009D46E6" w:rsidP="00866283">
      <w:pPr>
        <w:pStyle w:val="Zdroj"/>
        <w:keepNext/>
      </w:pPr>
      <w:r w:rsidRPr="00BD5EC7">
        <w:t xml:space="preserve">Zdroj: </w:t>
      </w:r>
      <w:r>
        <w:t>Vlastní zpracování</w:t>
      </w:r>
    </w:p>
    <w:p w:rsidR="009D46E6" w:rsidRDefault="009D46E6" w:rsidP="00866283"/>
    <w:p w:rsidR="009D46E6" w:rsidRDefault="009D46E6" w:rsidP="00866283">
      <w:r>
        <w:t>H</w:t>
      </w:r>
      <w:r w:rsidRPr="00801200">
        <w:t>lavn</w:t>
      </w:r>
      <w:r>
        <w:t>í</w:t>
      </w:r>
      <w:r w:rsidRPr="00801200">
        <w:t xml:space="preserve"> fáz</w:t>
      </w:r>
      <w:r>
        <w:t>e</w:t>
      </w:r>
      <w:r w:rsidRPr="00801200">
        <w:t xml:space="preserve"> projektového cyklu </w:t>
      </w:r>
      <w:r>
        <w:t xml:space="preserve">jsou zahájeny vypsáním výzvy k podávání návrhů projektů. </w:t>
      </w:r>
      <w:r w:rsidRPr="00801200">
        <w:t>Každá podaná žádost o dotaci prochází schvalovacím procesem, během kterého je žádost kontrolována a hodnocena z hlediska splnění podmínek výzvy a dalších předem stanovených kritérií.</w:t>
      </w:r>
      <w:r w:rsidRPr="00DA4A88">
        <w:t xml:space="preserve"> </w:t>
      </w:r>
      <w:r w:rsidRPr="00801200">
        <w:t xml:space="preserve">Poté, co projektová žádost úspěšně projde celým schvalovacím procesem, </w:t>
      </w:r>
      <w:r>
        <w:t>je vydáno r</w:t>
      </w:r>
      <w:r w:rsidRPr="00801200">
        <w:t>ozhodnutí o poskytnutí dotace</w:t>
      </w:r>
      <w:r>
        <w:t xml:space="preserve"> a sepsána smlouva mezi poskytovatelem a příjemcem. O</w:t>
      </w:r>
      <w:r w:rsidRPr="00801200">
        <w:t xml:space="preserve">d vydání </w:t>
      </w:r>
      <w:r>
        <w:t>r</w:t>
      </w:r>
      <w:r w:rsidRPr="00801200">
        <w:t xml:space="preserve">ozhodnutí začíná fáze fyzické a finanční realizace projektu. Příjemce pravidelně předkládá žádosti o platbu. Po ukončení fyzické realizaci projektu a certifikaci vynaložených výdajů </w:t>
      </w:r>
      <w:r>
        <w:t>navazuje</w:t>
      </w:r>
      <w:r w:rsidRPr="00801200">
        <w:t xml:space="preserve"> doba udržitelnosti.</w:t>
      </w:r>
    </w:p>
    <w:p w:rsidR="009D46E6" w:rsidRDefault="009D46E6" w:rsidP="00866283">
      <w:r>
        <w:t>Veškeré prostředky SF jsou integrovány do státního rozpočtu a příjemcům jsou dotace předfinancovány. Platební a certifikační orgán (</w:t>
      </w:r>
      <w:r w:rsidRPr="00ED3E18">
        <w:t>Ná</w:t>
      </w:r>
      <w:r>
        <w:t xml:space="preserve">rodní fond Ministerstva financí) zpětně nárokuje prostředky na Evropské komisi. Tímto systémem dochází ke zrychlení toku financí k příjemcům - celý proces popisuje graf F.4. </w:t>
      </w:r>
    </w:p>
    <w:p w:rsidR="009D46E6" w:rsidRPr="00BD5EC7" w:rsidRDefault="009D46E6" w:rsidP="00750D9B">
      <w:pPr>
        <w:pStyle w:val="Caption"/>
      </w:pPr>
      <w:bookmarkStart w:id="240" w:name="_Toc369092092"/>
      <w:r>
        <w:t xml:space="preserve">Graf </w:t>
      </w:r>
      <w:fldSimple w:instr=" STYLEREF 1 \s ">
        <w:r>
          <w:rPr>
            <w:noProof/>
          </w:rPr>
          <w:t>F</w:t>
        </w:r>
      </w:fldSimple>
      <w:r>
        <w:t>.</w:t>
      </w:r>
      <w:fldSimple w:instr=" SEQ Graf \* ARABIC \s 1 ">
        <w:r>
          <w:rPr>
            <w:noProof/>
          </w:rPr>
          <w:t>4</w:t>
        </w:r>
      </w:fldSimple>
      <w:r w:rsidRPr="00BD5EC7">
        <w:t xml:space="preserve">: </w:t>
      </w:r>
      <w:r>
        <w:t>S</w:t>
      </w:r>
      <w:r w:rsidRPr="002C1E60">
        <w:t>chéma průběhu čerpání finančních prostředků</w:t>
      </w:r>
      <w:bookmarkEnd w:id="240"/>
    </w:p>
    <w:p w:rsidR="009D46E6" w:rsidRPr="00BD5EC7" w:rsidRDefault="009D46E6" w:rsidP="00866283">
      <w:pPr>
        <w:pStyle w:val="Zdroj"/>
      </w:pPr>
      <w:r>
        <w:rPr>
          <w:noProof/>
          <w:lang w:eastAsia="cs-CZ"/>
        </w:rPr>
      </w:r>
      <w:r w:rsidRPr="00DF392C">
        <w:rPr>
          <w:noProof/>
          <w:color w:val="FFFFFF"/>
          <w:szCs w:val="16"/>
          <w:lang w:eastAsia="cs-CZ"/>
        </w:rPr>
        <w:pict>
          <v:group id="Plátno 373" o:spid="_x0000_s1057" editas="canvas" style="width:481.9pt;height:226.75pt;mso-position-horizontal-relative:char;mso-position-vertical-relative:line" coordsize="61194,287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">
            <v:shape id="_x0000_s1058" type="#_x0000_t75" style="position:absolute;width:61194;height:28797;visibility:visible">
              <v:fill o:detectmouseclick="t"/>
              <v:path o:connecttype="none"/>
            </v:shape>
            <v:rect id="Obdélník 2" o:spid="_x0000_s1059" style="position:absolute;left:4725;top:16249;width:10800;height:36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vjsUA&#10;AADcAAAADwAAAGRycy9kb3ducmV2LnhtbESPQWsCMRSE74X+h/AKvdVsXVtkNYoKpaKlUG3vz83r&#10;7uLmJSapu/57Uyj0OMw3M8x03ptWnMmHxrKCx0EGgri0uuFKwef+5WEMIkRkja1lUnChAPPZ7c0U&#10;C207/qDzLlYilXAoUEEdoyukDGVNBsPAOuLkfVtvMCbpK6k9dqnctHKYZc/SYMNpoUZHq5rK4+7H&#10;KNi6xC/z/fvXuHrbuEOXn/zTq1L3d/1iAiJSH//hv/RaK8jzEfyeSUdAz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W+OxQAAANwAAAAPAAAAAAAAAAAAAAAAAJgCAABkcnMv&#10;ZG93bnJldi54bWxQSwUGAAAAAAQABAD1AAAAigMAAAAA&#10;" fillcolor="#a0be32" strokecolor="white" strokeweight="1pt">
              <v:textbox inset=".5mm,.5mm,.5mm,.5mm">
                <w:txbxContent>
                  <w:p w:rsidR="009D46E6" w:rsidRPr="00153811" w:rsidRDefault="009D46E6" w:rsidP="00866283">
                    <w:pPr>
                      <w:spacing w:after="0" w:line="240" w:lineRule="auto"/>
                      <w:jc w:val="center"/>
                      <w:rPr>
                        <w:sz w:val="16"/>
                        <w:szCs w:val="16"/>
                      </w:rPr>
                    </w:pPr>
                    <w:r w:rsidRPr="00153811">
                      <w:rPr>
                        <w:szCs w:val="16"/>
                      </w:rPr>
                      <w:t>Vyhlášení výzvy</w:t>
                    </w:r>
                  </w:p>
                </w:txbxContent>
              </v:textbox>
            </v:rect>
            <v:rect id="Obdélník 3" o:spid="_x0000_s1060" style="position:absolute;left:17394;top:16248;width:10800;height:36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XKFcUA&#10;AADcAAAADwAAAGRycy9kb3ducmV2LnhtbESP3WoCMRSE74W+QzhC7zRrF4usRmkLUqml4N/96eZ0&#10;d+nmJCbR3b69KRR6Ocw3M8xi1ZtWXMmHxrKCyTgDQVxa3XCl4HhYj2YgQkTW2FomBT8UYLW8Gyyw&#10;0LbjHV33sRKphEOBCuoYXSFlKGsyGMbWESfvy3qDMUlfSe2xS+WmlQ9Z9igNNpwWanT0UlP5vb8Y&#10;BVuX+Of88HGaVe9v7rPLz376qtT9sH+ag4jUx3/4L73RCvJ8Cr9n0hG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tcoVxQAAANwAAAAPAAAAAAAAAAAAAAAAAJgCAABkcnMv&#10;ZG93bnJldi54bWxQSwUGAAAAAAQABAD1AAAAigMAAAAA&#10;" fillcolor="#a0be32" strokecolor="white" strokeweight="1pt">
              <v:textbox inset=".5mm,.5mm,.5mm,.5mm">
                <w:txbxContent>
                  <w:p w:rsidR="009D46E6" w:rsidRPr="00153811" w:rsidRDefault="009D46E6" w:rsidP="00866283">
                    <w:pPr>
                      <w:spacing w:after="0" w:line="240" w:lineRule="auto"/>
                      <w:jc w:val="center"/>
                      <w:rPr>
                        <w:sz w:val="16"/>
                        <w:szCs w:val="16"/>
                      </w:rPr>
                    </w:pPr>
                    <w:r>
                      <w:rPr>
                        <w:szCs w:val="16"/>
                      </w:rPr>
                      <w:t>Hodnocení a výběr projektu</w:t>
                    </w:r>
                  </w:p>
                </w:txbxContent>
              </v:textbox>
            </v:rect>
            <v:rect id="Obdélník 6" o:spid="_x0000_s1061" style="position:absolute;left:36656;top:16249;width:10800;height:36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dUYsUA&#10;AADcAAAADwAAAGRycy9kb3ducmV2LnhtbESP3WoCMRSE74W+QzhC7zRrl4qsRmkLUqml4N/96eZ0&#10;d+nmJCbRXd++KRR6Ocw3M8xi1ZtWXMmHxrKCyTgDQVxa3XCl4HhYj2YgQkTW2FomBTcKsFreDRZY&#10;aNvxjq77WIlUwqFABXWMrpAylDUZDGPriJP3Zb3BmKSvpPbYpXLTyocsm0qDDaeFGh291FR+7y9G&#10;wdYl/jk/fJxm1fub++zys398Vep+2D/NQUTq4z/8l95oBXk+hd8z6Qj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Z1RixQAAANwAAAAPAAAAAAAAAAAAAAAAAJgCAABkcnMv&#10;ZG93bnJldi54bWxQSwUGAAAAAAQABAD1AAAAigMAAAAA&#10;" fillcolor="#a0be32" strokecolor="white" strokeweight="1pt">
              <v:textbox inset=".5mm,.5mm,.5mm,.5mm">
                <w:txbxContent>
                  <w:p w:rsidR="009D46E6" w:rsidRPr="00153811" w:rsidRDefault="009D46E6" w:rsidP="00866283">
                    <w:pPr>
                      <w:spacing w:after="0" w:line="240" w:lineRule="auto"/>
                      <w:jc w:val="center"/>
                      <w:rPr>
                        <w:sz w:val="16"/>
                        <w:szCs w:val="16"/>
                      </w:rPr>
                    </w:pPr>
                    <w:r>
                      <w:rPr>
                        <w:szCs w:val="16"/>
                      </w:rPr>
                      <w:t>Schválení žádosti o platbu, proplacení</w:t>
                    </w:r>
                  </w:p>
                </w:txbxContent>
              </v:textbox>
            </v:rect>
            <v:rect id="Obdélník 7" o:spid="_x0000_s1062" style="position:absolute;left:43454;top:9014;width:10800;height:36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79F8UA&#10;AADcAAAADwAAAGRycy9kb3ducmV2LnhtbESPT2vCQBTE74LfYXkFL1I3NVAldRUpiN6KfyAeH9ln&#10;kpp9G3Y3Mf323YLQ4zAzv2FWm8E0oifna8sK3mYJCOLC6ppLBZfz7nUJwgdkjY1lUvBDHjbr8WiF&#10;mbYPPlJ/CqWIEPYZKqhCaDMpfVGRQT+zLXH0btYZDFG6UmqHjwg3jZwnybs0WHNcqLClz4qK+6kz&#10;CvaHzl/TaUi6y3feunv/tczzm1KTl2H7ASLQEP7Dz/ZBK0jTBfydiUd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Xv0XxQAAANwAAAAPAAAAAAAAAAAAAAAAAJgCAABkcnMv&#10;ZG93bnJldi54bWxQSwUGAAAAAAQABAD1AAAAigMAAAAA&#10;" fillcolor="#e6af14" strokecolor="white" strokeweight="1pt">
              <v:textbox inset=".5mm,.5mm,.5mm,.5mm">
                <w:txbxContent>
                  <w:p w:rsidR="009D46E6" w:rsidRPr="00153811" w:rsidRDefault="009D46E6" w:rsidP="00866283">
                    <w:pPr>
                      <w:spacing w:after="0" w:line="240" w:lineRule="auto"/>
                      <w:jc w:val="center"/>
                      <w:rPr>
                        <w:sz w:val="16"/>
                        <w:szCs w:val="16"/>
                      </w:rPr>
                    </w:pPr>
                    <w:r>
                      <w:rPr>
                        <w:szCs w:val="16"/>
                      </w:rPr>
                      <w:t>Refundace ze státního rozpočtu</w:t>
                    </w:r>
                  </w:p>
                </w:txbxContent>
              </v:textbox>
            </v:rect>
            <v:rect id="Obdélník 8" o:spid="_x0000_s1063" style="position:absolute;left:50345;top:1771;width:10800;height:36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9VksAA&#10;AADcAAAADwAAAGRycy9kb3ducmV2LnhtbERPz2vCMBS+C/sfwhvspukU1HVGmcLUk2A72PXRvDVl&#10;zUtJYq3/vTkIHj++36vNYFvRkw+NYwXvkwwEceV0w7WCn/J7vAQRIrLG1jEpuFGAzfpltMJcuyuf&#10;qS9iLVIIhxwVmBi7XMpQGbIYJq4jTtyf8xZjgr6W2uM1hdtWTrNsLi02nBoMdrQzVP0XF6sgHPot&#10;F775KE38PZV02e4XwSj19jp8fYKINMSn+OE+agWzWVqbzqQjINd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P9VksAAAADcAAAADwAAAAAAAAAAAAAAAACYAgAAZHJzL2Rvd25y&#10;ZXYueG1sUEsFBgAAAAAEAAQA9QAAAIUDAAAAAA==&#10;" fillcolor="#cd5f03" strokecolor="white" strokeweight="1pt">
              <v:textbox inset=".5mm,.5mm,.5mm,.5mm">
                <w:txbxContent>
                  <w:p w:rsidR="009D46E6" w:rsidRPr="00153811" w:rsidRDefault="009D46E6" w:rsidP="00866283">
                    <w:pPr>
                      <w:spacing w:after="0" w:line="240" w:lineRule="auto"/>
                      <w:jc w:val="center"/>
                      <w:rPr>
                        <w:sz w:val="16"/>
                        <w:szCs w:val="16"/>
                      </w:rPr>
                    </w:pPr>
                    <w:r>
                      <w:rPr>
                        <w:szCs w:val="16"/>
                      </w:rPr>
                      <w:t xml:space="preserve">Certifikace, refundace z rozpočtu EU </w:t>
                    </w:r>
                  </w:p>
                </w:txbxContent>
              </v:textbox>
            </v:rect>
            <v:rect id="Obdélník 9" o:spid="_x0000_s1064" style="position:absolute;top:21663;width:3600;height:72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OCMMA&#10;AADcAAAADwAAAGRycy9kb3ducmV2LnhtbESPQYvCMBSE78L+h/AEL7ImKshajVIWBD1adWFvz+bZ&#10;FpuX0kSt/94IC3scZuYbZrnubC3u1PrKsYbxSIEgzp2puNBwPGw+v0D4gGywdkwanuRhvfroLTEx&#10;7sF7umehEBHCPkENZQhNIqXPS7LoR64hjt7FtRZDlG0hTYuPCLe1nCg1kxYrjgslNvRdUn7NblZD&#10;5vbHbvjj7fycDg+nS7FTqfrVetDv0gWIQF34D/+1t0bDdDqH95l4BOTq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1OCMMAAADcAAAADwAAAAAAAAAAAAAAAACYAgAAZHJzL2Rv&#10;d25yZXYueG1sUEsFBgAAAAAEAAQA9QAAAIgDAAAAAA==&#10;" fillcolor="#008ccd" strokecolor="white" strokeweight="1pt">
              <v:textbox style="layout-flow:vertical;mso-layout-flow-alt:bottom-to-top" inset=".5mm,.5mm,.5mm,.5mm">
                <w:txbxContent>
                  <w:p w:rsidR="009D46E6" w:rsidRPr="00153811" w:rsidRDefault="009D46E6" w:rsidP="00866283">
                    <w:pPr>
                      <w:spacing w:after="0" w:line="240" w:lineRule="auto"/>
                      <w:jc w:val="center"/>
                      <w:rPr>
                        <w:sz w:val="16"/>
                        <w:szCs w:val="16"/>
                      </w:rPr>
                    </w:pPr>
                    <w:r>
                      <w:rPr>
                        <w:szCs w:val="16"/>
                      </w:rPr>
                      <w:t>Žadatel / příjemce</w:t>
                    </w:r>
                  </w:p>
                </w:txbxContent>
              </v:textbox>
            </v:rect>
            <v:rect id="Obdélník 10" o:spid="_x0000_s1065" style="position:absolute;left:1;top:14400;width:3600;height:72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3yk8MA&#10;AADcAAAADwAAAGRycy9kb3ducmV2LnhtbERPz2vCMBS+D/Y/hCfsIjPRjk2qaZHJYIeB2O2w46N5&#10;ttHmpTRR63+/HAYeP77f63J0nbjQEKxnDfOZAkFce2O50fDz/fG8BBEissHOM2m4UYCyeHxYY278&#10;lfd0qWIjUgiHHDW0Mfa5lKFuyWGY+Z44cQc/OIwJDo00A15TuOvkQqlX6dByamixp/eW6lN1dho2&#10;2Txmavq7Vfar9kfe3abbN6v102TcrEBEGuNd/O/+NBqylzQ/nUlHQB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u3yk8MAAADcAAAADwAAAAAAAAAAAAAAAACYAgAAZHJzL2Rv&#10;d25yZXYueG1sUEsFBgAAAAAEAAQA9QAAAIgDAAAAAA==&#10;" fillcolor="#a0be32" strokecolor="white" strokeweight="1pt">
              <v:textbox style="layout-flow:vertical;mso-layout-flow-alt:bottom-to-top" inset=".5mm,.5mm,.5mm,.5mm">
                <w:txbxContent>
                  <w:p w:rsidR="009D46E6" w:rsidRPr="00153811" w:rsidRDefault="009D46E6" w:rsidP="00866283">
                    <w:pPr>
                      <w:spacing w:after="0" w:line="240" w:lineRule="auto"/>
                      <w:jc w:val="center"/>
                      <w:rPr>
                        <w:sz w:val="16"/>
                        <w:szCs w:val="16"/>
                      </w:rPr>
                    </w:pPr>
                    <w:r>
                      <w:rPr>
                        <w:szCs w:val="16"/>
                      </w:rPr>
                      <w:t>Řídící orgán</w:t>
                    </w:r>
                  </w:p>
                </w:txbxContent>
              </v:textbox>
            </v:rect>
            <v:rect id="Obdélník 11" o:spid="_x0000_s1066" style="position:absolute;top:7200;width:3600;height:72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BQqMQA&#10;AADcAAAADwAAAGRycy9kb3ducmV2LnhtbESP3WoCMRSE7wu+QzhCb0rNakXL1uyiQkEEL/x5gMPm&#10;dLO4OVmSqOnbN4VCL4eZ+YZZ1cn24k4+dI4VTCcFCOLG6Y5bBZfz5+s7iBCRNfaOScE3Bair0dMK&#10;S+0efKT7KbYiQziUqMDEOJRShsaQxTBxA3H2vpy3GLP0rdQeHxluezkrioW02HFeMDjQ1lBzPd2s&#10;gmXBcieH3i42LynFvV6a/cEr9TxO6w8QkVL8D/+1d1rB23wKv2fyEZD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wUKjEAAAA3AAAAA8AAAAAAAAAAAAAAAAAmAIAAGRycy9k&#10;b3ducmV2LnhtbFBLBQYAAAAABAAEAPUAAACJAwAAAAA=&#10;" fillcolor="#e6af14" strokecolor="white" strokeweight="1pt">
              <v:textbox style="layout-flow:vertical;mso-layout-flow-alt:bottom-to-top" inset=".5mm,.5mm,.5mm,.5mm">
                <w:txbxContent>
                  <w:p w:rsidR="009D46E6" w:rsidRPr="00153811" w:rsidRDefault="009D46E6" w:rsidP="00866283">
                    <w:pPr>
                      <w:spacing w:after="0" w:line="240" w:lineRule="auto"/>
                      <w:jc w:val="center"/>
                      <w:rPr>
                        <w:sz w:val="16"/>
                        <w:szCs w:val="16"/>
                      </w:rPr>
                    </w:pPr>
                    <w:r>
                      <w:rPr>
                        <w:szCs w:val="16"/>
                      </w:rPr>
                      <w:t>Plat. a certif. orgán</w:t>
                    </w:r>
                  </w:p>
                </w:txbxContent>
              </v:textbox>
            </v:rect>
            <v:rect id="Obdélník 12" o:spid="_x0000_s1067" style="position:absolute;width:3600;height:72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ibncMA&#10;AADcAAAADwAAAGRycy9kb3ducmV2LnhtbESPX2vCMBTF3wd+h3CFvc3UbqhUo8iGw6eBVvD12lyb&#10;YnNTm0w7P70ZCD4ezp8fZ7bobC0u1PrKsYLhIAFBXDhdcalgl6/eJiB8QNZYOyYFf+RhMe+9zDDT&#10;7sobumxDKeII+wwVmBCaTEpfGLLoB64hjt7RtRZDlG0pdYvXOG5rmSbJSFqsOBIMNvRpqDhtf23k&#10;pua83vBXONwq3ezzn/F3vjoo9drvllMQgbrwDD/aa63g/SOF/zPxCM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ibncMAAADcAAAADwAAAAAAAAAAAAAAAACYAgAAZHJzL2Rv&#10;d25yZXYueG1sUEsFBgAAAAAEAAQA9QAAAIgDAAAAAA==&#10;" fillcolor="#cd5f03" strokecolor="white" strokeweight="1pt">
              <v:textbox style="layout-flow:vertical;mso-layout-flow-alt:bottom-to-top" inset=".5mm,.5mm,.5mm,.5mm">
                <w:txbxContent>
                  <w:p w:rsidR="009D46E6" w:rsidRPr="00153811" w:rsidRDefault="009D46E6" w:rsidP="00866283">
                    <w:pPr>
                      <w:spacing w:after="0" w:line="240" w:lineRule="auto"/>
                      <w:jc w:val="center"/>
                      <w:rPr>
                        <w:sz w:val="16"/>
                        <w:szCs w:val="16"/>
                      </w:rPr>
                    </w:pPr>
                    <w:r>
                      <w:rPr>
                        <w:szCs w:val="16"/>
                      </w:rPr>
                      <w:t>Evropská komise</w:t>
                    </w:r>
                  </w:p>
                </w:txbxContent>
              </v:textbox>
            </v:rect>
            <v:rect id="Obdélník 13" o:spid="_x0000_s1068" style="position:absolute;left:10878;top:23870;width:10800;height:36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hQccMA&#10;AADcAAAADwAAAGRycy9kb3ducmV2LnhtbESPT4vCMBTE74LfITxhb5qqi0i3qYh/FsGDqIvnR/Ns&#10;is1LabLa/fZmQfA4zMxvmGzR2VrcqfWVYwXjUQKCuHC64lLBz3k7nIPwAVlj7ZgU/JGHRd7vZZhq&#10;9+Aj3U+hFBHCPkUFJoQmldIXhiz6kWuIo3d1rcUQZVtK3eIjwm0tJ0kykxYrjgsGG1oZKm6nX6tg&#10;Y76bvS22l+RSn8fVujwQrQ5KfQy65ReIQF14h1/tnVYw/ZzC/5l4BGT+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xhQccMAAADcAAAADwAAAAAAAAAAAAAAAACYAgAAZHJzL2Rv&#10;d25yZXYueG1sUEsFBgAAAAAEAAQA9QAAAIgDAAAAAA==&#10;" fillcolor="#008ccd" strokecolor="white" strokeweight="1pt">
              <v:textbox inset=".5mm,.5mm,.5mm,.5mm">
                <w:txbxContent>
                  <w:p w:rsidR="009D46E6" w:rsidRPr="00153811" w:rsidRDefault="009D46E6" w:rsidP="00866283">
                    <w:pPr>
                      <w:spacing w:after="0" w:line="240" w:lineRule="auto"/>
                      <w:jc w:val="center"/>
                      <w:rPr>
                        <w:sz w:val="16"/>
                        <w:szCs w:val="16"/>
                      </w:rPr>
                    </w:pPr>
                    <w:r>
                      <w:rPr>
                        <w:szCs w:val="16"/>
                      </w:rPr>
                      <w:t>Podání projektové žádosti</w:t>
                    </w:r>
                  </w:p>
                </w:txbxContent>
              </v:textbox>
            </v:rect>
            <v:rect id="Obdélník 14" o:spid="_x0000_s1069" style="position:absolute;left:29887;top:23870;width:10800;height:36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HIBcQA&#10;AADcAAAADwAAAGRycy9kb3ducmV2LnhtbESPQWvCQBSE74L/YXlCb7qxDUXSbES0lkIPQS2eH9ln&#10;Nph9G7LbJP333UKhx2FmvmHy7WRbMVDvG8cK1qsEBHHldMO1gs/LcbkB4QOyxtYxKfgmD9tiPssx&#10;027kEw3nUIsIYZ+hAhNCl0npK0MW/cp1xNG7ud5iiLKvpe5xjHDbysckeZYWG44LBjvaG6ru5y+r&#10;4NW8dR+2Ol6Ta3tZN4e6JNqXSj0spt0LiEBT+A//td+1gqc0hd8z8QjI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xyAXEAAAA3AAAAA8AAAAAAAAAAAAAAAAAmAIAAGRycy9k&#10;b3ducmV2LnhtbFBLBQYAAAAABAAEAPUAAACJAwAAAAA=&#10;" fillcolor="#008ccd" strokecolor="white" strokeweight="1pt">
              <v:textbox inset=".5mm,.5mm,.5mm,.5mm">
                <w:txbxContent>
                  <w:p w:rsidR="009D46E6" w:rsidRPr="00153811" w:rsidRDefault="009D46E6" w:rsidP="00866283">
                    <w:pPr>
                      <w:spacing w:after="0" w:line="240" w:lineRule="auto"/>
                      <w:jc w:val="center"/>
                      <w:rPr>
                        <w:sz w:val="16"/>
                        <w:szCs w:val="16"/>
                      </w:rPr>
                    </w:pPr>
                    <w:r>
                      <w:rPr>
                        <w:szCs w:val="16"/>
                      </w:rPr>
                      <w:t>Realizace, žádost o platbu</w:t>
                    </w:r>
                  </w:p>
                </w:txbxContent>
              </v:textbox>
            </v:rect>
            <v:rect id="Obdélník 15" o:spid="_x0000_s1070" style="position:absolute;left:23511;top:20231;width:10800;height:28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bVAMgA&#10;AADcAAAADwAAAGRycy9kb3ducmV2LnhtbESPQWvCQBSE74L/YXlCL6VubKqU6CpWKhY9SGI99PbI&#10;PpNg9m3Irpr213cLBY/DzHzDzBadqcWVWldZVjAaRiCIc6srLhR8HtZPryCcR9ZYWyYF3+RgMe/3&#10;Zphoe+OUrpkvRICwS1BB6X2TSOnykgy6oW2Ig3eyrUEfZFtI3eItwE0tn6NoIg1WHBZKbGhVUn7O&#10;LkbBe1pvdnG6OsSb7fH08/j1tq+OnVIPg245BeGp8/fwf/tDK4hfxvB3JhwBOf8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ttUAyAAAANwAAAAPAAAAAAAAAAAAAAAAAJgCAABk&#10;cnMvZG93bnJldi54bWxQSwUGAAAAAAQABAD1AAAAjQMAAAAA&#10;" filled="f" strokecolor="#a0be32" strokeweight="1pt">
              <v:stroke dashstyle="3 1"/>
              <v:textbox inset=".5mm,.5mm,.5mm,.5mm">
                <w:txbxContent>
                  <w:p w:rsidR="009D46E6" w:rsidRPr="000404F4" w:rsidRDefault="009D46E6" w:rsidP="00866283">
                    <w:pPr>
                      <w:spacing w:after="0" w:line="240" w:lineRule="auto"/>
                      <w:jc w:val="center"/>
                      <w:rPr>
                        <w:color w:val="00416E"/>
                        <w:sz w:val="16"/>
                        <w:szCs w:val="16"/>
                      </w:rPr>
                    </w:pPr>
                  </w:p>
                </w:txbxContent>
              </v:textbox>
            </v:rect>
            <v:rect id="Obdélník 16" o:spid="_x0000_s1071" style="position:absolute;left:23873;top:20608;width:10800;height:28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cxI8MA&#10;AADcAAAADwAAAGRycy9kb3ducmV2LnhtbESPQWsCMRSE7wX/Q3iCt5q1a5eyGkUqloKXavX+2Dyz&#10;i5uXJYnr9t83QqHHYWa+YZbrwbaiJx8axwpm0wwEceV0w0bB6Xv3/AYiRGSNrWNS8EMB1qvR0xJL&#10;7e58oP4YjUgQDiUqqGPsSilDVZPFMHUdcfIuzluMSXojtcd7gttWvmRZIS02nBZq7Oi9pup6vFkF&#10;t6/CnHS27/e7/Kxftx+my71RajIeNgsQkYb4H/5rf2oF+byAx5l0BO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9cxI8MAAADcAAAADwAAAAAAAAAAAAAAAACYAgAAZHJzL2Rv&#10;d25yZXYueG1sUEsFBgAAAAAEAAQA9QAAAIgDAAAAAA==&#10;" strokecolor="#008ccd" strokeweight="1pt">
              <v:stroke dashstyle="3 1"/>
              <v:textbox inset=".5mm,.5mm,.5mm,.5mm">
                <w:txbxContent>
                  <w:p w:rsidR="009D46E6" w:rsidRPr="00112618" w:rsidRDefault="009D46E6" w:rsidP="00866283">
                    <w:pPr>
                      <w:spacing w:after="0" w:line="240" w:lineRule="auto"/>
                      <w:jc w:val="center"/>
                      <w:rPr>
                        <w:color w:val="00416E"/>
                        <w:sz w:val="16"/>
                        <w:szCs w:val="16"/>
                      </w:rPr>
                    </w:pPr>
                    <w:r w:rsidRPr="00112618">
                      <w:rPr>
                        <w:color w:val="00416E"/>
                        <w:szCs w:val="16"/>
                      </w:rPr>
                      <w:t>Rozhodnutí o dotaci, podpis smlouvy</w:t>
                    </w:r>
                  </w:p>
                </w:txbxContent>
              </v:textbox>
            </v:rect>
            <v:shape id="Přímá spojnice se šipkou 17" o:spid="_x0000_s1072" type="#_x0000_t32" style="position:absolute;left:10125;top:19849;width:6153;height:402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6y+MUAAADcAAAADwAAAGRycy9kb3ducmV2LnhtbESP3WrCQBSE74W+w3IKvaub1lo1ukop&#10;pCgI9ff+kD0mabNnw+7WxLd3hYKXw8x8w8wWnanFmZyvLCt46ScgiHOrKy4UHPbZ8xiED8gaa8uk&#10;4EIeFvOH3gxTbVve0nkXChEh7FNUUIbQpFL6vCSDvm8b4uidrDMYonSF1A7bCDe1fE2Sd2mw4rhQ&#10;YkOfJeW/uz+jYL/M1qPVcPBtvpw8Zj+bdddOcqWeHruPKYhAXbiH/9tLrWDwNoLbmXgE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Z6y+MUAAADcAAAADwAAAAAAAAAA&#10;AAAAAAChAgAAZHJzL2Rvd25yZXYueG1sUEsFBgAAAAAEAAQA+QAAAJMDAAAAAA==&#10;" strokecolor="#a0be32" strokeweight="1pt">
              <v:stroke dashstyle="3 1" endarrow="open" endarrowlength="short"/>
            </v:shape>
            <v:shape id="Přímá spojnice se šipkou 18" o:spid="_x0000_s1073" type="#_x0000_t32" style="position:absolute;left:16278;top:19848;width:6516;height:4022;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gKs8MAAADcAAAADwAAAGRycy9kb3ducmV2LnhtbERPy2rCQBTdF/oPwxXc1YlPJDpKEbRd&#10;SKFRfOwumWsSzNwJmdEkf+8sCl0eznu5bk0pnlS7wrKC4SACQZxaXXCm4HjYfsxBOI+ssbRMCjpy&#10;sF69vy0x1rbhX3omPhMhhF2MCnLvq1hKl+Zk0A1sRRy4m60N+gDrTOoamxBuSjmKopk0WHBoyLGi&#10;TU7pPXkYBdOvrunus8f++hOdd6f9RU+TuVaq32s/FyA8tf5f/Of+1grGk7A2nAlHQK5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64CrPDAAAA3AAAAA8AAAAAAAAAAAAA&#10;AAAAoQIAAGRycy9kb3ducmV2LnhtbFBLBQYAAAAABAAEAPkAAACRAwAAAAA=&#10;" strokecolor="#008ccd" strokeweight="1pt">
              <v:stroke dashstyle="3 1" endarrow="open" endarrowlength="short"/>
            </v:shape>
            <v:shape id="Přímá spojnice se šipkou 19" o:spid="_x0000_s1074" type="#_x0000_t32" style="position:absolute;left:35287;top:19849;width:6769;height:402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SvKMYAAADcAAAADwAAAGRycy9kb3ducmV2LnhtbESPQWvCQBSE7wX/w/KE3upGraKpq4hg&#10;60EKTUXb2yP7mgSzb0N2Ncm/dwWhx2FmvmEWq9aU4kq1KywrGA4iEMSp1QVnCg7f25cZCOeRNZaW&#10;SUFHDlbL3tMCY20b/qJr4jMRIOxiVJB7X8VSujQng25gK+Lg/dnaoA+yzqSusQlwU8pRFE2lwYLD&#10;Qo4VbXJKz8nFKJh8dE13nl72v5/R6f24/9GTZKaVeu636zcQnlr/H360d1rB+HUO9zPhCMjl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H0ryjGAAAA3AAAAA8AAAAAAAAA&#10;AAAAAAAAoQIAAGRycy9kb3ducmV2LnhtbFBLBQYAAAAABAAEAPkAAACUAwAAAAA=&#10;" strokecolor="#008ccd" strokeweight="1pt">
              <v:stroke dashstyle="3 1" endarrow="open" endarrowlength="short"/>
            </v:shape>
            <v:shapetype id="_x0000_t33" coordsize="21600,21600" o:spt="33" o:oned="t" path="m,l21600,r,21600e" filled="f">
              <v:stroke joinstyle="miter"/>
              <v:path arrowok="t" fillok="f" o:connecttype="none"/>
              <o:lock v:ext="edit" shapetype="t"/>
            </v:shapetype>
            <v:shape id="Přímá spojnice se šipkou 24" o:spid="_x0000_s1075" type="#_x0000_t33" style="position:absolute;left:45437;top:14633;width:5435;height:1398;rotation:90;visibility:visibl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E8nsAAAADcAAAADwAAAGRycy9kb3ducmV2LnhtbERPz2vCMBS+D/Y/hDfwMjS14hi1qUxB&#10;5nV1sOuzeTalzUvXRFv/++Uw8Pjx/c63k+3EjQbfOFawXCQgiCunG64VfJ8O83cQPiBr7ByTgjt5&#10;2BbPTzlm2o38Rbcy1CKGsM9QgQmhz6T0lSGLfuF64shd3GAxRDjUUg84xnDbyTRJ3qTFhmODwZ72&#10;hqq2vFoFP+kvfZ7dvWzlvt2ZNN3x+GqUmr1MHxsQgabwEP+7j1rBah3nxzPxCMji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KBPJ7AAAAA3AAAAA8AAAAAAAAAAAAAAAAA&#10;oQIAAGRycy9kb3ducmV2LnhtbFBLBQYAAAAABAAEAPkAAACOAwAAAAA=&#10;" strokecolor="#e6af14" strokeweight="1pt">
              <v:stroke dashstyle="3 1" endarrow="open" endarrowlength="short"/>
            </v:shape>
            <v:shape id="Přímá spojnice se šipkou 22" o:spid="_x0000_s1076" type="#_x0000_t32" style="position:absolute;left:42056;top:12614;width:6798;height:363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ustsgAAADcAAAADwAAAGRycy9kb3ducmV2LnhtbESPW2vCQBSE3wv+h+UIfaubaFskuoq0&#10;lBZ9kMYL9u00e3LR7NmQXTX9912h0MdhZr5hpvPO1OJCrassK4gHEQjizOqKCwXbzdvDGITzyBpr&#10;y6TghxzMZ727KSbaXvmTLqkvRICwS1BB6X2TSOmykgy6gW2Ig5fb1qAPsi2kbvEa4KaWwyh6lgYr&#10;DgslNvRSUnZKz0ZBnr7Ho8X68LpeHvf5MN1/7x6/Vkrd97vFBISnzv+H/9ofWsHoKYbbmXAE5Ow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dustsgAAADcAAAADwAAAAAA&#10;AAAAAAAAAAChAgAAZHJzL2Rvd25yZXYueG1sUEsFBgAAAAAEAAQA+QAAAJYDAAAAAA==&#10;" strokecolor="#a0be32" strokeweight="1pt">
              <v:stroke dashstyle="3 1" endarrow="open" endarrowlength="short"/>
            </v:shape>
            <v:shape id="Přímá spojnice se šipkou 23" o:spid="_x0000_s1077" type="#_x0000_t32" style="position:absolute;left:48854;top:5371;width:6891;height:3643;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7kMsUAAADcAAAADwAAAGRycy9kb3ducmV2LnhtbESPQWvCQBSE7wX/w/KE3pqNim1J3QQj&#10;CKX0oq2gt9fsMwlm3y7ZrcZ/3xUKHoeZ+YZZFIPpxJl631pWMElSEMSV1S3XCr6/1k+vIHxA1thZ&#10;JgVX8lDko4cFZtpeeEPnbahFhLDPUEETgsuk9FVDBn1iHXH0jrY3GKLsa6l7vES46eQ0TZ+lwZbj&#10;QoOOVg1Vp+2vUbA383Lnf0r3YepV+eIO/lruPpV6HA/LNxCBhnAP/7fftYLZfAq3M/EIy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T7kMsUAAADcAAAADwAAAAAAAAAA&#10;AAAAAAChAgAAZHJzL2Rvd25yZXYueG1sUEsFBgAAAAAEAAQA+QAAAJMDAAAAAA==&#10;" strokecolor="#e6af14" strokeweight="1pt">
              <v:stroke dashstyle="3 1" endarrow="open" endarrowlength="short"/>
            </v:shape>
            <v:shape id="Přímá spojnice se šipkou 24" o:spid="_x0000_s1078" type="#_x0000_t33" style="position:absolute;left:52278;top:7347;width:5443;height:1491;rotation:90;visibility:visibl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vo5cUAAADcAAAADwAAAGRycy9kb3ducmV2LnhtbESPQWvCQBSE7wX/w/IK3ppNKy2augYJ&#10;1OYkGj3o7ZF9TYLZtyG70fTfd4WCx2FmvmGW6WhacaXeNZYVvEYxCOLS6oYrBcfD18schPPIGlvL&#10;pOCXHKSrydMSE21vvKdr4SsRIOwSVFB73yVSurImgy6yHXHwfmxv0AfZV1L3eAtw08q3OP6QBhsO&#10;CzV2lNVUXorBKNiZ/DQszpsF0f6yw+98qObZVqnp87j+BOFp9I/wfzvXCmbvM7ifCUdA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1vo5cUAAADcAAAADwAAAAAAAAAA&#10;AAAAAAChAgAAZHJzL2Rvd25yZXYueG1sUEsFBgAAAAAEAAQA+QAAAJMDAAAAAA==&#10;" strokecolor="#cd5f03" strokeweight="1pt">
              <v:stroke dashstyle="3 1" endarrow="open" endarrowlength="short"/>
            </v:shape>
            <v:rect id="Obdélník 25" o:spid="_x0000_s1079" style="position:absolute;left:514;top:21565;width:3600;height:72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qC/ccA&#10;AADcAAAADwAAAGRycy9kb3ducmV2LnhtbESPT2vCQBTE74V+h+UVvNVNWysxuootKh7ag/EPeHtk&#10;n0lo9m3Irkn89m6h0OMwM79hZoveVKKlxpWWFbwMIxDEmdUl5woO+/VzDMJ5ZI2VZVJwIweL+ePD&#10;DBNtO95Rm/pcBAi7BBUU3teJlC4ryKAb2po4eBfbGPRBNrnUDXYBbir5GkVjabDksFBgTZ8FZT/p&#10;1SiIl4eVvO1xUrfn2H93X6fjR7pRavDUL6cgPPX+P/zX3moFb+8j+D0Tjo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Kgv3HAAAA3AAAAA8AAAAAAAAAAAAAAAAAmAIAAGRy&#10;cy9kb3ducmV2LnhtbFBLBQYAAAAABAAEAPUAAACMAwAAAAA=&#10;" strokecolor="white" strokeweight="1pt">
              <v:textbox style="layout-flow:vertical;mso-layout-flow-alt:bottom-to-top" inset=".5mm,.5mm,.5mm,.5mm">
                <w:txbxContent>
                  <w:p w:rsidR="009D46E6" w:rsidRPr="00112618" w:rsidRDefault="009D46E6" w:rsidP="00866283">
                    <w:pPr>
                      <w:spacing w:after="0" w:line="240" w:lineRule="auto"/>
                      <w:jc w:val="center"/>
                      <w:rPr>
                        <w:color w:val="00416E"/>
                        <w:sz w:val="16"/>
                        <w:szCs w:val="16"/>
                      </w:rPr>
                    </w:pPr>
                    <w:r w:rsidRPr="00112618">
                      <w:rPr>
                        <w:color w:val="00416E"/>
                        <w:szCs w:val="16"/>
                      </w:rPr>
                      <w:t>Žadatel / příjemce</w:t>
                    </w:r>
                  </w:p>
                </w:txbxContent>
              </v:textbox>
            </v:rect>
            <v:rect id="Obdélník 26" o:spid="_x0000_s1080" style="position:absolute;left:514;top:14400;width:3600;height:72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YnZsYA&#10;AADcAAAADwAAAGRycy9kb3ducmV2LnhtbESPT2vCQBTE74LfYXlCb7qxRYnRVbS0pYf2YPwD3h7Z&#10;ZxLMvg3ZbRK/fbcg9DjMzG+Y1aY3lWipcaVlBdNJBII4s7rkXMHx8D6OQTiPrLGyTAru5GCzHg5W&#10;mGjb8Z7a1OciQNglqKDwvk6kdFlBBt3E1sTBu9rGoA+yyaVusAtwU8nnKJpLgyWHhQJrei0ou6U/&#10;RkG8Pb7J+wEXdXuJ/Xf3dT7t0g+lnkb9dgnCU+//w4/2p1bwMpvB35lw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YnZsYAAADcAAAADwAAAAAAAAAAAAAAAACYAgAAZHJz&#10;L2Rvd25yZXYueG1sUEsFBgAAAAAEAAQA9QAAAIsDAAAAAA==&#10;" strokecolor="white" strokeweight="1pt">
              <v:textbox style="layout-flow:vertical;mso-layout-flow-alt:bottom-to-top" inset=".5mm,.5mm,.5mm,.5mm">
                <w:txbxContent>
                  <w:p w:rsidR="009D46E6" w:rsidRPr="00112618" w:rsidRDefault="009D46E6" w:rsidP="00866283">
                    <w:pPr>
                      <w:spacing w:after="0" w:line="240" w:lineRule="auto"/>
                      <w:jc w:val="center"/>
                      <w:rPr>
                        <w:color w:val="00416E"/>
                        <w:sz w:val="16"/>
                        <w:szCs w:val="16"/>
                      </w:rPr>
                    </w:pPr>
                    <w:r w:rsidRPr="00112618">
                      <w:rPr>
                        <w:color w:val="00416E"/>
                        <w:szCs w:val="16"/>
                      </w:rPr>
                      <w:t>Řídící orgán</w:t>
                    </w:r>
                  </w:p>
                </w:txbxContent>
              </v:textbox>
            </v:rect>
            <v:rect id="Obdélník 27" o:spid="_x0000_s1081" style="position:absolute;left:514;top:7200;width:3600;height:72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S5EcYA&#10;AADcAAAADwAAAGRycy9kb3ducmV2LnhtbESPT2vCQBTE74LfYXlCb7qxRYnRVbS0xUN7MP4Bb4/s&#10;Mwlm34bsNonfvlso9DjMzG+Y1aY3lWipcaVlBdNJBII4s7rkXMHp+D6OQTiPrLGyTAoe5GCzHg5W&#10;mGjb8YHa1OciQNglqKDwvk6kdFlBBt3E1sTBu9nGoA+yyaVusAtwU8nnKJpLgyWHhQJrei0ou6ff&#10;RkG8Pb3JxxEXdXuN/Vf3eTnv0g+lnkb9dgnCU+//w3/tvVbwMpvD75lw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S5EcYAAADcAAAADwAAAAAAAAAAAAAAAACYAgAAZHJz&#10;L2Rvd25yZXYueG1sUEsFBgAAAAAEAAQA9QAAAIsDAAAAAA==&#10;" strokecolor="white" strokeweight="1pt">
              <v:textbox style="layout-flow:vertical;mso-layout-flow-alt:bottom-to-top" inset=".5mm,.5mm,.5mm,.5mm">
                <w:txbxContent>
                  <w:p w:rsidR="009D46E6" w:rsidRPr="00112618" w:rsidRDefault="009D46E6" w:rsidP="00866283">
                    <w:pPr>
                      <w:spacing w:after="0" w:line="240" w:lineRule="auto"/>
                      <w:jc w:val="center"/>
                      <w:rPr>
                        <w:color w:val="00416E"/>
                        <w:sz w:val="16"/>
                        <w:szCs w:val="16"/>
                      </w:rPr>
                    </w:pPr>
                    <w:r w:rsidRPr="00112618">
                      <w:rPr>
                        <w:color w:val="00416E"/>
                        <w:szCs w:val="16"/>
                      </w:rPr>
                      <w:t>Plat. a certif. orgán</w:t>
                    </w:r>
                  </w:p>
                </w:txbxContent>
              </v:textbox>
            </v:rect>
            <v:rect id="Obdélník 28" o:spid="_x0000_s1082" style="position:absolute;left:514;width:3600;height:72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gciscA&#10;AADcAAAADwAAAGRycy9kb3ducmV2LnhtbESPT2vCQBTE74V+h+UVvNVNW6wxuootKh7ag/EPeHtk&#10;n0lo9m3Irkn89m6h0OMwM79hZoveVKKlxpWWFbwMIxDEmdUl5woO+/VzDMJ5ZI2VZVJwIweL+ePD&#10;DBNtO95Rm/pcBAi7BBUU3teJlC4ryKAb2po4eBfbGPRBNrnUDXYBbir5GkXv0mDJYaHAmj4Lyn7S&#10;q1EQLw8redvjpG7Psf/uvk7Hj3Sj1OCpX05BeOr9f/ivvdUK3kZj+D0Tjo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YHIrHAAAA3AAAAA8AAAAAAAAAAAAAAAAAmAIAAGRy&#10;cy9kb3ducmV2LnhtbFBLBQYAAAAABAAEAPUAAACMAwAAAAA=&#10;" strokecolor="white" strokeweight="1pt">
              <v:textbox style="layout-flow:vertical;mso-layout-flow-alt:bottom-to-top" inset=".5mm,.5mm,.5mm,.5mm">
                <w:txbxContent>
                  <w:p w:rsidR="009D46E6" w:rsidRPr="00112618" w:rsidRDefault="009D46E6" w:rsidP="00866283">
                    <w:pPr>
                      <w:spacing w:after="0" w:line="240" w:lineRule="auto"/>
                      <w:jc w:val="center"/>
                      <w:rPr>
                        <w:color w:val="00416E"/>
                        <w:sz w:val="16"/>
                        <w:szCs w:val="16"/>
                      </w:rPr>
                    </w:pPr>
                    <w:r w:rsidRPr="00112618">
                      <w:rPr>
                        <w:color w:val="00416E"/>
                        <w:szCs w:val="16"/>
                      </w:rPr>
                      <w:t>Evropská komise</w:t>
                    </w:r>
                  </w:p>
                </w:txbxContent>
              </v:textbox>
            </v:rect>
            <v:shape id="Přímá spojnice se šipkou 24" o:spid="_x0000_s1083" type="#_x0000_t33" style="position:absolute;left:38461;top:22075;width:5821;height:1369;rotation:90;visibility:visibl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o0eMEAAADcAAAADwAAAGRycy9kb3ducmV2LnhtbERPy2rCQBTdC/7DcIXudJIWYxsdpRRK&#10;u20U7PKSuc3DzJ0wM01iv76zEFweznt3mEwnBnK+sawgXSUgiEurG64UnI7vy2cQPiBr7CyTgit5&#10;OOznsx3m2o78RUMRKhFD2OeooA6hz6X0ZU0G/cr2xJH7sc5giNBVUjscY7jp5GOSZNJgw7Ghxp7e&#10;aiovxa9R0CF9f7j277pmOqehyjateXFKPSym1y2IQFO4i2/uT63gaR3XxjPxCMj9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mjR4wQAAANwAAAAPAAAAAAAAAAAAAAAA&#10;AKECAABkcnMvZG93bnJldi54bWxQSwUGAAAAAAQABAD5AAAAjwMAAAAA&#10;" strokecolor="#a0be32" strokeweight="1pt">
              <v:stroke dashstyle="3 1" endarrow="open" endarrowlength="short"/>
            </v:shape>
            <w10:anchorlock/>
          </v:group>
        </w:pict>
      </w:r>
      <w:r w:rsidRPr="00BD5EC7">
        <w:t xml:space="preserve">Zdroj: </w:t>
      </w:r>
      <w:r>
        <w:t>Upraveno dle MMR 2013</w:t>
      </w:r>
    </w:p>
    <w:p w:rsidR="009D46E6" w:rsidRPr="009D11EB" w:rsidRDefault="009D46E6" w:rsidP="00866283"/>
    <w:p w:rsidR="009D46E6" w:rsidRPr="00EE155B" w:rsidRDefault="009D46E6" w:rsidP="00EE155B">
      <w:pPr>
        <w:spacing w:before="240"/>
        <w:rPr>
          <w:b/>
        </w:rPr>
      </w:pPr>
      <w:r w:rsidRPr="00EE155B">
        <w:rPr>
          <w:b/>
        </w:rPr>
        <w:t>Souhrnné vyhodnocení čerpání SF na VaVaI</w:t>
      </w:r>
    </w:p>
    <w:p w:rsidR="009D46E6" w:rsidRDefault="009D46E6" w:rsidP="00866283">
      <w:r>
        <w:t xml:space="preserve">Prezentovaná data shrnují vývoj čerpání pěti OP, respektive vybraných prioritních os těchto OP (viz graf F.3) s přímou vazbou na VaVaI. Postihují časové období od června 2008 (vydáno první rozhodnutí o podpoře) do června 2013. Hlavním informačním zdrojem jsou řídící orgány jednotlivých programů. Využitelnost dat zadávaná příjemci do </w:t>
      </w:r>
      <w:r w:rsidRPr="007F6452">
        <w:t xml:space="preserve">IS VaVaI je omezená - </w:t>
      </w:r>
      <w:r>
        <w:t>nepostihují všechny OP ani podpořené projekty (chybí údaje zejména z podnikového sektoru). Zdrojová data ke grafům a obsáhlejší tabulky jsou součástí přílohových souborů. Celková výše podpory ukazuje objem prostředků ze SF nebo státního rozpočtu</w:t>
      </w:r>
      <w:r>
        <w:rPr>
          <w:rStyle w:val="FootnoteReference"/>
          <w:rFonts w:cs="MetaPro-Normal"/>
        </w:rPr>
        <w:footnoteReference w:id="59"/>
      </w:r>
      <w:r>
        <w:t xml:space="preserve"> (mimo vlastní zdroje řešitele) na projekty s vydaným rozhodnutím. Místo realizace projektu je popsáno pouze na úrovni krajů, pro podrobnější lokalizaci je třeba využít adresu příjemce dotace - ta se však může od místa skutečné realizace lišit (zvláště to platí pro subjekty z Prahy). </w:t>
      </w:r>
    </w:p>
    <w:p w:rsidR="009D46E6" w:rsidRDefault="009D46E6" w:rsidP="00866283">
      <w:r>
        <w:t>Geografická diferenciaci toku finančních prostředků právě podle sídla příjemce (graf F.5 - zde na úrovni okresů) potvrzuje zásadní úlohu hlavních městských center ve znalostně založených aktivitách. Zejména prostředky na VaV mimo podniky (OP VaVpI, OPVK) směřují prakticky výhradně do velkých měst nebo jejich blízkého zázemí se sídlem odloučených výzkumných organizací. Trend odpovídá stávajícímu rozložení výzkumných kapacit, s výjimkou Brna, které významně svou pozici posiluje. Do okresů mimo hlavní městská centra pak směřují prostředky hlavně z OPPI, tedy do podnikového sektoru a na tzv. downstream aktivity (závěrečné fáze inovačního procesu související s tržním uplatněním). Subjekty se sídlem na Moravě jsou v čerpání prostředků aktivnější, koncentrace okresů s dotací nižší než 200 mil. Kč se tvoří hlavě u západní a severní hranice Česka.</w:t>
      </w:r>
    </w:p>
    <w:p w:rsidR="009D46E6" w:rsidRDefault="009D46E6" w:rsidP="00866283">
      <w:r>
        <w:t>Prostředky proplacené příjemcům podpory (ze státního rozpočtu - o prostředcích certifikovaných Evropskou komisí viz jednotlivé OP) představují v souhrnu asi 46 % podpory. Míra proplacení se napříč okresy výrazně liší, ovšem bez viditelného vzorce - pouze okresy s větším zastoupením OPPI mají relativně nižší míru proplacení. Z velkých měst zaostává Praha s třetinou proplacené podpory, zatímco ostatní se pohybují těsně nad polovinou (graf F.6).</w:t>
      </w:r>
    </w:p>
    <w:p w:rsidR="009D46E6" w:rsidRDefault="009D46E6" w:rsidP="00866283">
      <w:r>
        <w:t>Skutečné místo realizace projektu (graf F.7 - na úrovni krajů) potvrzuje přední úlohu Brna/Jihomoravského kraje. Zároveň však ukazuje, že značná část podpory s příjemcem sídlícím v hlavním městě reálně směřuje do zázemí Prahy ve Středočeském kraji. Platí to primárně pro VaV centra budované v prvních dvou prioritních osách OP VaVpI a omezeně rovněž pro dotace do podnikového sektoru (zde je však Praha sídlem podniků s projekty v celém Česku - typicky velké vědeckotechnické parky). Praha je výhradním místem realizace projektů OPPK a OPPA, celkový objem prostředků pro Prahu (necelé 3 ze 103 mld. Kč) stojí v ostrém kontrastu k tomu, že metropole sdružuje téměř polovinu výzkumných kapacit Česka.</w:t>
      </w:r>
    </w:p>
    <w:p w:rsidR="009D46E6" w:rsidRPr="00BD5EC7" w:rsidRDefault="009D46E6" w:rsidP="00750D9B">
      <w:pPr>
        <w:pStyle w:val="Caption"/>
      </w:pPr>
      <w:bookmarkStart w:id="241" w:name="_Toc369092093"/>
      <w:r>
        <w:t xml:space="preserve">Graf </w:t>
      </w:r>
      <w:fldSimple w:instr=" STYLEREF 1 \s ">
        <w:r>
          <w:rPr>
            <w:noProof/>
          </w:rPr>
          <w:t>F</w:t>
        </w:r>
      </w:fldSimple>
      <w:r>
        <w:t>.</w:t>
      </w:r>
      <w:fldSimple w:instr=" SEQ Graf \* ARABIC \s 1 ">
        <w:r>
          <w:rPr>
            <w:noProof/>
          </w:rPr>
          <w:t>5</w:t>
        </w:r>
      </w:fldSimple>
      <w:r w:rsidRPr="00BD5EC7">
        <w:t xml:space="preserve">: </w:t>
      </w:r>
      <w:r>
        <w:t>V</w:t>
      </w:r>
      <w:r w:rsidRPr="0049110D">
        <w:t xml:space="preserve">ýše podpory dle OP a sídla příjemce </w:t>
      </w:r>
      <w:r>
        <w:t>(</w:t>
      </w:r>
      <w:r w:rsidRPr="0049110D">
        <w:t>okresy Č</w:t>
      </w:r>
      <w:r>
        <w:t xml:space="preserve">R; </w:t>
      </w:r>
      <w:r w:rsidRPr="0049110D">
        <w:t>200</w:t>
      </w:r>
      <w:r>
        <w:t>8</w:t>
      </w:r>
      <w:r w:rsidRPr="0049110D">
        <w:t>-2013</w:t>
      </w:r>
      <w:r>
        <w:t>)</w:t>
      </w:r>
      <w:bookmarkEnd w:id="241"/>
    </w:p>
    <w:p w:rsidR="009D46E6" w:rsidRDefault="009D46E6" w:rsidP="001D7F37">
      <w:pPr>
        <w:pStyle w:val="Objekt"/>
      </w:pPr>
      <w:r w:rsidRPr="001D1D98">
        <w:pict>
          <v:shape id="Obrázek 374" o:spid="_x0000_i1242" type="#_x0000_t75" style="width:481.2pt;height:282.6pt;visibility:visible">
            <v:imagedata r:id="rId237" o:title=""/>
          </v:shape>
        </w:pict>
      </w:r>
    </w:p>
    <w:p w:rsidR="009D46E6" w:rsidRPr="00BD5EC7" w:rsidRDefault="009D46E6" w:rsidP="00866283">
      <w:pPr>
        <w:pStyle w:val="Zdroj"/>
      </w:pPr>
      <w:r w:rsidRPr="00BD5EC7">
        <w:t xml:space="preserve">Zdroj: </w:t>
      </w:r>
      <w:r>
        <w:t>Příslušné řídící orgány; vlastní zpracování</w:t>
      </w:r>
    </w:p>
    <w:p w:rsidR="009D46E6" w:rsidRDefault="009D46E6" w:rsidP="00866283"/>
    <w:p w:rsidR="009D46E6" w:rsidRPr="00BD5EC7" w:rsidRDefault="009D46E6" w:rsidP="00750D9B">
      <w:pPr>
        <w:pStyle w:val="Caption"/>
      </w:pPr>
      <w:bookmarkStart w:id="242" w:name="_Toc369092094"/>
      <w:r>
        <w:t xml:space="preserve">Graf </w:t>
      </w:r>
      <w:fldSimple w:instr=" STYLEREF 1 \s ">
        <w:r>
          <w:rPr>
            <w:noProof/>
          </w:rPr>
          <w:t>F</w:t>
        </w:r>
      </w:fldSimple>
      <w:r>
        <w:t>.</w:t>
      </w:r>
      <w:fldSimple w:instr=" SEQ Graf \* ARABIC \s 1 ">
        <w:r>
          <w:rPr>
            <w:noProof/>
          </w:rPr>
          <w:t>6</w:t>
        </w:r>
      </w:fldSimple>
      <w:r w:rsidRPr="00BD5EC7">
        <w:t xml:space="preserve">: </w:t>
      </w:r>
      <w:r>
        <w:t>Proplaceno</w:t>
      </w:r>
      <w:r w:rsidRPr="00A653FC">
        <w:t xml:space="preserve"> dle OP a sídla příjemce (okresy Č</w:t>
      </w:r>
      <w:r>
        <w:t>R</w:t>
      </w:r>
      <w:r w:rsidRPr="00A653FC">
        <w:t>; 200</w:t>
      </w:r>
      <w:r>
        <w:t>8</w:t>
      </w:r>
      <w:r w:rsidRPr="00A653FC">
        <w:t>-2013)</w:t>
      </w:r>
      <w:bookmarkEnd w:id="242"/>
    </w:p>
    <w:p w:rsidR="009D46E6" w:rsidRDefault="009D46E6" w:rsidP="001D7F37">
      <w:pPr>
        <w:pStyle w:val="Objekt"/>
      </w:pPr>
      <w:r w:rsidRPr="001D1D98">
        <w:pict>
          <v:shape id="Obrázek 375" o:spid="_x0000_i1243" type="#_x0000_t75" style="width:481.2pt;height:318.6pt;visibility:visible">
            <v:imagedata r:id="rId238" o:title=""/>
          </v:shape>
        </w:pict>
      </w:r>
    </w:p>
    <w:p w:rsidR="009D46E6" w:rsidRPr="00BD5EC7" w:rsidRDefault="009D46E6" w:rsidP="00866283">
      <w:pPr>
        <w:pStyle w:val="Zdroj"/>
      </w:pPr>
      <w:r w:rsidRPr="00BD5EC7">
        <w:t xml:space="preserve">Zdroj: </w:t>
      </w:r>
      <w:r>
        <w:t>Příslušné řídící orgány; vlastní zpracování</w:t>
      </w:r>
    </w:p>
    <w:p w:rsidR="009D46E6" w:rsidRDefault="009D46E6" w:rsidP="00866283"/>
    <w:p w:rsidR="009D46E6" w:rsidRPr="00BD5EC7" w:rsidRDefault="009D46E6" w:rsidP="00750D9B">
      <w:pPr>
        <w:pStyle w:val="Caption"/>
      </w:pPr>
      <w:bookmarkStart w:id="243" w:name="_Toc369092095"/>
      <w:r>
        <w:t xml:space="preserve">Graf </w:t>
      </w:r>
      <w:fldSimple w:instr=" STYLEREF 1 \s ">
        <w:r>
          <w:rPr>
            <w:noProof/>
          </w:rPr>
          <w:t>F</w:t>
        </w:r>
      </w:fldSimple>
      <w:r>
        <w:t>.</w:t>
      </w:r>
      <w:fldSimple w:instr=" SEQ Graf \* ARABIC \s 1 ">
        <w:r>
          <w:rPr>
            <w:noProof/>
          </w:rPr>
          <w:t>7</w:t>
        </w:r>
      </w:fldSimple>
      <w:r w:rsidRPr="00BD5EC7">
        <w:t xml:space="preserve">: </w:t>
      </w:r>
      <w:r w:rsidRPr="00A653FC">
        <w:t xml:space="preserve">Výše podpory dle </w:t>
      </w:r>
      <w:r>
        <w:t>oblasti podpory</w:t>
      </w:r>
      <w:r w:rsidRPr="00A653FC">
        <w:t xml:space="preserve"> a </w:t>
      </w:r>
      <w:r>
        <w:t>místa realizace</w:t>
      </w:r>
      <w:r w:rsidRPr="00A653FC">
        <w:t xml:space="preserve"> (</w:t>
      </w:r>
      <w:r>
        <w:t>kraje</w:t>
      </w:r>
      <w:r w:rsidRPr="00A653FC">
        <w:t xml:space="preserve"> Č</w:t>
      </w:r>
      <w:r>
        <w:t>R</w:t>
      </w:r>
      <w:r w:rsidRPr="00A653FC">
        <w:t>; 200</w:t>
      </w:r>
      <w:r>
        <w:t>8</w:t>
      </w:r>
      <w:r w:rsidRPr="00A653FC">
        <w:t>-2013)</w:t>
      </w:r>
      <w:bookmarkEnd w:id="243"/>
    </w:p>
    <w:p w:rsidR="009D46E6" w:rsidRDefault="009D46E6" w:rsidP="001D7F37">
      <w:pPr>
        <w:pStyle w:val="Objekt"/>
      </w:pPr>
      <w:r w:rsidRPr="001D1D98">
        <w:pict>
          <v:shape id="Obrázek 376" o:spid="_x0000_i1244" type="#_x0000_t75" style="width:477.6pt;height:321pt;visibility:visible">
            <v:imagedata r:id="rId239" o:title=""/>
          </v:shape>
        </w:pict>
      </w:r>
    </w:p>
    <w:p w:rsidR="009D46E6" w:rsidRDefault="009D46E6" w:rsidP="00866283">
      <w:pPr>
        <w:pStyle w:val="Zdroj"/>
      </w:pPr>
      <w:r>
        <w:t>Pozn.: Projekt</w:t>
      </w:r>
      <w:r w:rsidRPr="00DC3166">
        <w:t xml:space="preserve">y OPVK s více kraji realizace </w:t>
      </w:r>
      <w:r>
        <w:t>nejsou zahrnuty (</w:t>
      </w:r>
      <w:r w:rsidRPr="00DC3166">
        <w:t>uvedeny zvlášť</w:t>
      </w:r>
      <w:r>
        <w:t xml:space="preserve"> v přílohové tabulce).</w:t>
      </w:r>
    </w:p>
    <w:p w:rsidR="009D46E6" w:rsidRPr="00BD5EC7" w:rsidRDefault="009D46E6" w:rsidP="00866283">
      <w:pPr>
        <w:pStyle w:val="Zdroj"/>
      </w:pPr>
      <w:r w:rsidRPr="00BD5EC7">
        <w:t xml:space="preserve">Zdroj: </w:t>
      </w:r>
      <w:r>
        <w:t>Příslušné řídící orgány; vlastní zpracování</w:t>
      </w:r>
    </w:p>
    <w:p w:rsidR="009D46E6" w:rsidRDefault="009D46E6" w:rsidP="00866283"/>
    <w:p w:rsidR="009D46E6" w:rsidRDefault="009D46E6" w:rsidP="00866283">
      <w:r>
        <w:t>Mimo geografii podpory je důležitá rovněž struktura příjemců, ať už z hlediska počtu zaměstnanců, stáří subjektu, nebo právní formy. Malé podniky/instituce s méně než 50 zaměstnanci se velmi zřídka objevují mezi příjemci OP VaVpI, OPVK a OPPK, naopak patří jim výrazný podíl v OPPI a OPPA (tab. F.2). To lze vysvětlit obecně vyšší frekvencí VaV aktivit u větších subjektů, ale zejména pravidly určujícími způsobilé žadatele v příslušných prioritních osách.</w:t>
      </w:r>
    </w:p>
    <w:p w:rsidR="009D46E6" w:rsidRDefault="009D46E6" w:rsidP="00866283">
      <w:r>
        <w:t>Obdobná situace se projevuje i v rozdělení příjemců dle roku jejich vzniku. Výjimky tvoří oblast podpory 3.2 OP VaVpI, kde jsou příjemci transformované výzkumné organizace nebo účelově založené společnosti, v jejichž režii vznikají tzv. s</w:t>
      </w:r>
      <w:r w:rsidRPr="00CF6B61">
        <w:t>cience learning a návštěvnická centra</w:t>
      </w:r>
      <w:r>
        <w:t xml:space="preserve"> (finančně objemné projekty). Totéž platí u oblasti podpory 5.1 OPPI pro klastry, technologické platformy a vědeckotechnické parky.</w:t>
      </w:r>
    </w:p>
    <w:p w:rsidR="009D46E6" w:rsidRDefault="009D46E6" w:rsidP="00866283">
      <w:r>
        <w:t>Kombinace dvou charakteristik příjemce - právní formy a institucionálního sektoru - prozrazuje, že přibližně 28 % podpory (9,4 mld. Kč) v OPPI směřuje k subjektům pod zahraniční kontrolou. Poměrně významným příjemcem napříč OP jsou jednotky veřejné správy - obce, kraje, orgány státní správy, příspěvkové organizace. Přestože oblast podpory 3.1 OPPK je věnovaná r</w:t>
      </w:r>
      <w:r w:rsidRPr="007A7526">
        <w:t>ozvoj</w:t>
      </w:r>
      <w:r>
        <w:t>i</w:t>
      </w:r>
      <w:r w:rsidRPr="007A7526">
        <w:t xml:space="preserve"> inovačního prostředí a partnerství mezi základnou VaV a praxí</w:t>
      </w:r>
      <w:r>
        <w:t>, mezi příjemci prakticky chybí podniky.</w:t>
      </w:r>
    </w:p>
    <w:p w:rsidR="009D46E6" w:rsidRPr="00BC1D05" w:rsidRDefault="009D46E6" w:rsidP="00750D9B">
      <w:pPr>
        <w:pStyle w:val="Caption"/>
      </w:pPr>
      <w:bookmarkStart w:id="244" w:name="_Toc369091942"/>
      <w:r>
        <w:t xml:space="preserve">Tabulka </w:t>
      </w:r>
      <w:fldSimple w:instr=" STYLEREF 1 \s ">
        <w:r>
          <w:rPr>
            <w:noProof/>
          </w:rPr>
          <w:t>F</w:t>
        </w:r>
      </w:fldSimple>
      <w:r>
        <w:t>.</w:t>
      </w:r>
      <w:fldSimple w:instr=" SEQ Tabulka \* ARABIC \s 1 ">
        <w:r>
          <w:rPr>
            <w:noProof/>
          </w:rPr>
          <w:t>2</w:t>
        </w:r>
      </w:fldSimple>
      <w:r w:rsidRPr="00BC1D05">
        <w:t xml:space="preserve">: </w:t>
      </w:r>
      <w:r w:rsidRPr="00145944">
        <w:t xml:space="preserve">Výše podpory dle </w:t>
      </w:r>
      <w:r>
        <w:t>počtu zaměstnanců příjemce</w:t>
      </w:r>
      <w:r w:rsidRPr="00145944">
        <w:t xml:space="preserve"> (200</w:t>
      </w:r>
      <w:r>
        <w:t>8</w:t>
      </w:r>
      <w:r w:rsidRPr="00145944">
        <w:t>-2013</w:t>
      </w:r>
      <w:r>
        <w:t>, mil. Kč</w:t>
      </w:r>
      <w:r w:rsidRPr="00145944">
        <w:t>)</w:t>
      </w:r>
      <w:bookmarkEnd w:id="244"/>
    </w:p>
    <w:tbl>
      <w:tblPr>
        <w:tblW w:w="958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70" w:type="dxa"/>
          <w:right w:w="70" w:type="dxa"/>
        </w:tblCellMar>
        <w:tblLook w:val="00A0"/>
      </w:tblPr>
      <w:tblGrid>
        <w:gridCol w:w="1020"/>
        <w:gridCol w:w="679"/>
        <w:gridCol w:w="679"/>
        <w:gridCol w:w="624"/>
        <w:gridCol w:w="624"/>
        <w:gridCol w:w="682"/>
        <w:gridCol w:w="624"/>
        <w:gridCol w:w="624"/>
        <w:gridCol w:w="680"/>
        <w:gridCol w:w="624"/>
        <w:gridCol w:w="624"/>
        <w:gridCol w:w="624"/>
        <w:gridCol w:w="624"/>
        <w:gridCol w:w="850"/>
      </w:tblGrid>
      <w:tr w:rsidR="009D46E6" w:rsidRPr="00DB1559" w:rsidTr="00866283">
        <w:trPr>
          <w:trHeight w:val="227"/>
          <w:jc w:val="center"/>
        </w:trPr>
        <w:tc>
          <w:tcPr>
            <w:tcW w:w="1020" w:type="dxa"/>
            <w:vMerge w:val="restart"/>
            <w:noWrap/>
            <w:vAlign w:val="bottom"/>
          </w:tcPr>
          <w:p w:rsidR="009D46E6" w:rsidRPr="008C428D" w:rsidRDefault="009D46E6" w:rsidP="00866283">
            <w:pPr>
              <w:spacing w:after="0" w:line="240" w:lineRule="auto"/>
              <w:jc w:val="left"/>
              <w:rPr>
                <w:rFonts w:ascii="Calibri" w:hAnsi="Calibri" w:cs="Tahoma"/>
                <w:color w:val="000000"/>
                <w:sz w:val="22"/>
                <w:szCs w:val="22"/>
                <w:lang w:eastAsia="cs-CZ"/>
              </w:rPr>
            </w:pPr>
          </w:p>
        </w:tc>
        <w:tc>
          <w:tcPr>
            <w:tcW w:w="3288" w:type="dxa"/>
            <w:gridSpan w:val="5"/>
            <w:noWrap/>
            <w:vAlign w:val="center"/>
          </w:tcPr>
          <w:p w:rsidR="009D46E6" w:rsidRPr="008C428D" w:rsidRDefault="009D46E6" w:rsidP="00866283">
            <w:pPr>
              <w:spacing w:after="0" w:line="240" w:lineRule="auto"/>
              <w:jc w:val="center"/>
              <w:rPr>
                <w:rFonts w:cs="Tahoma"/>
                <w:color w:val="008CCD"/>
                <w:sz w:val="16"/>
                <w:szCs w:val="16"/>
                <w:lang w:eastAsia="cs-CZ"/>
              </w:rPr>
            </w:pPr>
            <w:r w:rsidRPr="008C428D">
              <w:rPr>
                <w:rFonts w:cs="Tahoma"/>
                <w:color w:val="008CCD"/>
                <w:sz w:val="16"/>
                <w:szCs w:val="16"/>
                <w:lang w:eastAsia="cs-CZ"/>
              </w:rPr>
              <w:t>OP VaVpI</w:t>
            </w:r>
          </w:p>
        </w:tc>
        <w:tc>
          <w:tcPr>
            <w:tcW w:w="1248" w:type="dxa"/>
            <w:gridSpan w:val="2"/>
            <w:noWrap/>
            <w:vAlign w:val="center"/>
          </w:tcPr>
          <w:p w:rsidR="009D46E6" w:rsidRPr="008C428D" w:rsidRDefault="009D46E6" w:rsidP="00866283">
            <w:pPr>
              <w:spacing w:after="0" w:line="240" w:lineRule="auto"/>
              <w:jc w:val="center"/>
              <w:rPr>
                <w:rFonts w:cs="Tahoma"/>
                <w:color w:val="008CCD"/>
                <w:sz w:val="16"/>
                <w:szCs w:val="16"/>
                <w:lang w:eastAsia="cs-CZ"/>
              </w:rPr>
            </w:pPr>
            <w:r w:rsidRPr="008C428D">
              <w:rPr>
                <w:rFonts w:cs="Tahoma"/>
                <w:color w:val="008CCD"/>
                <w:sz w:val="16"/>
                <w:szCs w:val="16"/>
                <w:lang w:eastAsia="cs-CZ"/>
              </w:rPr>
              <w:t>OPVK</w:t>
            </w:r>
          </w:p>
        </w:tc>
        <w:tc>
          <w:tcPr>
            <w:tcW w:w="1928" w:type="dxa"/>
            <w:gridSpan w:val="3"/>
            <w:noWrap/>
            <w:vAlign w:val="center"/>
          </w:tcPr>
          <w:p w:rsidR="009D46E6" w:rsidRPr="008C428D" w:rsidRDefault="009D46E6" w:rsidP="00866283">
            <w:pPr>
              <w:spacing w:after="0" w:line="240" w:lineRule="auto"/>
              <w:jc w:val="center"/>
              <w:rPr>
                <w:rFonts w:cs="Tahoma"/>
                <w:color w:val="008CCD"/>
                <w:sz w:val="16"/>
                <w:szCs w:val="16"/>
                <w:lang w:eastAsia="cs-CZ"/>
              </w:rPr>
            </w:pPr>
            <w:r w:rsidRPr="008C428D">
              <w:rPr>
                <w:rFonts w:cs="Tahoma"/>
                <w:color w:val="008CCD"/>
                <w:sz w:val="16"/>
                <w:szCs w:val="16"/>
                <w:lang w:eastAsia="cs-CZ"/>
              </w:rPr>
              <w:t>OPPI</w:t>
            </w:r>
          </w:p>
        </w:tc>
        <w:tc>
          <w:tcPr>
            <w:tcW w:w="624" w:type="dxa"/>
            <w:noWrap/>
            <w:vAlign w:val="center"/>
          </w:tcPr>
          <w:p w:rsidR="009D46E6" w:rsidRPr="008C428D" w:rsidRDefault="009D46E6" w:rsidP="00866283">
            <w:pPr>
              <w:spacing w:after="0" w:line="240" w:lineRule="auto"/>
              <w:jc w:val="center"/>
              <w:rPr>
                <w:rFonts w:cs="Tahoma"/>
                <w:color w:val="008CCD"/>
                <w:sz w:val="16"/>
                <w:szCs w:val="16"/>
                <w:lang w:eastAsia="cs-CZ"/>
              </w:rPr>
            </w:pPr>
            <w:r w:rsidRPr="008C428D">
              <w:rPr>
                <w:rFonts w:cs="Tahoma"/>
                <w:color w:val="008CCD"/>
                <w:sz w:val="16"/>
                <w:szCs w:val="16"/>
                <w:lang w:eastAsia="cs-CZ"/>
              </w:rPr>
              <w:t>OPPK</w:t>
            </w:r>
          </w:p>
        </w:tc>
        <w:tc>
          <w:tcPr>
            <w:tcW w:w="624" w:type="dxa"/>
            <w:noWrap/>
            <w:vAlign w:val="center"/>
          </w:tcPr>
          <w:p w:rsidR="009D46E6" w:rsidRPr="008C428D" w:rsidRDefault="009D46E6" w:rsidP="00866283">
            <w:pPr>
              <w:spacing w:after="0" w:line="240" w:lineRule="auto"/>
              <w:jc w:val="center"/>
              <w:rPr>
                <w:rFonts w:cs="Tahoma"/>
                <w:color w:val="008CCD"/>
                <w:sz w:val="16"/>
                <w:szCs w:val="16"/>
                <w:lang w:eastAsia="cs-CZ"/>
              </w:rPr>
            </w:pPr>
            <w:r w:rsidRPr="008C428D">
              <w:rPr>
                <w:rFonts w:cs="Tahoma"/>
                <w:color w:val="008CCD"/>
                <w:sz w:val="16"/>
                <w:szCs w:val="16"/>
                <w:lang w:eastAsia="cs-CZ"/>
              </w:rPr>
              <w:t>OPPA</w:t>
            </w:r>
          </w:p>
        </w:tc>
        <w:tc>
          <w:tcPr>
            <w:tcW w:w="850" w:type="dxa"/>
            <w:noWrap/>
            <w:vAlign w:val="center"/>
          </w:tcPr>
          <w:p w:rsidR="009D46E6" w:rsidRPr="008C428D" w:rsidRDefault="009D46E6" w:rsidP="00866283">
            <w:pPr>
              <w:spacing w:after="0" w:line="240" w:lineRule="auto"/>
              <w:jc w:val="center"/>
              <w:rPr>
                <w:rFonts w:cs="Tahoma"/>
                <w:color w:val="008CCD"/>
                <w:sz w:val="16"/>
                <w:szCs w:val="16"/>
                <w:lang w:eastAsia="cs-CZ"/>
              </w:rPr>
            </w:pPr>
            <w:r w:rsidRPr="008C428D">
              <w:rPr>
                <w:rFonts w:cs="Tahoma"/>
                <w:color w:val="008CCD"/>
                <w:sz w:val="16"/>
                <w:szCs w:val="16"/>
                <w:lang w:eastAsia="cs-CZ"/>
              </w:rPr>
              <w:t>Celkem</w:t>
            </w:r>
          </w:p>
        </w:tc>
      </w:tr>
      <w:tr w:rsidR="009D46E6" w:rsidRPr="00DB1559" w:rsidTr="00866283">
        <w:trPr>
          <w:trHeight w:val="227"/>
          <w:jc w:val="center"/>
        </w:trPr>
        <w:tc>
          <w:tcPr>
            <w:tcW w:w="1020" w:type="dxa"/>
            <w:vMerge/>
            <w:tcBorders>
              <w:bottom w:val="single" w:sz="4" w:space="0" w:color="404040"/>
            </w:tcBorders>
            <w:noWrap/>
            <w:vAlign w:val="bottom"/>
          </w:tcPr>
          <w:p w:rsidR="009D46E6" w:rsidRPr="008C428D" w:rsidRDefault="009D46E6" w:rsidP="00866283">
            <w:pPr>
              <w:spacing w:after="0" w:line="240" w:lineRule="auto"/>
              <w:jc w:val="left"/>
              <w:rPr>
                <w:rFonts w:ascii="Calibri" w:hAnsi="Calibri" w:cs="Tahoma"/>
                <w:color w:val="000000"/>
                <w:sz w:val="22"/>
                <w:szCs w:val="22"/>
                <w:lang w:eastAsia="cs-CZ"/>
              </w:rPr>
            </w:pPr>
          </w:p>
        </w:tc>
        <w:tc>
          <w:tcPr>
            <w:tcW w:w="679" w:type="dxa"/>
            <w:tcBorders>
              <w:bottom w:val="single" w:sz="4" w:space="0" w:color="404040"/>
            </w:tcBorders>
            <w:noWrap/>
            <w:vAlign w:val="center"/>
          </w:tcPr>
          <w:p w:rsidR="009D46E6" w:rsidRPr="008C428D" w:rsidRDefault="009D46E6" w:rsidP="00866283">
            <w:pPr>
              <w:spacing w:after="0" w:line="240" w:lineRule="auto"/>
              <w:jc w:val="center"/>
              <w:rPr>
                <w:rFonts w:cs="Tahoma"/>
                <w:color w:val="008CCD"/>
                <w:sz w:val="16"/>
                <w:szCs w:val="16"/>
                <w:lang w:eastAsia="cs-CZ"/>
              </w:rPr>
            </w:pPr>
            <w:r w:rsidRPr="008C428D">
              <w:rPr>
                <w:rFonts w:cs="Tahoma"/>
                <w:color w:val="008CCD"/>
                <w:sz w:val="16"/>
                <w:szCs w:val="16"/>
                <w:lang w:eastAsia="cs-CZ"/>
              </w:rPr>
              <w:t>1.1</w:t>
            </w:r>
          </w:p>
        </w:tc>
        <w:tc>
          <w:tcPr>
            <w:tcW w:w="679" w:type="dxa"/>
            <w:tcBorders>
              <w:bottom w:val="single" w:sz="4" w:space="0" w:color="404040"/>
            </w:tcBorders>
            <w:noWrap/>
            <w:vAlign w:val="center"/>
          </w:tcPr>
          <w:p w:rsidR="009D46E6" w:rsidRPr="008C428D" w:rsidRDefault="009D46E6" w:rsidP="00866283">
            <w:pPr>
              <w:spacing w:after="0" w:line="240" w:lineRule="auto"/>
              <w:jc w:val="center"/>
              <w:rPr>
                <w:rFonts w:cs="Tahoma"/>
                <w:color w:val="008CCD"/>
                <w:sz w:val="16"/>
                <w:szCs w:val="16"/>
                <w:lang w:eastAsia="cs-CZ"/>
              </w:rPr>
            </w:pPr>
            <w:r w:rsidRPr="008C428D">
              <w:rPr>
                <w:rFonts w:cs="Tahoma"/>
                <w:color w:val="008CCD"/>
                <w:sz w:val="16"/>
                <w:szCs w:val="16"/>
                <w:lang w:eastAsia="cs-CZ"/>
              </w:rPr>
              <w:t>2.1</w:t>
            </w:r>
          </w:p>
        </w:tc>
        <w:tc>
          <w:tcPr>
            <w:tcW w:w="624" w:type="dxa"/>
            <w:tcBorders>
              <w:bottom w:val="single" w:sz="4" w:space="0" w:color="404040"/>
            </w:tcBorders>
            <w:noWrap/>
            <w:vAlign w:val="center"/>
          </w:tcPr>
          <w:p w:rsidR="009D46E6" w:rsidRPr="008C428D" w:rsidRDefault="009D46E6" w:rsidP="00866283">
            <w:pPr>
              <w:spacing w:after="0" w:line="240" w:lineRule="auto"/>
              <w:jc w:val="center"/>
              <w:rPr>
                <w:rFonts w:cs="Tahoma"/>
                <w:color w:val="008CCD"/>
                <w:sz w:val="16"/>
                <w:szCs w:val="16"/>
                <w:lang w:eastAsia="cs-CZ"/>
              </w:rPr>
            </w:pPr>
            <w:r w:rsidRPr="008C428D">
              <w:rPr>
                <w:rFonts w:cs="Tahoma"/>
                <w:color w:val="008CCD"/>
                <w:sz w:val="16"/>
                <w:szCs w:val="16"/>
                <w:lang w:eastAsia="cs-CZ"/>
              </w:rPr>
              <w:t>3.1</w:t>
            </w:r>
          </w:p>
        </w:tc>
        <w:tc>
          <w:tcPr>
            <w:tcW w:w="624" w:type="dxa"/>
            <w:tcBorders>
              <w:bottom w:val="single" w:sz="4" w:space="0" w:color="404040"/>
            </w:tcBorders>
            <w:noWrap/>
            <w:vAlign w:val="center"/>
          </w:tcPr>
          <w:p w:rsidR="009D46E6" w:rsidRPr="008C428D" w:rsidRDefault="009D46E6" w:rsidP="00866283">
            <w:pPr>
              <w:spacing w:after="0" w:line="240" w:lineRule="auto"/>
              <w:jc w:val="center"/>
              <w:rPr>
                <w:rFonts w:cs="Tahoma"/>
                <w:color w:val="008CCD"/>
                <w:sz w:val="16"/>
                <w:szCs w:val="16"/>
                <w:lang w:eastAsia="cs-CZ"/>
              </w:rPr>
            </w:pPr>
            <w:r w:rsidRPr="008C428D">
              <w:rPr>
                <w:rFonts w:cs="Tahoma"/>
                <w:color w:val="008CCD"/>
                <w:sz w:val="16"/>
                <w:szCs w:val="16"/>
                <w:lang w:eastAsia="cs-CZ"/>
              </w:rPr>
              <w:t>3.2</w:t>
            </w:r>
          </w:p>
        </w:tc>
        <w:tc>
          <w:tcPr>
            <w:tcW w:w="682" w:type="dxa"/>
            <w:tcBorders>
              <w:bottom w:val="single" w:sz="4" w:space="0" w:color="404040"/>
            </w:tcBorders>
            <w:noWrap/>
            <w:vAlign w:val="center"/>
          </w:tcPr>
          <w:p w:rsidR="009D46E6" w:rsidRPr="008C428D" w:rsidRDefault="009D46E6" w:rsidP="00866283">
            <w:pPr>
              <w:spacing w:after="0" w:line="240" w:lineRule="auto"/>
              <w:jc w:val="center"/>
              <w:rPr>
                <w:rFonts w:cs="Tahoma"/>
                <w:color w:val="008CCD"/>
                <w:sz w:val="16"/>
                <w:szCs w:val="16"/>
                <w:lang w:eastAsia="cs-CZ"/>
              </w:rPr>
            </w:pPr>
            <w:r w:rsidRPr="008C428D">
              <w:rPr>
                <w:rFonts w:cs="Tahoma"/>
                <w:color w:val="008CCD"/>
                <w:sz w:val="16"/>
                <w:szCs w:val="16"/>
                <w:lang w:eastAsia="cs-CZ"/>
              </w:rPr>
              <w:t>4.1</w:t>
            </w:r>
          </w:p>
        </w:tc>
        <w:tc>
          <w:tcPr>
            <w:tcW w:w="624" w:type="dxa"/>
            <w:tcBorders>
              <w:bottom w:val="single" w:sz="4" w:space="0" w:color="404040"/>
            </w:tcBorders>
            <w:noWrap/>
            <w:vAlign w:val="center"/>
          </w:tcPr>
          <w:p w:rsidR="009D46E6" w:rsidRPr="008C428D" w:rsidRDefault="009D46E6" w:rsidP="00866283">
            <w:pPr>
              <w:spacing w:after="0" w:line="240" w:lineRule="auto"/>
              <w:jc w:val="center"/>
              <w:rPr>
                <w:rFonts w:cs="Tahoma"/>
                <w:color w:val="008CCD"/>
                <w:sz w:val="16"/>
                <w:szCs w:val="16"/>
                <w:lang w:eastAsia="cs-CZ"/>
              </w:rPr>
            </w:pPr>
            <w:r w:rsidRPr="008C428D">
              <w:rPr>
                <w:rFonts w:cs="Tahoma"/>
                <w:color w:val="008CCD"/>
                <w:sz w:val="16"/>
                <w:szCs w:val="16"/>
                <w:lang w:eastAsia="cs-CZ"/>
              </w:rPr>
              <w:t>2.3</w:t>
            </w:r>
          </w:p>
        </w:tc>
        <w:tc>
          <w:tcPr>
            <w:tcW w:w="624" w:type="dxa"/>
            <w:tcBorders>
              <w:bottom w:val="single" w:sz="4" w:space="0" w:color="404040"/>
            </w:tcBorders>
            <w:noWrap/>
            <w:vAlign w:val="center"/>
          </w:tcPr>
          <w:p w:rsidR="009D46E6" w:rsidRPr="008C428D" w:rsidRDefault="009D46E6" w:rsidP="00866283">
            <w:pPr>
              <w:spacing w:after="0" w:line="240" w:lineRule="auto"/>
              <w:jc w:val="center"/>
              <w:rPr>
                <w:rFonts w:cs="Tahoma"/>
                <w:color w:val="008CCD"/>
                <w:sz w:val="16"/>
                <w:szCs w:val="16"/>
                <w:lang w:eastAsia="cs-CZ"/>
              </w:rPr>
            </w:pPr>
            <w:r w:rsidRPr="008C428D">
              <w:rPr>
                <w:rFonts w:cs="Tahoma"/>
                <w:color w:val="008CCD"/>
                <w:sz w:val="16"/>
                <w:szCs w:val="16"/>
                <w:lang w:eastAsia="cs-CZ"/>
              </w:rPr>
              <w:t>2.4</w:t>
            </w:r>
          </w:p>
        </w:tc>
        <w:tc>
          <w:tcPr>
            <w:tcW w:w="680" w:type="dxa"/>
            <w:tcBorders>
              <w:bottom w:val="single" w:sz="4" w:space="0" w:color="404040"/>
            </w:tcBorders>
            <w:noWrap/>
            <w:vAlign w:val="center"/>
          </w:tcPr>
          <w:p w:rsidR="009D46E6" w:rsidRPr="008C428D" w:rsidRDefault="009D46E6" w:rsidP="00866283">
            <w:pPr>
              <w:spacing w:after="0" w:line="240" w:lineRule="auto"/>
              <w:jc w:val="center"/>
              <w:rPr>
                <w:rFonts w:cs="Tahoma"/>
                <w:color w:val="008CCD"/>
                <w:sz w:val="16"/>
                <w:szCs w:val="16"/>
                <w:lang w:eastAsia="cs-CZ"/>
              </w:rPr>
            </w:pPr>
            <w:r w:rsidRPr="008C428D">
              <w:rPr>
                <w:rFonts w:cs="Tahoma"/>
                <w:color w:val="008CCD"/>
                <w:sz w:val="16"/>
                <w:szCs w:val="16"/>
                <w:lang w:eastAsia="cs-CZ"/>
              </w:rPr>
              <w:t>4.1</w:t>
            </w:r>
          </w:p>
        </w:tc>
        <w:tc>
          <w:tcPr>
            <w:tcW w:w="624" w:type="dxa"/>
            <w:tcBorders>
              <w:bottom w:val="single" w:sz="4" w:space="0" w:color="404040"/>
            </w:tcBorders>
            <w:noWrap/>
            <w:vAlign w:val="center"/>
          </w:tcPr>
          <w:p w:rsidR="009D46E6" w:rsidRPr="008C428D" w:rsidRDefault="009D46E6" w:rsidP="00866283">
            <w:pPr>
              <w:spacing w:after="0" w:line="240" w:lineRule="auto"/>
              <w:jc w:val="center"/>
              <w:rPr>
                <w:rFonts w:cs="Tahoma"/>
                <w:color w:val="008CCD"/>
                <w:sz w:val="16"/>
                <w:szCs w:val="16"/>
                <w:lang w:eastAsia="cs-CZ"/>
              </w:rPr>
            </w:pPr>
            <w:r w:rsidRPr="008C428D">
              <w:rPr>
                <w:rFonts w:cs="Tahoma"/>
                <w:color w:val="008CCD"/>
                <w:sz w:val="16"/>
                <w:szCs w:val="16"/>
                <w:lang w:eastAsia="cs-CZ"/>
              </w:rPr>
              <w:t>4.2</w:t>
            </w:r>
          </w:p>
        </w:tc>
        <w:tc>
          <w:tcPr>
            <w:tcW w:w="624" w:type="dxa"/>
            <w:tcBorders>
              <w:bottom w:val="single" w:sz="4" w:space="0" w:color="404040"/>
            </w:tcBorders>
            <w:noWrap/>
            <w:vAlign w:val="center"/>
          </w:tcPr>
          <w:p w:rsidR="009D46E6" w:rsidRPr="008C428D" w:rsidRDefault="009D46E6" w:rsidP="00866283">
            <w:pPr>
              <w:spacing w:after="0" w:line="240" w:lineRule="auto"/>
              <w:jc w:val="center"/>
              <w:rPr>
                <w:rFonts w:cs="Tahoma"/>
                <w:color w:val="008CCD"/>
                <w:sz w:val="16"/>
                <w:szCs w:val="16"/>
                <w:lang w:eastAsia="cs-CZ"/>
              </w:rPr>
            </w:pPr>
            <w:r w:rsidRPr="008C428D">
              <w:rPr>
                <w:rFonts w:cs="Tahoma"/>
                <w:color w:val="008CCD"/>
                <w:sz w:val="16"/>
                <w:szCs w:val="16"/>
                <w:lang w:eastAsia="cs-CZ"/>
              </w:rPr>
              <w:t>5.1</w:t>
            </w:r>
          </w:p>
        </w:tc>
        <w:tc>
          <w:tcPr>
            <w:tcW w:w="624" w:type="dxa"/>
            <w:tcBorders>
              <w:bottom w:val="single" w:sz="4" w:space="0" w:color="404040"/>
            </w:tcBorders>
            <w:noWrap/>
            <w:vAlign w:val="center"/>
          </w:tcPr>
          <w:p w:rsidR="009D46E6" w:rsidRPr="008C428D" w:rsidRDefault="009D46E6" w:rsidP="00866283">
            <w:pPr>
              <w:spacing w:after="0" w:line="240" w:lineRule="auto"/>
              <w:jc w:val="center"/>
              <w:rPr>
                <w:rFonts w:cs="Tahoma"/>
                <w:color w:val="008CCD"/>
                <w:sz w:val="16"/>
                <w:szCs w:val="16"/>
                <w:lang w:eastAsia="cs-CZ"/>
              </w:rPr>
            </w:pPr>
            <w:r w:rsidRPr="008C428D">
              <w:rPr>
                <w:rFonts w:cs="Tahoma"/>
                <w:color w:val="008CCD"/>
                <w:sz w:val="16"/>
                <w:szCs w:val="16"/>
                <w:lang w:eastAsia="cs-CZ"/>
              </w:rPr>
              <w:t>3.1</w:t>
            </w:r>
          </w:p>
        </w:tc>
        <w:tc>
          <w:tcPr>
            <w:tcW w:w="624" w:type="dxa"/>
            <w:tcBorders>
              <w:bottom w:val="single" w:sz="4" w:space="0" w:color="404040"/>
            </w:tcBorders>
            <w:noWrap/>
            <w:vAlign w:val="center"/>
          </w:tcPr>
          <w:p w:rsidR="009D46E6" w:rsidRPr="008C428D" w:rsidRDefault="009D46E6" w:rsidP="00866283">
            <w:pPr>
              <w:spacing w:after="0" w:line="240" w:lineRule="auto"/>
              <w:jc w:val="center"/>
              <w:rPr>
                <w:rFonts w:cs="Tahoma"/>
                <w:color w:val="008CCD"/>
                <w:sz w:val="16"/>
                <w:szCs w:val="16"/>
                <w:lang w:eastAsia="cs-CZ"/>
              </w:rPr>
            </w:pPr>
            <w:r w:rsidRPr="008C428D">
              <w:rPr>
                <w:rFonts w:cs="Tahoma"/>
                <w:color w:val="008CCD"/>
                <w:sz w:val="16"/>
                <w:szCs w:val="16"/>
                <w:lang w:eastAsia="cs-CZ"/>
              </w:rPr>
              <w:t>1.1</w:t>
            </w:r>
          </w:p>
        </w:tc>
        <w:tc>
          <w:tcPr>
            <w:tcW w:w="850" w:type="dxa"/>
            <w:tcBorders>
              <w:bottom w:val="single" w:sz="4" w:space="0" w:color="404040"/>
            </w:tcBorders>
            <w:vAlign w:val="center"/>
          </w:tcPr>
          <w:p w:rsidR="009D46E6" w:rsidRPr="008C428D" w:rsidRDefault="009D46E6" w:rsidP="00866283">
            <w:pPr>
              <w:spacing w:after="0" w:line="240" w:lineRule="auto"/>
              <w:jc w:val="center"/>
              <w:rPr>
                <w:rFonts w:cs="Tahoma"/>
                <w:color w:val="008CCD"/>
                <w:sz w:val="16"/>
                <w:szCs w:val="16"/>
                <w:lang w:eastAsia="cs-CZ"/>
              </w:rPr>
            </w:pPr>
          </w:p>
        </w:tc>
      </w:tr>
      <w:tr w:rsidR="009D46E6" w:rsidRPr="00DB1559" w:rsidTr="00866283">
        <w:trPr>
          <w:trHeight w:val="227"/>
          <w:jc w:val="center"/>
        </w:trPr>
        <w:tc>
          <w:tcPr>
            <w:tcW w:w="1020" w:type="dxa"/>
            <w:tcBorders>
              <w:top w:val="single" w:sz="4" w:space="0" w:color="404040"/>
            </w:tcBorders>
            <w:noWrap/>
            <w:vAlign w:val="center"/>
          </w:tcPr>
          <w:p w:rsidR="009D46E6" w:rsidRPr="008C428D" w:rsidRDefault="009D46E6" w:rsidP="00866283">
            <w:pPr>
              <w:spacing w:after="0" w:line="240" w:lineRule="auto"/>
              <w:jc w:val="left"/>
              <w:rPr>
                <w:rFonts w:cs="Tahoma"/>
                <w:color w:val="000000"/>
                <w:sz w:val="16"/>
                <w:szCs w:val="16"/>
                <w:lang w:eastAsia="cs-CZ"/>
              </w:rPr>
            </w:pPr>
            <w:r w:rsidRPr="008C428D">
              <w:rPr>
                <w:rFonts w:cs="Tahoma"/>
                <w:color w:val="000000"/>
                <w:sz w:val="16"/>
                <w:szCs w:val="16"/>
                <w:lang w:eastAsia="cs-CZ"/>
              </w:rPr>
              <w:t>Neuvedeno</w:t>
            </w:r>
          </w:p>
        </w:tc>
        <w:tc>
          <w:tcPr>
            <w:tcW w:w="679" w:type="dxa"/>
            <w:tcBorders>
              <w:top w:val="single" w:sz="4" w:space="0" w:color="404040"/>
            </w:tcBorders>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0</w:t>
            </w:r>
          </w:p>
        </w:tc>
        <w:tc>
          <w:tcPr>
            <w:tcW w:w="679" w:type="dxa"/>
            <w:tcBorders>
              <w:top w:val="single" w:sz="4" w:space="0" w:color="404040"/>
            </w:tcBorders>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0</w:t>
            </w:r>
          </w:p>
        </w:tc>
        <w:tc>
          <w:tcPr>
            <w:tcW w:w="624" w:type="dxa"/>
            <w:tcBorders>
              <w:top w:val="single" w:sz="4" w:space="0" w:color="404040"/>
            </w:tcBorders>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0</w:t>
            </w:r>
          </w:p>
        </w:tc>
        <w:tc>
          <w:tcPr>
            <w:tcW w:w="624" w:type="dxa"/>
            <w:tcBorders>
              <w:top w:val="single" w:sz="4" w:space="0" w:color="404040"/>
            </w:tcBorders>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536</w:t>
            </w:r>
          </w:p>
        </w:tc>
        <w:tc>
          <w:tcPr>
            <w:tcW w:w="682" w:type="dxa"/>
            <w:tcBorders>
              <w:top w:val="single" w:sz="4" w:space="0" w:color="404040"/>
            </w:tcBorders>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0</w:t>
            </w:r>
          </w:p>
        </w:tc>
        <w:tc>
          <w:tcPr>
            <w:tcW w:w="624" w:type="dxa"/>
            <w:tcBorders>
              <w:top w:val="single" w:sz="4" w:space="0" w:color="404040"/>
            </w:tcBorders>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0</w:t>
            </w:r>
          </w:p>
        </w:tc>
        <w:tc>
          <w:tcPr>
            <w:tcW w:w="624" w:type="dxa"/>
            <w:tcBorders>
              <w:top w:val="single" w:sz="4" w:space="0" w:color="404040"/>
            </w:tcBorders>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61</w:t>
            </w:r>
          </w:p>
        </w:tc>
        <w:tc>
          <w:tcPr>
            <w:tcW w:w="680" w:type="dxa"/>
            <w:tcBorders>
              <w:top w:val="single" w:sz="4" w:space="0" w:color="404040"/>
            </w:tcBorders>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320</w:t>
            </w:r>
          </w:p>
        </w:tc>
        <w:tc>
          <w:tcPr>
            <w:tcW w:w="624" w:type="dxa"/>
            <w:tcBorders>
              <w:top w:val="single" w:sz="4" w:space="0" w:color="404040"/>
            </w:tcBorders>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458</w:t>
            </w:r>
          </w:p>
        </w:tc>
        <w:tc>
          <w:tcPr>
            <w:tcW w:w="624" w:type="dxa"/>
            <w:tcBorders>
              <w:top w:val="single" w:sz="4" w:space="0" w:color="404040"/>
            </w:tcBorders>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2 893</w:t>
            </w:r>
          </w:p>
        </w:tc>
        <w:tc>
          <w:tcPr>
            <w:tcW w:w="624" w:type="dxa"/>
            <w:tcBorders>
              <w:top w:val="single" w:sz="4" w:space="0" w:color="404040"/>
            </w:tcBorders>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0</w:t>
            </w:r>
          </w:p>
        </w:tc>
        <w:tc>
          <w:tcPr>
            <w:tcW w:w="624" w:type="dxa"/>
            <w:tcBorders>
              <w:top w:val="single" w:sz="4" w:space="0" w:color="404040"/>
            </w:tcBorders>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22</w:t>
            </w:r>
          </w:p>
        </w:tc>
        <w:tc>
          <w:tcPr>
            <w:tcW w:w="850" w:type="dxa"/>
            <w:tcBorders>
              <w:top w:val="single" w:sz="4" w:space="0" w:color="404040"/>
            </w:tcBorders>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4 290</w:t>
            </w:r>
          </w:p>
        </w:tc>
      </w:tr>
      <w:tr w:rsidR="009D46E6" w:rsidRPr="00DB1559" w:rsidTr="00866283">
        <w:trPr>
          <w:trHeight w:val="227"/>
          <w:jc w:val="center"/>
        </w:trPr>
        <w:tc>
          <w:tcPr>
            <w:tcW w:w="1020" w:type="dxa"/>
            <w:noWrap/>
            <w:vAlign w:val="center"/>
          </w:tcPr>
          <w:p w:rsidR="009D46E6" w:rsidRPr="008C428D" w:rsidRDefault="009D46E6" w:rsidP="00866283">
            <w:pPr>
              <w:spacing w:after="0" w:line="240" w:lineRule="auto"/>
              <w:jc w:val="left"/>
              <w:rPr>
                <w:rFonts w:cs="Tahoma"/>
                <w:color w:val="000000"/>
                <w:sz w:val="16"/>
                <w:szCs w:val="16"/>
                <w:lang w:eastAsia="cs-CZ"/>
              </w:rPr>
            </w:pPr>
            <w:r w:rsidRPr="008C428D">
              <w:rPr>
                <w:rFonts w:cs="Tahoma"/>
                <w:color w:val="000000"/>
                <w:sz w:val="16"/>
                <w:szCs w:val="16"/>
                <w:lang w:eastAsia="cs-CZ"/>
              </w:rPr>
              <w:t>Bez zam.</w:t>
            </w:r>
          </w:p>
        </w:tc>
        <w:tc>
          <w:tcPr>
            <w:tcW w:w="679"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0</w:t>
            </w:r>
          </w:p>
        </w:tc>
        <w:tc>
          <w:tcPr>
            <w:tcW w:w="679"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0</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0</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0</w:t>
            </w:r>
          </w:p>
        </w:tc>
        <w:tc>
          <w:tcPr>
            <w:tcW w:w="682"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0</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0</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0</w:t>
            </w:r>
          </w:p>
        </w:tc>
        <w:tc>
          <w:tcPr>
            <w:tcW w:w="680"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34</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42</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39</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0</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2</w:t>
            </w:r>
          </w:p>
        </w:tc>
        <w:tc>
          <w:tcPr>
            <w:tcW w:w="850"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117</w:t>
            </w:r>
          </w:p>
        </w:tc>
      </w:tr>
      <w:tr w:rsidR="009D46E6" w:rsidRPr="00DB1559" w:rsidTr="00866283">
        <w:trPr>
          <w:trHeight w:val="227"/>
          <w:jc w:val="center"/>
        </w:trPr>
        <w:tc>
          <w:tcPr>
            <w:tcW w:w="1020" w:type="dxa"/>
            <w:noWrap/>
            <w:vAlign w:val="center"/>
          </w:tcPr>
          <w:p w:rsidR="009D46E6" w:rsidRPr="008C428D" w:rsidRDefault="009D46E6" w:rsidP="00866283">
            <w:pPr>
              <w:spacing w:after="0" w:line="240" w:lineRule="auto"/>
              <w:jc w:val="left"/>
              <w:rPr>
                <w:rFonts w:cs="Tahoma"/>
                <w:color w:val="000000"/>
                <w:sz w:val="16"/>
                <w:szCs w:val="16"/>
                <w:lang w:eastAsia="cs-CZ"/>
              </w:rPr>
            </w:pPr>
            <w:r w:rsidRPr="008C428D">
              <w:rPr>
                <w:rFonts w:cs="Tahoma"/>
                <w:color w:val="000000"/>
                <w:sz w:val="16"/>
                <w:szCs w:val="16"/>
                <w:lang w:eastAsia="cs-CZ"/>
              </w:rPr>
              <w:t>0-9</w:t>
            </w:r>
          </w:p>
        </w:tc>
        <w:tc>
          <w:tcPr>
            <w:tcW w:w="679"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0</w:t>
            </w:r>
          </w:p>
        </w:tc>
        <w:tc>
          <w:tcPr>
            <w:tcW w:w="679"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0</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0</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0</w:t>
            </w:r>
          </w:p>
        </w:tc>
        <w:tc>
          <w:tcPr>
            <w:tcW w:w="682"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0</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27</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197</w:t>
            </w:r>
          </w:p>
        </w:tc>
        <w:tc>
          <w:tcPr>
            <w:tcW w:w="680"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902</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805</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2 777</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0</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138</w:t>
            </w:r>
          </w:p>
        </w:tc>
        <w:tc>
          <w:tcPr>
            <w:tcW w:w="850"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4 846</w:t>
            </w:r>
          </w:p>
        </w:tc>
      </w:tr>
      <w:tr w:rsidR="009D46E6" w:rsidRPr="00DB1559" w:rsidTr="00866283">
        <w:trPr>
          <w:trHeight w:val="227"/>
          <w:jc w:val="center"/>
        </w:trPr>
        <w:tc>
          <w:tcPr>
            <w:tcW w:w="1020" w:type="dxa"/>
            <w:noWrap/>
            <w:vAlign w:val="center"/>
          </w:tcPr>
          <w:p w:rsidR="009D46E6" w:rsidRPr="008C428D" w:rsidRDefault="009D46E6" w:rsidP="00866283">
            <w:pPr>
              <w:spacing w:after="0" w:line="240" w:lineRule="auto"/>
              <w:jc w:val="left"/>
              <w:rPr>
                <w:rFonts w:cs="Tahoma"/>
                <w:color w:val="000000"/>
                <w:sz w:val="16"/>
                <w:szCs w:val="16"/>
                <w:lang w:eastAsia="cs-CZ"/>
              </w:rPr>
            </w:pPr>
            <w:r w:rsidRPr="008C428D">
              <w:rPr>
                <w:rFonts w:cs="Tahoma"/>
                <w:color w:val="000000"/>
                <w:sz w:val="16"/>
                <w:szCs w:val="16"/>
                <w:lang w:eastAsia="cs-CZ"/>
              </w:rPr>
              <w:t>10-49</w:t>
            </w:r>
          </w:p>
        </w:tc>
        <w:tc>
          <w:tcPr>
            <w:tcW w:w="679"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0</w:t>
            </w:r>
          </w:p>
        </w:tc>
        <w:tc>
          <w:tcPr>
            <w:tcW w:w="679"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1 364</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0</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973</w:t>
            </w:r>
          </w:p>
        </w:tc>
        <w:tc>
          <w:tcPr>
            <w:tcW w:w="682"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0</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61</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29</w:t>
            </w:r>
          </w:p>
        </w:tc>
        <w:tc>
          <w:tcPr>
            <w:tcW w:w="680"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2 528</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1 812</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968</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15</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254</w:t>
            </w:r>
          </w:p>
        </w:tc>
        <w:tc>
          <w:tcPr>
            <w:tcW w:w="850"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8 003</w:t>
            </w:r>
          </w:p>
        </w:tc>
      </w:tr>
      <w:tr w:rsidR="009D46E6" w:rsidRPr="00DB1559" w:rsidTr="00866283">
        <w:trPr>
          <w:trHeight w:val="227"/>
          <w:jc w:val="center"/>
        </w:trPr>
        <w:tc>
          <w:tcPr>
            <w:tcW w:w="1020" w:type="dxa"/>
            <w:noWrap/>
            <w:vAlign w:val="center"/>
          </w:tcPr>
          <w:p w:rsidR="009D46E6" w:rsidRPr="008C428D" w:rsidRDefault="009D46E6" w:rsidP="00866283">
            <w:pPr>
              <w:spacing w:after="0" w:line="240" w:lineRule="auto"/>
              <w:jc w:val="left"/>
              <w:rPr>
                <w:rFonts w:cs="Tahoma"/>
                <w:color w:val="000000"/>
                <w:sz w:val="16"/>
                <w:szCs w:val="16"/>
                <w:lang w:eastAsia="cs-CZ"/>
              </w:rPr>
            </w:pPr>
            <w:r w:rsidRPr="008C428D">
              <w:rPr>
                <w:rFonts w:cs="Tahoma"/>
                <w:color w:val="000000"/>
                <w:sz w:val="16"/>
                <w:szCs w:val="16"/>
                <w:lang w:eastAsia="cs-CZ"/>
              </w:rPr>
              <w:t>50-249</w:t>
            </w:r>
          </w:p>
        </w:tc>
        <w:tc>
          <w:tcPr>
            <w:tcW w:w="679"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883</w:t>
            </w:r>
          </w:p>
        </w:tc>
        <w:tc>
          <w:tcPr>
            <w:tcW w:w="679"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6 930</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0</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599</w:t>
            </w:r>
          </w:p>
        </w:tc>
        <w:tc>
          <w:tcPr>
            <w:tcW w:w="682"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0</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599</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163</w:t>
            </w:r>
          </w:p>
        </w:tc>
        <w:tc>
          <w:tcPr>
            <w:tcW w:w="680"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6 886</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2 854</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481</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135</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402</w:t>
            </w:r>
          </w:p>
        </w:tc>
        <w:tc>
          <w:tcPr>
            <w:tcW w:w="850"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19 932</w:t>
            </w:r>
          </w:p>
        </w:tc>
      </w:tr>
      <w:tr w:rsidR="009D46E6" w:rsidRPr="00DB1559" w:rsidTr="00866283">
        <w:trPr>
          <w:trHeight w:val="227"/>
          <w:jc w:val="center"/>
        </w:trPr>
        <w:tc>
          <w:tcPr>
            <w:tcW w:w="1020" w:type="dxa"/>
            <w:noWrap/>
            <w:vAlign w:val="center"/>
          </w:tcPr>
          <w:p w:rsidR="009D46E6" w:rsidRPr="008C428D" w:rsidRDefault="009D46E6" w:rsidP="00866283">
            <w:pPr>
              <w:spacing w:after="0" w:line="240" w:lineRule="auto"/>
              <w:jc w:val="left"/>
              <w:rPr>
                <w:rFonts w:cs="Tahoma"/>
                <w:color w:val="000000"/>
                <w:sz w:val="16"/>
                <w:szCs w:val="16"/>
                <w:lang w:eastAsia="cs-CZ"/>
              </w:rPr>
            </w:pPr>
            <w:r w:rsidRPr="008C428D">
              <w:rPr>
                <w:rFonts w:cs="Tahoma"/>
                <w:color w:val="000000"/>
                <w:sz w:val="16"/>
                <w:szCs w:val="16"/>
                <w:lang w:eastAsia="cs-CZ"/>
              </w:rPr>
              <w:t>250-999</w:t>
            </w:r>
          </w:p>
        </w:tc>
        <w:tc>
          <w:tcPr>
            <w:tcW w:w="679"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9 100</w:t>
            </w:r>
          </w:p>
        </w:tc>
        <w:tc>
          <w:tcPr>
            <w:tcW w:w="679"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2 136</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67</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824</w:t>
            </w:r>
          </w:p>
        </w:tc>
        <w:tc>
          <w:tcPr>
            <w:tcW w:w="682"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899</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1 324</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236</w:t>
            </w:r>
          </w:p>
        </w:tc>
        <w:tc>
          <w:tcPr>
            <w:tcW w:w="680"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3 901</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1 102</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817</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636</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97</w:t>
            </w:r>
          </w:p>
        </w:tc>
        <w:tc>
          <w:tcPr>
            <w:tcW w:w="850"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21 138</w:t>
            </w:r>
          </w:p>
        </w:tc>
      </w:tr>
      <w:tr w:rsidR="009D46E6" w:rsidRPr="00DB1559" w:rsidTr="00866283">
        <w:trPr>
          <w:trHeight w:val="227"/>
          <w:jc w:val="center"/>
        </w:trPr>
        <w:tc>
          <w:tcPr>
            <w:tcW w:w="1020" w:type="dxa"/>
            <w:noWrap/>
            <w:vAlign w:val="center"/>
          </w:tcPr>
          <w:p w:rsidR="009D46E6" w:rsidRPr="008C428D" w:rsidRDefault="009D46E6" w:rsidP="00866283">
            <w:pPr>
              <w:spacing w:after="0" w:line="240" w:lineRule="auto"/>
              <w:jc w:val="left"/>
              <w:rPr>
                <w:rFonts w:cs="Tahoma"/>
                <w:color w:val="000000"/>
                <w:sz w:val="16"/>
                <w:szCs w:val="16"/>
                <w:lang w:eastAsia="cs-CZ"/>
              </w:rPr>
            </w:pPr>
            <w:r w:rsidRPr="008C428D">
              <w:rPr>
                <w:rFonts w:cs="Tahoma"/>
                <w:color w:val="000000"/>
                <w:sz w:val="16"/>
                <w:szCs w:val="16"/>
                <w:lang w:eastAsia="cs-CZ"/>
              </w:rPr>
              <w:t>1000-4999</w:t>
            </w:r>
          </w:p>
        </w:tc>
        <w:tc>
          <w:tcPr>
            <w:tcW w:w="679"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4 945</w:t>
            </w:r>
          </w:p>
        </w:tc>
        <w:tc>
          <w:tcPr>
            <w:tcW w:w="679"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8 756</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448</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851</w:t>
            </w:r>
          </w:p>
        </w:tc>
        <w:tc>
          <w:tcPr>
            <w:tcW w:w="682"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7 180</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4 815</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2 046</w:t>
            </w:r>
          </w:p>
        </w:tc>
        <w:tc>
          <w:tcPr>
            <w:tcW w:w="680"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2 394</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666</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1 144</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363</w:t>
            </w:r>
          </w:p>
        </w:tc>
        <w:tc>
          <w:tcPr>
            <w:tcW w:w="624"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96</w:t>
            </w:r>
          </w:p>
        </w:tc>
        <w:tc>
          <w:tcPr>
            <w:tcW w:w="850" w:type="dxa"/>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33 702</w:t>
            </w:r>
          </w:p>
        </w:tc>
      </w:tr>
      <w:tr w:rsidR="009D46E6" w:rsidRPr="00DB1559" w:rsidTr="00866283">
        <w:trPr>
          <w:trHeight w:val="227"/>
          <w:jc w:val="center"/>
        </w:trPr>
        <w:tc>
          <w:tcPr>
            <w:tcW w:w="1020" w:type="dxa"/>
            <w:tcBorders>
              <w:bottom w:val="single" w:sz="4" w:space="0" w:color="404040"/>
            </w:tcBorders>
            <w:noWrap/>
            <w:vAlign w:val="center"/>
          </w:tcPr>
          <w:p w:rsidR="009D46E6" w:rsidRPr="008C428D" w:rsidRDefault="009D46E6" w:rsidP="00866283">
            <w:pPr>
              <w:spacing w:after="0" w:line="240" w:lineRule="auto"/>
              <w:jc w:val="left"/>
              <w:rPr>
                <w:rFonts w:cs="Tahoma"/>
                <w:color w:val="000000"/>
                <w:sz w:val="16"/>
                <w:szCs w:val="16"/>
                <w:lang w:eastAsia="cs-CZ"/>
              </w:rPr>
            </w:pPr>
            <w:r w:rsidRPr="008C428D">
              <w:rPr>
                <w:rFonts w:cs="Tahoma"/>
                <w:color w:val="000000"/>
                <w:sz w:val="16"/>
                <w:szCs w:val="16"/>
                <w:lang w:eastAsia="cs-CZ"/>
              </w:rPr>
              <w:t>5000+</w:t>
            </w:r>
          </w:p>
        </w:tc>
        <w:tc>
          <w:tcPr>
            <w:tcW w:w="679" w:type="dxa"/>
            <w:tcBorders>
              <w:bottom w:val="single" w:sz="4" w:space="0" w:color="404040"/>
            </w:tcBorders>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5 246</w:t>
            </w:r>
          </w:p>
        </w:tc>
        <w:tc>
          <w:tcPr>
            <w:tcW w:w="679" w:type="dxa"/>
            <w:tcBorders>
              <w:bottom w:val="single" w:sz="4" w:space="0" w:color="404040"/>
            </w:tcBorders>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1 189</w:t>
            </w:r>
          </w:p>
        </w:tc>
        <w:tc>
          <w:tcPr>
            <w:tcW w:w="624" w:type="dxa"/>
            <w:tcBorders>
              <w:bottom w:val="single" w:sz="4" w:space="0" w:color="404040"/>
            </w:tcBorders>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109</w:t>
            </w:r>
          </w:p>
        </w:tc>
        <w:tc>
          <w:tcPr>
            <w:tcW w:w="624" w:type="dxa"/>
            <w:tcBorders>
              <w:bottom w:val="single" w:sz="4" w:space="0" w:color="404040"/>
            </w:tcBorders>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238</w:t>
            </w:r>
          </w:p>
        </w:tc>
        <w:tc>
          <w:tcPr>
            <w:tcW w:w="682" w:type="dxa"/>
            <w:tcBorders>
              <w:bottom w:val="single" w:sz="4" w:space="0" w:color="404040"/>
            </w:tcBorders>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2 478</w:t>
            </w:r>
          </w:p>
        </w:tc>
        <w:tc>
          <w:tcPr>
            <w:tcW w:w="624" w:type="dxa"/>
            <w:tcBorders>
              <w:bottom w:val="single" w:sz="4" w:space="0" w:color="404040"/>
            </w:tcBorders>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1 578</w:t>
            </w:r>
          </w:p>
        </w:tc>
        <w:tc>
          <w:tcPr>
            <w:tcW w:w="624" w:type="dxa"/>
            <w:tcBorders>
              <w:bottom w:val="single" w:sz="4" w:space="0" w:color="404040"/>
            </w:tcBorders>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703</w:t>
            </w:r>
          </w:p>
        </w:tc>
        <w:tc>
          <w:tcPr>
            <w:tcW w:w="680" w:type="dxa"/>
            <w:tcBorders>
              <w:bottom w:val="single" w:sz="4" w:space="0" w:color="404040"/>
            </w:tcBorders>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9</w:t>
            </w:r>
          </w:p>
        </w:tc>
        <w:tc>
          <w:tcPr>
            <w:tcW w:w="624" w:type="dxa"/>
            <w:tcBorders>
              <w:bottom w:val="single" w:sz="4" w:space="0" w:color="404040"/>
            </w:tcBorders>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49</w:t>
            </w:r>
          </w:p>
        </w:tc>
        <w:tc>
          <w:tcPr>
            <w:tcW w:w="624" w:type="dxa"/>
            <w:tcBorders>
              <w:bottom w:val="single" w:sz="4" w:space="0" w:color="404040"/>
            </w:tcBorders>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99</w:t>
            </w:r>
          </w:p>
        </w:tc>
        <w:tc>
          <w:tcPr>
            <w:tcW w:w="624" w:type="dxa"/>
            <w:tcBorders>
              <w:bottom w:val="single" w:sz="4" w:space="0" w:color="404040"/>
            </w:tcBorders>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249</w:t>
            </w:r>
          </w:p>
        </w:tc>
        <w:tc>
          <w:tcPr>
            <w:tcW w:w="624" w:type="dxa"/>
            <w:tcBorders>
              <w:bottom w:val="single" w:sz="4" w:space="0" w:color="404040"/>
            </w:tcBorders>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59</w:t>
            </w:r>
          </w:p>
        </w:tc>
        <w:tc>
          <w:tcPr>
            <w:tcW w:w="850" w:type="dxa"/>
            <w:tcBorders>
              <w:bottom w:val="single" w:sz="4" w:space="0" w:color="404040"/>
            </w:tcBorders>
            <w:noWrap/>
            <w:vAlign w:val="center"/>
          </w:tcPr>
          <w:p w:rsidR="009D46E6" w:rsidRPr="008C428D" w:rsidRDefault="009D46E6" w:rsidP="00866283">
            <w:pPr>
              <w:spacing w:after="0" w:line="240" w:lineRule="auto"/>
              <w:jc w:val="right"/>
              <w:rPr>
                <w:rFonts w:cs="Tahoma"/>
                <w:color w:val="000000"/>
                <w:sz w:val="16"/>
                <w:szCs w:val="16"/>
                <w:lang w:eastAsia="cs-CZ"/>
              </w:rPr>
            </w:pPr>
            <w:r w:rsidRPr="008C428D">
              <w:rPr>
                <w:rFonts w:cs="Tahoma"/>
                <w:color w:val="000000"/>
                <w:sz w:val="16"/>
                <w:szCs w:val="16"/>
                <w:lang w:eastAsia="cs-CZ"/>
              </w:rPr>
              <w:t>12 005</w:t>
            </w:r>
          </w:p>
        </w:tc>
      </w:tr>
      <w:tr w:rsidR="009D46E6" w:rsidRPr="00DB1559" w:rsidTr="00866283">
        <w:trPr>
          <w:trHeight w:val="227"/>
          <w:jc w:val="center"/>
        </w:trPr>
        <w:tc>
          <w:tcPr>
            <w:tcW w:w="1020" w:type="dxa"/>
            <w:tcBorders>
              <w:top w:val="single" w:sz="4" w:space="0" w:color="404040"/>
            </w:tcBorders>
            <w:noWrap/>
            <w:vAlign w:val="center"/>
          </w:tcPr>
          <w:p w:rsidR="009D46E6" w:rsidRPr="008C428D" w:rsidRDefault="009D46E6" w:rsidP="00866283">
            <w:pPr>
              <w:spacing w:after="0" w:line="240" w:lineRule="auto"/>
              <w:jc w:val="left"/>
              <w:rPr>
                <w:rFonts w:cs="Tahoma"/>
                <w:color w:val="008CCD"/>
                <w:sz w:val="16"/>
                <w:szCs w:val="16"/>
                <w:lang w:eastAsia="cs-CZ"/>
              </w:rPr>
            </w:pPr>
            <w:r w:rsidRPr="008C428D">
              <w:rPr>
                <w:rFonts w:cs="Tahoma"/>
                <w:color w:val="008CCD"/>
                <w:sz w:val="16"/>
                <w:szCs w:val="16"/>
                <w:lang w:eastAsia="cs-CZ"/>
              </w:rPr>
              <w:t>Celkem</w:t>
            </w:r>
          </w:p>
        </w:tc>
        <w:tc>
          <w:tcPr>
            <w:tcW w:w="679" w:type="dxa"/>
            <w:tcBorders>
              <w:top w:val="single" w:sz="4" w:space="0" w:color="404040"/>
            </w:tcBorders>
            <w:noWrap/>
            <w:vAlign w:val="center"/>
          </w:tcPr>
          <w:p w:rsidR="009D46E6" w:rsidRPr="008C428D" w:rsidRDefault="009D46E6" w:rsidP="00866283">
            <w:pPr>
              <w:spacing w:after="0" w:line="240" w:lineRule="auto"/>
              <w:jc w:val="right"/>
              <w:rPr>
                <w:rFonts w:cs="Tahoma"/>
                <w:color w:val="008CCD"/>
                <w:sz w:val="16"/>
                <w:szCs w:val="16"/>
                <w:lang w:eastAsia="cs-CZ"/>
              </w:rPr>
            </w:pPr>
            <w:r w:rsidRPr="008C428D">
              <w:rPr>
                <w:rFonts w:cs="Tahoma"/>
                <w:color w:val="008CCD"/>
                <w:sz w:val="16"/>
                <w:szCs w:val="16"/>
                <w:lang w:eastAsia="cs-CZ"/>
              </w:rPr>
              <w:t>20 175</w:t>
            </w:r>
          </w:p>
        </w:tc>
        <w:tc>
          <w:tcPr>
            <w:tcW w:w="679" w:type="dxa"/>
            <w:tcBorders>
              <w:top w:val="single" w:sz="4" w:space="0" w:color="404040"/>
            </w:tcBorders>
            <w:noWrap/>
            <w:vAlign w:val="center"/>
          </w:tcPr>
          <w:p w:rsidR="009D46E6" w:rsidRPr="008C428D" w:rsidRDefault="009D46E6" w:rsidP="00866283">
            <w:pPr>
              <w:spacing w:after="0" w:line="240" w:lineRule="auto"/>
              <w:jc w:val="right"/>
              <w:rPr>
                <w:rFonts w:cs="Tahoma"/>
                <w:color w:val="008CCD"/>
                <w:sz w:val="16"/>
                <w:szCs w:val="16"/>
                <w:lang w:eastAsia="cs-CZ"/>
              </w:rPr>
            </w:pPr>
            <w:r w:rsidRPr="008C428D">
              <w:rPr>
                <w:rFonts w:cs="Tahoma"/>
                <w:color w:val="008CCD"/>
                <w:sz w:val="16"/>
                <w:szCs w:val="16"/>
                <w:lang w:eastAsia="cs-CZ"/>
              </w:rPr>
              <w:t>20 374</w:t>
            </w:r>
          </w:p>
        </w:tc>
        <w:tc>
          <w:tcPr>
            <w:tcW w:w="624" w:type="dxa"/>
            <w:tcBorders>
              <w:top w:val="single" w:sz="4" w:space="0" w:color="404040"/>
            </w:tcBorders>
            <w:noWrap/>
            <w:vAlign w:val="center"/>
          </w:tcPr>
          <w:p w:rsidR="009D46E6" w:rsidRPr="008C428D" w:rsidRDefault="009D46E6" w:rsidP="00866283">
            <w:pPr>
              <w:spacing w:after="0" w:line="240" w:lineRule="auto"/>
              <w:jc w:val="right"/>
              <w:rPr>
                <w:rFonts w:cs="Tahoma"/>
                <w:color w:val="008CCD"/>
                <w:sz w:val="16"/>
                <w:szCs w:val="16"/>
                <w:lang w:eastAsia="cs-CZ"/>
              </w:rPr>
            </w:pPr>
            <w:r w:rsidRPr="008C428D">
              <w:rPr>
                <w:rFonts w:cs="Tahoma"/>
                <w:color w:val="008CCD"/>
                <w:sz w:val="16"/>
                <w:szCs w:val="16"/>
                <w:lang w:eastAsia="cs-CZ"/>
              </w:rPr>
              <w:t>625</w:t>
            </w:r>
          </w:p>
        </w:tc>
        <w:tc>
          <w:tcPr>
            <w:tcW w:w="624" w:type="dxa"/>
            <w:tcBorders>
              <w:top w:val="single" w:sz="4" w:space="0" w:color="404040"/>
            </w:tcBorders>
            <w:noWrap/>
            <w:vAlign w:val="center"/>
          </w:tcPr>
          <w:p w:rsidR="009D46E6" w:rsidRPr="008C428D" w:rsidRDefault="009D46E6" w:rsidP="00866283">
            <w:pPr>
              <w:spacing w:after="0" w:line="240" w:lineRule="auto"/>
              <w:jc w:val="right"/>
              <w:rPr>
                <w:rFonts w:cs="Tahoma"/>
                <w:color w:val="008CCD"/>
                <w:sz w:val="16"/>
                <w:szCs w:val="16"/>
                <w:lang w:eastAsia="cs-CZ"/>
              </w:rPr>
            </w:pPr>
            <w:r w:rsidRPr="008C428D">
              <w:rPr>
                <w:rFonts w:cs="Tahoma"/>
                <w:color w:val="008CCD"/>
                <w:sz w:val="16"/>
                <w:szCs w:val="16"/>
                <w:lang w:eastAsia="cs-CZ"/>
              </w:rPr>
              <w:t>4 021</w:t>
            </w:r>
          </w:p>
        </w:tc>
        <w:tc>
          <w:tcPr>
            <w:tcW w:w="682" w:type="dxa"/>
            <w:tcBorders>
              <w:top w:val="single" w:sz="4" w:space="0" w:color="404040"/>
            </w:tcBorders>
            <w:noWrap/>
            <w:vAlign w:val="center"/>
          </w:tcPr>
          <w:p w:rsidR="009D46E6" w:rsidRPr="008C428D" w:rsidRDefault="009D46E6" w:rsidP="00866283">
            <w:pPr>
              <w:spacing w:after="0" w:line="240" w:lineRule="auto"/>
              <w:jc w:val="right"/>
              <w:rPr>
                <w:rFonts w:cs="Tahoma"/>
                <w:color w:val="008CCD"/>
                <w:sz w:val="16"/>
                <w:szCs w:val="16"/>
                <w:lang w:eastAsia="cs-CZ"/>
              </w:rPr>
            </w:pPr>
            <w:r w:rsidRPr="008C428D">
              <w:rPr>
                <w:rFonts w:cs="Tahoma"/>
                <w:color w:val="008CCD"/>
                <w:sz w:val="16"/>
                <w:szCs w:val="16"/>
                <w:lang w:eastAsia="cs-CZ"/>
              </w:rPr>
              <w:t>10 558</w:t>
            </w:r>
          </w:p>
        </w:tc>
        <w:tc>
          <w:tcPr>
            <w:tcW w:w="624" w:type="dxa"/>
            <w:tcBorders>
              <w:top w:val="single" w:sz="4" w:space="0" w:color="404040"/>
            </w:tcBorders>
            <w:noWrap/>
            <w:vAlign w:val="center"/>
          </w:tcPr>
          <w:p w:rsidR="009D46E6" w:rsidRPr="008C428D" w:rsidRDefault="009D46E6" w:rsidP="00866283">
            <w:pPr>
              <w:spacing w:after="0" w:line="240" w:lineRule="auto"/>
              <w:jc w:val="right"/>
              <w:rPr>
                <w:rFonts w:cs="Tahoma"/>
                <w:color w:val="008CCD"/>
                <w:sz w:val="16"/>
                <w:szCs w:val="16"/>
                <w:lang w:eastAsia="cs-CZ"/>
              </w:rPr>
            </w:pPr>
            <w:r w:rsidRPr="008C428D">
              <w:rPr>
                <w:rFonts w:cs="Tahoma"/>
                <w:color w:val="008CCD"/>
                <w:sz w:val="16"/>
                <w:szCs w:val="16"/>
                <w:lang w:eastAsia="cs-CZ"/>
              </w:rPr>
              <w:t>8 403</w:t>
            </w:r>
          </w:p>
        </w:tc>
        <w:tc>
          <w:tcPr>
            <w:tcW w:w="624" w:type="dxa"/>
            <w:tcBorders>
              <w:top w:val="single" w:sz="4" w:space="0" w:color="404040"/>
            </w:tcBorders>
            <w:noWrap/>
            <w:vAlign w:val="center"/>
          </w:tcPr>
          <w:p w:rsidR="009D46E6" w:rsidRPr="008C428D" w:rsidRDefault="009D46E6" w:rsidP="00866283">
            <w:pPr>
              <w:spacing w:after="0" w:line="240" w:lineRule="auto"/>
              <w:jc w:val="right"/>
              <w:rPr>
                <w:rFonts w:cs="Tahoma"/>
                <w:color w:val="008CCD"/>
                <w:sz w:val="16"/>
                <w:szCs w:val="16"/>
                <w:lang w:eastAsia="cs-CZ"/>
              </w:rPr>
            </w:pPr>
            <w:r w:rsidRPr="008C428D">
              <w:rPr>
                <w:rFonts w:cs="Tahoma"/>
                <w:color w:val="008CCD"/>
                <w:sz w:val="16"/>
                <w:szCs w:val="16"/>
                <w:lang w:eastAsia="cs-CZ"/>
              </w:rPr>
              <w:t>3 435</w:t>
            </w:r>
          </w:p>
        </w:tc>
        <w:tc>
          <w:tcPr>
            <w:tcW w:w="680" w:type="dxa"/>
            <w:tcBorders>
              <w:top w:val="single" w:sz="4" w:space="0" w:color="404040"/>
            </w:tcBorders>
            <w:noWrap/>
            <w:vAlign w:val="center"/>
          </w:tcPr>
          <w:p w:rsidR="009D46E6" w:rsidRPr="008C428D" w:rsidRDefault="009D46E6" w:rsidP="00866283">
            <w:pPr>
              <w:spacing w:after="0" w:line="240" w:lineRule="auto"/>
              <w:jc w:val="right"/>
              <w:rPr>
                <w:rFonts w:cs="Tahoma"/>
                <w:color w:val="008CCD"/>
                <w:sz w:val="16"/>
                <w:szCs w:val="16"/>
                <w:lang w:eastAsia="cs-CZ"/>
              </w:rPr>
            </w:pPr>
            <w:r w:rsidRPr="008C428D">
              <w:rPr>
                <w:rFonts w:cs="Tahoma"/>
                <w:color w:val="008CCD"/>
                <w:sz w:val="16"/>
                <w:szCs w:val="16"/>
                <w:lang w:eastAsia="cs-CZ"/>
              </w:rPr>
              <w:t>16 938</w:t>
            </w:r>
          </w:p>
        </w:tc>
        <w:tc>
          <w:tcPr>
            <w:tcW w:w="624" w:type="dxa"/>
            <w:tcBorders>
              <w:top w:val="single" w:sz="4" w:space="0" w:color="404040"/>
            </w:tcBorders>
            <w:noWrap/>
            <w:vAlign w:val="center"/>
          </w:tcPr>
          <w:p w:rsidR="009D46E6" w:rsidRPr="008C428D" w:rsidRDefault="009D46E6" w:rsidP="00866283">
            <w:pPr>
              <w:spacing w:after="0" w:line="240" w:lineRule="auto"/>
              <w:jc w:val="right"/>
              <w:rPr>
                <w:rFonts w:cs="Tahoma"/>
                <w:color w:val="008CCD"/>
                <w:sz w:val="16"/>
                <w:szCs w:val="16"/>
                <w:lang w:eastAsia="cs-CZ"/>
              </w:rPr>
            </w:pPr>
            <w:r w:rsidRPr="008C428D">
              <w:rPr>
                <w:rFonts w:cs="Tahoma"/>
                <w:color w:val="008CCD"/>
                <w:sz w:val="16"/>
                <w:szCs w:val="16"/>
                <w:lang w:eastAsia="cs-CZ"/>
              </w:rPr>
              <w:t>7 744</w:t>
            </w:r>
          </w:p>
        </w:tc>
        <w:tc>
          <w:tcPr>
            <w:tcW w:w="624" w:type="dxa"/>
            <w:tcBorders>
              <w:top w:val="single" w:sz="4" w:space="0" w:color="404040"/>
            </w:tcBorders>
            <w:noWrap/>
            <w:vAlign w:val="center"/>
          </w:tcPr>
          <w:p w:rsidR="009D46E6" w:rsidRPr="008C428D" w:rsidRDefault="009D46E6" w:rsidP="00866283">
            <w:pPr>
              <w:spacing w:after="0" w:line="240" w:lineRule="auto"/>
              <w:jc w:val="right"/>
              <w:rPr>
                <w:rFonts w:cs="Tahoma"/>
                <w:color w:val="008CCD"/>
                <w:sz w:val="16"/>
                <w:szCs w:val="16"/>
                <w:lang w:eastAsia="cs-CZ"/>
              </w:rPr>
            </w:pPr>
            <w:r w:rsidRPr="008C428D">
              <w:rPr>
                <w:rFonts w:cs="Tahoma"/>
                <w:color w:val="008CCD"/>
                <w:sz w:val="16"/>
                <w:szCs w:val="16"/>
                <w:lang w:eastAsia="cs-CZ"/>
              </w:rPr>
              <w:t>9 178</w:t>
            </w:r>
          </w:p>
        </w:tc>
        <w:tc>
          <w:tcPr>
            <w:tcW w:w="624" w:type="dxa"/>
            <w:tcBorders>
              <w:top w:val="single" w:sz="4" w:space="0" w:color="404040"/>
            </w:tcBorders>
            <w:noWrap/>
            <w:vAlign w:val="center"/>
          </w:tcPr>
          <w:p w:rsidR="009D46E6" w:rsidRPr="008C428D" w:rsidRDefault="009D46E6" w:rsidP="00866283">
            <w:pPr>
              <w:spacing w:after="0" w:line="240" w:lineRule="auto"/>
              <w:jc w:val="right"/>
              <w:rPr>
                <w:rFonts w:cs="Tahoma"/>
                <w:color w:val="008CCD"/>
                <w:sz w:val="16"/>
                <w:szCs w:val="16"/>
                <w:lang w:eastAsia="cs-CZ"/>
              </w:rPr>
            </w:pPr>
            <w:r w:rsidRPr="008C428D">
              <w:rPr>
                <w:rFonts w:cs="Tahoma"/>
                <w:color w:val="008CCD"/>
                <w:sz w:val="16"/>
                <w:szCs w:val="16"/>
                <w:lang w:eastAsia="cs-CZ"/>
              </w:rPr>
              <w:t>1 396</w:t>
            </w:r>
          </w:p>
        </w:tc>
        <w:tc>
          <w:tcPr>
            <w:tcW w:w="624" w:type="dxa"/>
            <w:tcBorders>
              <w:top w:val="single" w:sz="4" w:space="0" w:color="404040"/>
            </w:tcBorders>
            <w:noWrap/>
            <w:vAlign w:val="center"/>
          </w:tcPr>
          <w:p w:rsidR="009D46E6" w:rsidRPr="008C428D" w:rsidRDefault="009D46E6" w:rsidP="00866283">
            <w:pPr>
              <w:spacing w:after="0" w:line="240" w:lineRule="auto"/>
              <w:jc w:val="right"/>
              <w:rPr>
                <w:rFonts w:cs="Tahoma"/>
                <w:color w:val="008CCD"/>
                <w:sz w:val="16"/>
                <w:szCs w:val="16"/>
                <w:lang w:eastAsia="cs-CZ"/>
              </w:rPr>
            </w:pPr>
            <w:r w:rsidRPr="008C428D">
              <w:rPr>
                <w:rFonts w:cs="Tahoma"/>
                <w:color w:val="008CCD"/>
                <w:sz w:val="16"/>
                <w:szCs w:val="16"/>
                <w:lang w:eastAsia="cs-CZ"/>
              </w:rPr>
              <w:t>1 070</w:t>
            </w:r>
          </w:p>
        </w:tc>
        <w:tc>
          <w:tcPr>
            <w:tcW w:w="850" w:type="dxa"/>
            <w:tcBorders>
              <w:top w:val="single" w:sz="4" w:space="0" w:color="404040"/>
            </w:tcBorders>
            <w:noWrap/>
            <w:vAlign w:val="center"/>
          </w:tcPr>
          <w:p w:rsidR="009D46E6" w:rsidRPr="008C428D" w:rsidRDefault="009D46E6" w:rsidP="00866283">
            <w:pPr>
              <w:spacing w:after="0" w:line="240" w:lineRule="auto"/>
              <w:jc w:val="right"/>
              <w:rPr>
                <w:rFonts w:cs="Tahoma"/>
                <w:color w:val="008CCD"/>
                <w:sz w:val="16"/>
                <w:szCs w:val="16"/>
                <w:lang w:eastAsia="cs-CZ"/>
              </w:rPr>
            </w:pPr>
            <w:r w:rsidRPr="008C428D">
              <w:rPr>
                <w:rFonts w:cs="Tahoma"/>
                <w:color w:val="008CCD"/>
                <w:sz w:val="16"/>
                <w:szCs w:val="16"/>
                <w:lang w:eastAsia="cs-CZ"/>
              </w:rPr>
              <w:t>103 918</w:t>
            </w:r>
          </w:p>
        </w:tc>
      </w:tr>
    </w:tbl>
    <w:p w:rsidR="009D46E6" w:rsidRPr="00BD5EC7" w:rsidRDefault="009D46E6" w:rsidP="00866283">
      <w:pPr>
        <w:pStyle w:val="Zdroj"/>
      </w:pPr>
      <w:r w:rsidRPr="00BD5EC7">
        <w:t xml:space="preserve">Zdroj: </w:t>
      </w:r>
      <w:r>
        <w:t>Příslušné řídící orgány; vlastní zpracování</w:t>
      </w:r>
    </w:p>
    <w:p w:rsidR="009D46E6" w:rsidRPr="00BC1D05" w:rsidRDefault="009D46E6" w:rsidP="00750D9B">
      <w:pPr>
        <w:pStyle w:val="Caption"/>
      </w:pPr>
      <w:bookmarkStart w:id="245" w:name="_Toc369091943"/>
      <w:r>
        <w:t xml:space="preserve">Tabulka </w:t>
      </w:r>
      <w:fldSimple w:instr=" STYLEREF 1 \s ">
        <w:r>
          <w:rPr>
            <w:noProof/>
          </w:rPr>
          <w:t>F</w:t>
        </w:r>
      </w:fldSimple>
      <w:r>
        <w:t>.</w:t>
      </w:r>
      <w:fldSimple w:instr=" SEQ Tabulka \* ARABIC \s 1 ">
        <w:r>
          <w:rPr>
            <w:noProof/>
          </w:rPr>
          <w:t>3</w:t>
        </w:r>
      </w:fldSimple>
      <w:r w:rsidRPr="00BC1D05">
        <w:t xml:space="preserve">: </w:t>
      </w:r>
      <w:r w:rsidRPr="00145944">
        <w:t xml:space="preserve">Výše podpory dle </w:t>
      </w:r>
      <w:r>
        <w:t>formy příjemce</w:t>
      </w:r>
      <w:r w:rsidRPr="00145944">
        <w:t xml:space="preserve"> (200</w:t>
      </w:r>
      <w:r>
        <w:t>8</w:t>
      </w:r>
      <w:r w:rsidRPr="00145944">
        <w:t>-2013</w:t>
      </w:r>
      <w:r>
        <w:t>, mil. Kč</w:t>
      </w:r>
      <w:r w:rsidRPr="00145944">
        <w:t>)</w:t>
      </w:r>
      <w:bookmarkEnd w:id="245"/>
    </w:p>
    <w:tbl>
      <w:tblPr>
        <w:tblW w:w="9584"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70" w:type="dxa"/>
          <w:right w:w="70" w:type="dxa"/>
        </w:tblCellMar>
        <w:tblLook w:val="00A0"/>
      </w:tblPr>
      <w:tblGrid>
        <w:gridCol w:w="850"/>
        <w:gridCol w:w="794"/>
        <w:gridCol w:w="794"/>
        <w:gridCol w:w="794"/>
        <w:gridCol w:w="794"/>
        <w:gridCol w:w="794"/>
        <w:gridCol w:w="794"/>
        <w:gridCol w:w="794"/>
        <w:gridCol w:w="794"/>
        <w:gridCol w:w="794"/>
        <w:gridCol w:w="794"/>
        <w:gridCol w:w="794"/>
      </w:tblGrid>
      <w:tr w:rsidR="009D46E6" w:rsidRPr="00DB1559" w:rsidTr="00866283">
        <w:trPr>
          <w:trHeight w:val="227"/>
          <w:jc w:val="center"/>
        </w:trPr>
        <w:tc>
          <w:tcPr>
            <w:tcW w:w="850" w:type="dxa"/>
            <w:vMerge w:val="restart"/>
            <w:noWrap/>
            <w:vAlign w:val="center"/>
          </w:tcPr>
          <w:p w:rsidR="009D46E6" w:rsidRPr="00145944" w:rsidRDefault="009D46E6" w:rsidP="00866283">
            <w:pPr>
              <w:keepNext/>
              <w:spacing w:after="0" w:line="240" w:lineRule="auto"/>
              <w:jc w:val="left"/>
              <w:rPr>
                <w:rFonts w:cs="Tahoma"/>
                <w:color w:val="008CCD"/>
                <w:sz w:val="16"/>
                <w:szCs w:val="16"/>
                <w:lang w:eastAsia="cs-CZ"/>
              </w:rPr>
            </w:pPr>
            <w:r w:rsidRPr="00145944">
              <w:rPr>
                <w:rFonts w:cs="Tahoma"/>
                <w:color w:val="008CCD"/>
                <w:sz w:val="16"/>
                <w:szCs w:val="16"/>
                <w:lang w:eastAsia="cs-CZ"/>
              </w:rPr>
              <w:t> </w:t>
            </w:r>
          </w:p>
        </w:tc>
        <w:tc>
          <w:tcPr>
            <w:tcW w:w="794" w:type="dxa"/>
            <w:vMerge w:val="restart"/>
            <w:vAlign w:val="center"/>
          </w:tcPr>
          <w:p w:rsidR="009D46E6" w:rsidRPr="00145944" w:rsidRDefault="009D46E6" w:rsidP="00866283">
            <w:pPr>
              <w:keepNext/>
              <w:spacing w:after="0" w:line="240" w:lineRule="auto"/>
              <w:jc w:val="center"/>
              <w:rPr>
                <w:rFonts w:cs="Tahoma"/>
                <w:color w:val="008CCD"/>
                <w:sz w:val="16"/>
                <w:szCs w:val="16"/>
                <w:lang w:eastAsia="cs-CZ"/>
              </w:rPr>
            </w:pPr>
            <w:r w:rsidRPr="00145944">
              <w:rPr>
                <w:rFonts w:cs="Tahoma"/>
                <w:color w:val="008CCD"/>
                <w:sz w:val="16"/>
                <w:szCs w:val="16"/>
                <w:lang w:eastAsia="cs-CZ"/>
              </w:rPr>
              <w:t>Fyzické osoby</w:t>
            </w:r>
          </w:p>
        </w:tc>
        <w:tc>
          <w:tcPr>
            <w:tcW w:w="2382" w:type="dxa"/>
            <w:gridSpan w:val="3"/>
            <w:noWrap/>
            <w:vAlign w:val="center"/>
          </w:tcPr>
          <w:p w:rsidR="009D46E6" w:rsidRPr="00145944" w:rsidRDefault="009D46E6" w:rsidP="00866283">
            <w:pPr>
              <w:keepNext/>
              <w:spacing w:after="0" w:line="240" w:lineRule="auto"/>
              <w:jc w:val="center"/>
              <w:rPr>
                <w:rFonts w:cs="Tahoma"/>
                <w:color w:val="008CCD"/>
                <w:sz w:val="16"/>
                <w:szCs w:val="16"/>
                <w:lang w:eastAsia="cs-CZ"/>
              </w:rPr>
            </w:pPr>
            <w:r w:rsidRPr="00145944">
              <w:rPr>
                <w:rFonts w:cs="Tahoma"/>
                <w:color w:val="008CCD"/>
                <w:sz w:val="16"/>
                <w:szCs w:val="16"/>
                <w:lang w:eastAsia="cs-CZ"/>
              </w:rPr>
              <w:t>Ostatní</w:t>
            </w:r>
            <w:r>
              <w:rPr>
                <w:rFonts w:cs="Tahoma"/>
                <w:color w:val="008CCD"/>
                <w:sz w:val="16"/>
                <w:szCs w:val="16"/>
                <w:lang w:eastAsia="cs-CZ"/>
              </w:rPr>
              <w:t xml:space="preserve"> formy</w:t>
            </w:r>
          </w:p>
        </w:tc>
        <w:tc>
          <w:tcPr>
            <w:tcW w:w="2382" w:type="dxa"/>
            <w:gridSpan w:val="3"/>
            <w:noWrap/>
            <w:vAlign w:val="center"/>
          </w:tcPr>
          <w:p w:rsidR="009D46E6" w:rsidRPr="00145944" w:rsidRDefault="009D46E6" w:rsidP="00866283">
            <w:pPr>
              <w:keepNext/>
              <w:spacing w:after="0" w:line="240" w:lineRule="auto"/>
              <w:jc w:val="center"/>
              <w:rPr>
                <w:rFonts w:cs="Tahoma"/>
                <w:color w:val="008CCD"/>
                <w:sz w:val="16"/>
                <w:szCs w:val="16"/>
                <w:lang w:eastAsia="cs-CZ"/>
              </w:rPr>
            </w:pPr>
            <w:r>
              <w:rPr>
                <w:rFonts w:cs="Tahoma"/>
                <w:color w:val="008CCD"/>
                <w:sz w:val="16"/>
                <w:szCs w:val="16"/>
                <w:lang w:eastAsia="cs-CZ"/>
              </w:rPr>
              <w:t>Spol. s r.o./akciová spol.</w:t>
            </w:r>
          </w:p>
        </w:tc>
        <w:tc>
          <w:tcPr>
            <w:tcW w:w="794" w:type="dxa"/>
            <w:vMerge w:val="restart"/>
            <w:vAlign w:val="center"/>
          </w:tcPr>
          <w:p w:rsidR="009D46E6" w:rsidRPr="00145944" w:rsidRDefault="009D46E6" w:rsidP="00866283">
            <w:pPr>
              <w:keepNext/>
              <w:spacing w:after="0" w:line="240" w:lineRule="auto"/>
              <w:jc w:val="center"/>
              <w:rPr>
                <w:rFonts w:cs="Tahoma"/>
                <w:color w:val="008CCD"/>
                <w:sz w:val="16"/>
                <w:szCs w:val="16"/>
                <w:lang w:eastAsia="cs-CZ"/>
              </w:rPr>
            </w:pPr>
            <w:r>
              <w:rPr>
                <w:rFonts w:cs="Tahoma"/>
                <w:color w:val="008CCD"/>
                <w:sz w:val="16"/>
                <w:szCs w:val="16"/>
                <w:lang w:eastAsia="cs-CZ"/>
              </w:rPr>
              <w:t>Veř. správa</w:t>
            </w:r>
          </w:p>
        </w:tc>
        <w:tc>
          <w:tcPr>
            <w:tcW w:w="794" w:type="dxa"/>
            <w:vMerge w:val="restart"/>
            <w:noWrap/>
            <w:vAlign w:val="center"/>
          </w:tcPr>
          <w:p w:rsidR="009D46E6" w:rsidRPr="00145944" w:rsidRDefault="009D46E6" w:rsidP="00866283">
            <w:pPr>
              <w:keepNext/>
              <w:spacing w:after="0" w:line="240" w:lineRule="auto"/>
              <w:jc w:val="center"/>
              <w:rPr>
                <w:rFonts w:cs="Tahoma"/>
                <w:color w:val="008CCD"/>
                <w:sz w:val="16"/>
                <w:szCs w:val="16"/>
                <w:lang w:eastAsia="cs-CZ"/>
              </w:rPr>
            </w:pPr>
            <w:r>
              <w:rPr>
                <w:rFonts w:cs="Tahoma"/>
                <w:color w:val="008CCD"/>
                <w:sz w:val="16"/>
                <w:szCs w:val="16"/>
                <w:lang w:eastAsia="cs-CZ"/>
              </w:rPr>
              <w:t>VŠ</w:t>
            </w:r>
          </w:p>
        </w:tc>
        <w:tc>
          <w:tcPr>
            <w:tcW w:w="794" w:type="dxa"/>
            <w:vMerge w:val="restart"/>
            <w:vAlign w:val="center"/>
          </w:tcPr>
          <w:p w:rsidR="009D46E6" w:rsidRPr="00145944" w:rsidRDefault="009D46E6" w:rsidP="00866283">
            <w:pPr>
              <w:keepNext/>
              <w:spacing w:after="0" w:line="240" w:lineRule="auto"/>
              <w:jc w:val="center"/>
              <w:rPr>
                <w:rFonts w:cs="Tahoma"/>
                <w:color w:val="008CCD"/>
                <w:sz w:val="16"/>
                <w:szCs w:val="16"/>
                <w:lang w:eastAsia="cs-CZ"/>
              </w:rPr>
            </w:pPr>
            <w:r>
              <w:rPr>
                <w:rFonts w:cs="Tahoma"/>
                <w:color w:val="008CCD"/>
                <w:sz w:val="16"/>
                <w:szCs w:val="16"/>
                <w:lang w:eastAsia="cs-CZ"/>
              </w:rPr>
              <w:t>VVI</w:t>
            </w:r>
          </w:p>
        </w:tc>
        <w:tc>
          <w:tcPr>
            <w:tcW w:w="794" w:type="dxa"/>
            <w:vMerge w:val="restart"/>
            <w:noWrap/>
            <w:vAlign w:val="center"/>
          </w:tcPr>
          <w:p w:rsidR="009D46E6" w:rsidRPr="00145944" w:rsidRDefault="009D46E6" w:rsidP="00866283">
            <w:pPr>
              <w:keepNext/>
              <w:spacing w:after="0" w:line="240" w:lineRule="auto"/>
              <w:jc w:val="center"/>
              <w:rPr>
                <w:rFonts w:cs="Tahoma"/>
                <w:color w:val="008CCD"/>
                <w:sz w:val="16"/>
                <w:szCs w:val="16"/>
                <w:lang w:eastAsia="cs-CZ"/>
              </w:rPr>
            </w:pPr>
            <w:r w:rsidRPr="00145944">
              <w:rPr>
                <w:rFonts w:cs="Tahoma"/>
                <w:color w:val="008CCD"/>
                <w:sz w:val="16"/>
                <w:szCs w:val="16"/>
                <w:lang w:eastAsia="cs-CZ"/>
              </w:rPr>
              <w:t>Celkem</w:t>
            </w:r>
          </w:p>
        </w:tc>
      </w:tr>
      <w:tr w:rsidR="009D46E6" w:rsidRPr="00DB1559" w:rsidTr="00866283">
        <w:trPr>
          <w:trHeight w:val="227"/>
          <w:jc w:val="center"/>
        </w:trPr>
        <w:tc>
          <w:tcPr>
            <w:tcW w:w="850" w:type="dxa"/>
            <w:vMerge/>
            <w:tcBorders>
              <w:bottom w:val="single" w:sz="4" w:space="0" w:color="404040"/>
            </w:tcBorders>
            <w:noWrap/>
            <w:vAlign w:val="center"/>
          </w:tcPr>
          <w:p w:rsidR="009D46E6" w:rsidRPr="00145944" w:rsidRDefault="009D46E6" w:rsidP="00866283">
            <w:pPr>
              <w:keepNext/>
              <w:spacing w:after="0" w:line="240" w:lineRule="auto"/>
              <w:jc w:val="left"/>
              <w:rPr>
                <w:rFonts w:cs="Tahoma"/>
                <w:color w:val="008CCD"/>
                <w:sz w:val="16"/>
                <w:szCs w:val="16"/>
                <w:lang w:eastAsia="cs-CZ"/>
              </w:rPr>
            </w:pPr>
          </w:p>
        </w:tc>
        <w:tc>
          <w:tcPr>
            <w:tcW w:w="794" w:type="dxa"/>
            <w:vMerge/>
            <w:tcBorders>
              <w:bottom w:val="single" w:sz="4" w:space="0" w:color="404040"/>
            </w:tcBorders>
            <w:vAlign w:val="center"/>
          </w:tcPr>
          <w:p w:rsidR="009D46E6" w:rsidRPr="00145944" w:rsidRDefault="009D46E6" w:rsidP="00866283">
            <w:pPr>
              <w:keepNext/>
              <w:spacing w:after="0" w:line="240" w:lineRule="auto"/>
              <w:jc w:val="right"/>
              <w:rPr>
                <w:rFonts w:cs="Tahoma"/>
                <w:color w:val="008CCD"/>
                <w:sz w:val="16"/>
                <w:szCs w:val="16"/>
                <w:lang w:eastAsia="cs-CZ"/>
              </w:rPr>
            </w:pPr>
          </w:p>
        </w:tc>
        <w:tc>
          <w:tcPr>
            <w:tcW w:w="794" w:type="dxa"/>
            <w:tcBorders>
              <w:bottom w:val="single" w:sz="4" w:space="0" w:color="404040"/>
            </w:tcBorders>
            <w:noWrap/>
            <w:vAlign w:val="center"/>
          </w:tcPr>
          <w:p w:rsidR="009D46E6" w:rsidRPr="00145944" w:rsidRDefault="009D46E6" w:rsidP="00866283">
            <w:pPr>
              <w:keepNext/>
              <w:spacing w:after="0" w:line="240" w:lineRule="auto"/>
              <w:jc w:val="center"/>
              <w:rPr>
                <w:rFonts w:cs="Tahoma"/>
                <w:color w:val="008CCD"/>
                <w:sz w:val="16"/>
                <w:szCs w:val="16"/>
                <w:lang w:eastAsia="cs-CZ"/>
              </w:rPr>
            </w:pPr>
            <w:r w:rsidRPr="00145944">
              <w:rPr>
                <w:rFonts w:cs="Tahoma"/>
                <w:color w:val="008CCD"/>
                <w:sz w:val="16"/>
                <w:szCs w:val="16"/>
                <w:lang w:eastAsia="cs-CZ"/>
              </w:rPr>
              <w:t>nár</w:t>
            </w:r>
            <w:r>
              <w:rPr>
                <w:rFonts w:cs="Tahoma"/>
                <w:color w:val="008CCD"/>
                <w:sz w:val="16"/>
                <w:szCs w:val="16"/>
                <w:lang w:eastAsia="cs-CZ"/>
              </w:rPr>
              <w:t>.</w:t>
            </w:r>
          </w:p>
        </w:tc>
        <w:tc>
          <w:tcPr>
            <w:tcW w:w="794" w:type="dxa"/>
            <w:tcBorders>
              <w:bottom w:val="single" w:sz="4" w:space="0" w:color="404040"/>
            </w:tcBorders>
            <w:noWrap/>
            <w:vAlign w:val="center"/>
          </w:tcPr>
          <w:p w:rsidR="009D46E6" w:rsidRPr="00145944" w:rsidRDefault="009D46E6" w:rsidP="00866283">
            <w:pPr>
              <w:keepNext/>
              <w:spacing w:after="0" w:line="240" w:lineRule="auto"/>
              <w:jc w:val="center"/>
              <w:rPr>
                <w:rFonts w:cs="Tahoma"/>
                <w:color w:val="008CCD"/>
                <w:sz w:val="16"/>
                <w:szCs w:val="16"/>
                <w:lang w:eastAsia="cs-CZ"/>
              </w:rPr>
            </w:pPr>
            <w:r w:rsidRPr="00145944">
              <w:rPr>
                <w:rFonts w:cs="Tahoma"/>
                <w:color w:val="008CCD"/>
                <w:sz w:val="16"/>
                <w:szCs w:val="16"/>
                <w:lang w:eastAsia="cs-CZ"/>
              </w:rPr>
              <w:t>zahr</w:t>
            </w:r>
            <w:r>
              <w:rPr>
                <w:rFonts w:cs="Tahoma"/>
                <w:color w:val="008CCD"/>
                <w:sz w:val="16"/>
                <w:szCs w:val="16"/>
                <w:lang w:eastAsia="cs-CZ"/>
              </w:rPr>
              <w:t>.</w:t>
            </w:r>
          </w:p>
        </w:tc>
        <w:tc>
          <w:tcPr>
            <w:tcW w:w="794" w:type="dxa"/>
            <w:tcBorders>
              <w:bottom w:val="single" w:sz="4" w:space="0" w:color="404040"/>
            </w:tcBorders>
            <w:noWrap/>
            <w:vAlign w:val="center"/>
          </w:tcPr>
          <w:p w:rsidR="009D46E6" w:rsidRPr="00145944" w:rsidRDefault="009D46E6" w:rsidP="00866283">
            <w:pPr>
              <w:keepNext/>
              <w:spacing w:after="0" w:line="240" w:lineRule="auto"/>
              <w:jc w:val="center"/>
              <w:rPr>
                <w:rFonts w:cs="Tahoma"/>
                <w:color w:val="008CCD"/>
                <w:sz w:val="16"/>
                <w:szCs w:val="16"/>
                <w:lang w:eastAsia="cs-CZ"/>
              </w:rPr>
            </w:pPr>
            <w:r w:rsidRPr="00145944">
              <w:rPr>
                <w:rFonts w:cs="Tahoma"/>
                <w:color w:val="008CCD"/>
                <w:sz w:val="16"/>
                <w:szCs w:val="16"/>
                <w:lang w:eastAsia="cs-CZ"/>
              </w:rPr>
              <w:t>nezisk</w:t>
            </w:r>
            <w:r>
              <w:rPr>
                <w:rFonts w:cs="Tahoma"/>
                <w:color w:val="008CCD"/>
                <w:sz w:val="16"/>
                <w:szCs w:val="16"/>
                <w:lang w:eastAsia="cs-CZ"/>
              </w:rPr>
              <w:t>.</w:t>
            </w:r>
          </w:p>
        </w:tc>
        <w:tc>
          <w:tcPr>
            <w:tcW w:w="794" w:type="dxa"/>
            <w:tcBorders>
              <w:bottom w:val="single" w:sz="4" w:space="0" w:color="404040"/>
            </w:tcBorders>
            <w:noWrap/>
            <w:vAlign w:val="center"/>
          </w:tcPr>
          <w:p w:rsidR="009D46E6" w:rsidRPr="00145944" w:rsidRDefault="009D46E6" w:rsidP="00866283">
            <w:pPr>
              <w:keepNext/>
              <w:spacing w:after="0" w:line="240" w:lineRule="auto"/>
              <w:jc w:val="center"/>
              <w:rPr>
                <w:rFonts w:cs="Tahoma"/>
                <w:color w:val="008CCD"/>
                <w:sz w:val="16"/>
                <w:szCs w:val="16"/>
                <w:lang w:eastAsia="cs-CZ"/>
              </w:rPr>
            </w:pPr>
            <w:r w:rsidRPr="00145944">
              <w:rPr>
                <w:rFonts w:cs="Tahoma"/>
                <w:color w:val="008CCD"/>
                <w:sz w:val="16"/>
                <w:szCs w:val="16"/>
                <w:lang w:eastAsia="cs-CZ"/>
              </w:rPr>
              <w:t>veř</w:t>
            </w:r>
            <w:r>
              <w:rPr>
                <w:rFonts w:cs="Tahoma"/>
                <w:color w:val="008CCD"/>
                <w:sz w:val="16"/>
                <w:szCs w:val="16"/>
                <w:lang w:eastAsia="cs-CZ"/>
              </w:rPr>
              <w:t>.</w:t>
            </w:r>
          </w:p>
        </w:tc>
        <w:tc>
          <w:tcPr>
            <w:tcW w:w="794" w:type="dxa"/>
            <w:tcBorders>
              <w:bottom w:val="single" w:sz="4" w:space="0" w:color="404040"/>
            </w:tcBorders>
            <w:noWrap/>
            <w:vAlign w:val="center"/>
          </w:tcPr>
          <w:p w:rsidR="009D46E6" w:rsidRPr="00145944" w:rsidRDefault="009D46E6" w:rsidP="00866283">
            <w:pPr>
              <w:keepNext/>
              <w:spacing w:after="0" w:line="240" w:lineRule="auto"/>
              <w:jc w:val="center"/>
              <w:rPr>
                <w:rFonts w:cs="Tahoma"/>
                <w:color w:val="008CCD"/>
                <w:sz w:val="16"/>
                <w:szCs w:val="16"/>
                <w:lang w:eastAsia="cs-CZ"/>
              </w:rPr>
            </w:pPr>
            <w:r w:rsidRPr="00145944">
              <w:rPr>
                <w:rFonts w:cs="Tahoma"/>
                <w:color w:val="008CCD"/>
                <w:sz w:val="16"/>
                <w:szCs w:val="16"/>
                <w:lang w:eastAsia="cs-CZ"/>
              </w:rPr>
              <w:t>nár</w:t>
            </w:r>
            <w:r>
              <w:rPr>
                <w:rFonts w:cs="Tahoma"/>
                <w:color w:val="008CCD"/>
                <w:sz w:val="16"/>
                <w:szCs w:val="16"/>
                <w:lang w:eastAsia="cs-CZ"/>
              </w:rPr>
              <w:t>.</w:t>
            </w:r>
          </w:p>
        </w:tc>
        <w:tc>
          <w:tcPr>
            <w:tcW w:w="794" w:type="dxa"/>
            <w:tcBorders>
              <w:bottom w:val="single" w:sz="4" w:space="0" w:color="404040"/>
            </w:tcBorders>
            <w:noWrap/>
            <w:vAlign w:val="center"/>
          </w:tcPr>
          <w:p w:rsidR="009D46E6" w:rsidRPr="00145944" w:rsidRDefault="009D46E6" w:rsidP="00866283">
            <w:pPr>
              <w:keepNext/>
              <w:spacing w:after="0" w:line="240" w:lineRule="auto"/>
              <w:jc w:val="center"/>
              <w:rPr>
                <w:rFonts w:cs="Tahoma"/>
                <w:color w:val="008CCD"/>
                <w:sz w:val="16"/>
                <w:szCs w:val="16"/>
                <w:lang w:eastAsia="cs-CZ"/>
              </w:rPr>
            </w:pPr>
            <w:r w:rsidRPr="00145944">
              <w:rPr>
                <w:rFonts w:cs="Tahoma"/>
                <w:color w:val="008CCD"/>
                <w:sz w:val="16"/>
                <w:szCs w:val="16"/>
                <w:lang w:eastAsia="cs-CZ"/>
              </w:rPr>
              <w:t>zahr</w:t>
            </w:r>
            <w:r>
              <w:rPr>
                <w:rFonts w:cs="Tahoma"/>
                <w:color w:val="008CCD"/>
                <w:sz w:val="16"/>
                <w:szCs w:val="16"/>
                <w:lang w:eastAsia="cs-CZ"/>
              </w:rPr>
              <w:t>.</w:t>
            </w:r>
          </w:p>
        </w:tc>
        <w:tc>
          <w:tcPr>
            <w:tcW w:w="794" w:type="dxa"/>
            <w:vMerge/>
            <w:tcBorders>
              <w:bottom w:val="single" w:sz="4" w:space="0" w:color="404040"/>
            </w:tcBorders>
            <w:vAlign w:val="center"/>
          </w:tcPr>
          <w:p w:rsidR="009D46E6" w:rsidRPr="00145944" w:rsidRDefault="009D46E6" w:rsidP="00866283">
            <w:pPr>
              <w:keepNext/>
              <w:spacing w:after="0" w:line="240" w:lineRule="auto"/>
              <w:jc w:val="right"/>
              <w:rPr>
                <w:rFonts w:cs="Tahoma"/>
                <w:color w:val="008CCD"/>
                <w:sz w:val="16"/>
                <w:szCs w:val="16"/>
                <w:lang w:eastAsia="cs-CZ"/>
              </w:rPr>
            </w:pPr>
          </w:p>
        </w:tc>
        <w:tc>
          <w:tcPr>
            <w:tcW w:w="794" w:type="dxa"/>
            <w:vMerge/>
            <w:tcBorders>
              <w:bottom w:val="single" w:sz="4" w:space="0" w:color="404040"/>
            </w:tcBorders>
            <w:vAlign w:val="center"/>
          </w:tcPr>
          <w:p w:rsidR="009D46E6" w:rsidRPr="00145944" w:rsidRDefault="009D46E6" w:rsidP="00866283">
            <w:pPr>
              <w:keepNext/>
              <w:spacing w:after="0" w:line="240" w:lineRule="auto"/>
              <w:jc w:val="right"/>
              <w:rPr>
                <w:rFonts w:cs="Tahoma"/>
                <w:color w:val="008CCD"/>
                <w:sz w:val="16"/>
                <w:szCs w:val="16"/>
                <w:lang w:eastAsia="cs-CZ"/>
              </w:rPr>
            </w:pPr>
          </w:p>
        </w:tc>
        <w:tc>
          <w:tcPr>
            <w:tcW w:w="794" w:type="dxa"/>
            <w:vMerge/>
            <w:tcBorders>
              <w:bottom w:val="single" w:sz="4" w:space="0" w:color="404040"/>
            </w:tcBorders>
            <w:vAlign w:val="center"/>
          </w:tcPr>
          <w:p w:rsidR="009D46E6" w:rsidRPr="00145944" w:rsidRDefault="009D46E6" w:rsidP="00866283">
            <w:pPr>
              <w:keepNext/>
              <w:spacing w:after="0" w:line="240" w:lineRule="auto"/>
              <w:jc w:val="right"/>
              <w:rPr>
                <w:rFonts w:cs="Tahoma"/>
                <w:color w:val="008CCD"/>
                <w:sz w:val="16"/>
                <w:szCs w:val="16"/>
                <w:lang w:eastAsia="cs-CZ"/>
              </w:rPr>
            </w:pPr>
          </w:p>
        </w:tc>
        <w:tc>
          <w:tcPr>
            <w:tcW w:w="794" w:type="dxa"/>
            <w:vMerge/>
            <w:tcBorders>
              <w:bottom w:val="single" w:sz="4" w:space="0" w:color="404040"/>
            </w:tcBorders>
            <w:noWrap/>
            <w:vAlign w:val="center"/>
          </w:tcPr>
          <w:p w:rsidR="009D46E6" w:rsidRPr="00145944" w:rsidRDefault="009D46E6" w:rsidP="00866283">
            <w:pPr>
              <w:keepNext/>
              <w:spacing w:after="0" w:line="240" w:lineRule="auto"/>
              <w:jc w:val="right"/>
              <w:rPr>
                <w:rFonts w:cs="Tahoma"/>
                <w:color w:val="008CCD"/>
                <w:sz w:val="16"/>
                <w:szCs w:val="16"/>
                <w:lang w:eastAsia="cs-CZ"/>
              </w:rPr>
            </w:pPr>
          </w:p>
        </w:tc>
      </w:tr>
      <w:tr w:rsidR="009D46E6" w:rsidRPr="00DB1559" w:rsidTr="00866283">
        <w:trPr>
          <w:trHeight w:val="227"/>
          <w:jc w:val="center"/>
        </w:trPr>
        <w:tc>
          <w:tcPr>
            <w:tcW w:w="850" w:type="dxa"/>
            <w:tcBorders>
              <w:top w:val="single" w:sz="4" w:space="0" w:color="404040"/>
            </w:tcBorders>
            <w:noWrap/>
            <w:vAlign w:val="center"/>
          </w:tcPr>
          <w:p w:rsidR="009D46E6" w:rsidRPr="00145944" w:rsidRDefault="009D46E6" w:rsidP="00866283">
            <w:pPr>
              <w:keepNext/>
              <w:spacing w:after="0" w:line="240" w:lineRule="auto"/>
              <w:jc w:val="left"/>
              <w:rPr>
                <w:rFonts w:cs="Tahoma"/>
                <w:color w:val="000000"/>
                <w:sz w:val="16"/>
                <w:szCs w:val="16"/>
                <w:lang w:eastAsia="cs-CZ"/>
              </w:rPr>
            </w:pPr>
            <w:r w:rsidRPr="00145944">
              <w:rPr>
                <w:rFonts w:cs="Tahoma"/>
                <w:color w:val="000000"/>
                <w:sz w:val="16"/>
                <w:szCs w:val="16"/>
                <w:lang w:eastAsia="cs-CZ"/>
              </w:rPr>
              <w:t>OP VaVpI</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0</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599</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0</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2 113</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0</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4 516</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592</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4 640</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30 722</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12 570</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55 753</w:t>
            </w:r>
          </w:p>
        </w:tc>
      </w:tr>
      <w:tr w:rsidR="009D46E6" w:rsidRPr="00DB1559" w:rsidTr="00866283">
        <w:trPr>
          <w:trHeight w:val="227"/>
          <w:jc w:val="center"/>
        </w:trPr>
        <w:tc>
          <w:tcPr>
            <w:tcW w:w="850" w:type="dxa"/>
            <w:noWrap/>
            <w:vAlign w:val="center"/>
          </w:tcPr>
          <w:p w:rsidR="009D46E6" w:rsidRPr="004960FA" w:rsidRDefault="009D46E6" w:rsidP="00866283">
            <w:pPr>
              <w:keepNext/>
              <w:spacing w:after="0" w:line="240" w:lineRule="auto"/>
              <w:ind w:firstLineChars="100" w:firstLine="160"/>
              <w:jc w:val="left"/>
              <w:rPr>
                <w:rFonts w:cs="Tahoma"/>
                <w:color w:val="7F7F7F"/>
                <w:sz w:val="16"/>
                <w:szCs w:val="16"/>
                <w:lang w:eastAsia="cs-CZ"/>
              </w:rPr>
            </w:pPr>
            <w:r w:rsidRPr="004960FA">
              <w:rPr>
                <w:rFonts w:cs="Tahoma"/>
                <w:color w:val="7F7F7F"/>
                <w:sz w:val="16"/>
                <w:szCs w:val="16"/>
                <w:lang w:eastAsia="cs-CZ"/>
              </w:rPr>
              <w:t>1.1</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2 365</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7 827</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9 984</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20 175</w:t>
            </w:r>
          </w:p>
        </w:tc>
      </w:tr>
      <w:tr w:rsidR="009D46E6" w:rsidRPr="00DB1559" w:rsidTr="00866283">
        <w:trPr>
          <w:trHeight w:val="227"/>
          <w:jc w:val="center"/>
        </w:trPr>
        <w:tc>
          <w:tcPr>
            <w:tcW w:w="850" w:type="dxa"/>
            <w:noWrap/>
            <w:vAlign w:val="center"/>
          </w:tcPr>
          <w:p w:rsidR="009D46E6" w:rsidRPr="004960FA" w:rsidRDefault="009D46E6" w:rsidP="00866283">
            <w:pPr>
              <w:keepNext/>
              <w:spacing w:after="0" w:line="240" w:lineRule="auto"/>
              <w:ind w:firstLineChars="100" w:firstLine="160"/>
              <w:jc w:val="left"/>
              <w:rPr>
                <w:rFonts w:cs="Tahoma"/>
                <w:color w:val="7F7F7F"/>
                <w:sz w:val="16"/>
                <w:szCs w:val="16"/>
                <w:lang w:eastAsia="cs-CZ"/>
              </w:rPr>
            </w:pPr>
            <w:r w:rsidRPr="004960FA">
              <w:rPr>
                <w:rFonts w:cs="Tahoma"/>
                <w:color w:val="7F7F7F"/>
                <w:sz w:val="16"/>
                <w:szCs w:val="16"/>
                <w:lang w:eastAsia="cs-CZ"/>
              </w:rPr>
              <w:t>2.1</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655</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4 465</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592</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1 253</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10 873</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2 536</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20 374</w:t>
            </w:r>
          </w:p>
        </w:tc>
      </w:tr>
      <w:tr w:rsidR="009D46E6" w:rsidRPr="00DB1559" w:rsidTr="00866283">
        <w:trPr>
          <w:trHeight w:val="227"/>
          <w:jc w:val="center"/>
        </w:trPr>
        <w:tc>
          <w:tcPr>
            <w:tcW w:w="850" w:type="dxa"/>
            <w:noWrap/>
            <w:vAlign w:val="center"/>
          </w:tcPr>
          <w:p w:rsidR="009D46E6" w:rsidRPr="004960FA" w:rsidRDefault="009D46E6" w:rsidP="00866283">
            <w:pPr>
              <w:keepNext/>
              <w:spacing w:after="0" w:line="240" w:lineRule="auto"/>
              <w:ind w:firstLineChars="100" w:firstLine="160"/>
              <w:jc w:val="left"/>
              <w:rPr>
                <w:rFonts w:cs="Tahoma"/>
                <w:color w:val="7F7F7F"/>
                <w:sz w:val="16"/>
                <w:szCs w:val="16"/>
                <w:lang w:eastAsia="cs-CZ"/>
              </w:rPr>
            </w:pPr>
            <w:r w:rsidRPr="004960FA">
              <w:rPr>
                <w:rFonts w:cs="Tahoma"/>
                <w:color w:val="7F7F7F"/>
                <w:sz w:val="16"/>
                <w:szCs w:val="16"/>
                <w:lang w:eastAsia="cs-CZ"/>
              </w:rPr>
              <w:t>3.1</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57</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518</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51</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625</w:t>
            </w:r>
          </w:p>
        </w:tc>
      </w:tr>
      <w:tr w:rsidR="009D46E6" w:rsidRPr="00DB1559" w:rsidTr="00866283">
        <w:trPr>
          <w:trHeight w:val="227"/>
          <w:jc w:val="center"/>
        </w:trPr>
        <w:tc>
          <w:tcPr>
            <w:tcW w:w="850" w:type="dxa"/>
            <w:noWrap/>
            <w:vAlign w:val="center"/>
          </w:tcPr>
          <w:p w:rsidR="009D46E6" w:rsidRPr="004960FA" w:rsidRDefault="009D46E6" w:rsidP="00866283">
            <w:pPr>
              <w:keepNext/>
              <w:spacing w:after="0" w:line="240" w:lineRule="auto"/>
              <w:ind w:firstLineChars="100" w:firstLine="160"/>
              <w:jc w:val="left"/>
              <w:rPr>
                <w:rFonts w:cs="Tahoma"/>
                <w:color w:val="7F7F7F"/>
                <w:sz w:val="16"/>
                <w:szCs w:val="16"/>
                <w:lang w:eastAsia="cs-CZ"/>
              </w:rPr>
            </w:pPr>
            <w:r w:rsidRPr="004960FA">
              <w:rPr>
                <w:rFonts w:cs="Tahoma"/>
                <w:color w:val="7F7F7F"/>
                <w:sz w:val="16"/>
                <w:szCs w:val="16"/>
                <w:lang w:eastAsia="cs-CZ"/>
              </w:rPr>
              <w:t>3.2</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599</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1 458</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51</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819</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1 094</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4 021</w:t>
            </w:r>
          </w:p>
        </w:tc>
      </w:tr>
      <w:tr w:rsidR="009D46E6" w:rsidRPr="00DB1559" w:rsidTr="00866283">
        <w:trPr>
          <w:trHeight w:val="227"/>
          <w:jc w:val="center"/>
        </w:trPr>
        <w:tc>
          <w:tcPr>
            <w:tcW w:w="850" w:type="dxa"/>
            <w:tcBorders>
              <w:bottom w:val="single" w:sz="4" w:space="0" w:color="404040"/>
            </w:tcBorders>
            <w:noWrap/>
            <w:vAlign w:val="center"/>
          </w:tcPr>
          <w:p w:rsidR="009D46E6" w:rsidRPr="004960FA" w:rsidRDefault="009D46E6" w:rsidP="00866283">
            <w:pPr>
              <w:keepNext/>
              <w:spacing w:after="0" w:line="240" w:lineRule="auto"/>
              <w:ind w:firstLineChars="100" w:firstLine="160"/>
              <w:jc w:val="left"/>
              <w:rPr>
                <w:rFonts w:cs="Tahoma"/>
                <w:color w:val="7F7F7F"/>
                <w:sz w:val="16"/>
                <w:szCs w:val="16"/>
                <w:lang w:eastAsia="cs-CZ"/>
              </w:rPr>
            </w:pPr>
            <w:r w:rsidRPr="004960FA">
              <w:rPr>
                <w:rFonts w:cs="Tahoma"/>
                <w:color w:val="7F7F7F"/>
                <w:sz w:val="16"/>
                <w:szCs w:val="16"/>
                <w:lang w:eastAsia="cs-CZ"/>
              </w:rPr>
              <w:t>4.1</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147</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10 411</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10 558</w:t>
            </w:r>
          </w:p>
        </w:tc>
      </w:tr>
      <w:tr w:rsidR="009D46E6" w:rsidRPr="00DB1559" w:rsidTr="00866283">
        <w:trPr>
          <w:trHeight w:val="227"/>
          <w:jc w:val="center"/>
        </w:trPr>
        <w:tc>
          <w:tcPr>
            <w:tcW w:w="850" w:type="dxa"/>
            <w:tcBorders>
              <w:top w:val="single" w:sz="4" w:space="0" w:color="404040"/>
            </w:tcBorders>
            <w:noWrap/>
            <w:vAlign w:val="center"/>
          </w:tcPr>
          <w:p w:rsidR="009D46E6" w:rsidRPr="00145944" w:rsidRDefault="009D46E6" w:rsidP="00866283">
            <w:pPr>
              <w:keepNext/>
              <w:spacing w:after="0" w:line="240" w:lineRule="auto"/>
              <w:jc w:val="left"/>
              <w:rPr>
                <w:rFonts w:cs="Tahoma"/>
                <w:color w:val="000000"/>
                <w:sz w:val="16"/>
                <w:szCs w:val="16"/>
                <w:lang w:eastAsia="cs-CZ"/>
              </w:rPr>
            </w:pPr>
            <w:r w:rsidRPr="00145944">
              <w:rPr>
                <w:rFonts w:cs="Tahoma"/>
                <w:color w:val="000000"/>
                <w:sz w:val="16"/>
                <w:szCs w:val="16"/>
                <w:lang w:eastAsia="cs-CZ"/>
              </w:rPr>
              <w:t>OPVK</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0</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37</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0</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280</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0</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193</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8</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290</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9 527</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1 503</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11 839</w:t>
            </w:r>
          </w:p>
        </w:tc>
      </w:tr>
      <w:tr w:rsidR="009D46E6" w:rsidRPr="00DB1559" w:rsidTr="00866283">
        <w:trPr>
          <w:trHeight w:val="227"/>
          <w:jc w:val="center"/>
        </w:trPr>
        <w:tc>
          <w:tcPr>
            <w:tcW w:w="850" w:type="dxa"/>
            <w:noWrap/>
            <w:vAlign w:val="center"/>
          </w:tcPr>
          <w:p w:rsidR="009D46E6" w:rsidRPr="004960FA" w:rsidRDefault="009D46E6" w:rsidP="00866283">
            <w:pPr>
              <w:keepNext/>
              <w:spacing w:after="0" w:line="240" w:lineRule="auto"/>
              <w:ind w:firstLineChars="100" w:firstLine="160"/>
              <w:jc w:val="left"/>
              <w:rPr>
                <w:rFonts w:cs="Tahoma"/>
                <w:color w:val="7F7F7F"/>
                <w:sz w:val="16"/>
                <w:szCs w:val="16"/>
                <w:lang w:eastAsia="cs-CZ"/>
              </w:rPr>
            </w:pPr>
            <w:r w:rsidRPr="004960FA">
              <w:rPr>
                <w:rFonts w:cs="Tahoma"/>
                <w:color w:val="7F7F7F"/>
                <w:sz w:val="16"/>
                <w:szCs w:val="16"/>
                <w:lang w:eastAsia="cs-CZ"/>
              </w:rPr>
              <w:t>2.3</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13</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28</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130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8</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243</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6 629</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1 352</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8 403</w:t>
            </w:r>
          </w:p>
        </w:tc>
      </w:tr>
      <w:tr w:rsidR="009D46E6" w:rsidRPr="00DB1559" w:rsidTr="00866283">
        <w:trPr>
          <w:trHeight w:val="227"/>
          <w:jc w:val="center"/>
        </w:trPr>
        <w:tc>
          <w:tcPr>
            <w:tcW w:w="850" w:type="dxa"/>
            <w:tcBorders>
              <w:bottom w:val="single" w:sz="4" w:space="0" w:color="404040"/>
            </w:tcBorders>
            <w:noWrap/>
            <w:vAlign w:val="center"/>
          </w:tcPr>
          <w:p w:rsidR="009D46E6" w:rsidRPr="004960FA" w:rsidRDefault="009D46E6" w:rsidP="00866283">
            <w:pPr>
              <w:keepNext/>
              <w:spacing w:after="0" w:line="240" w:lineRule="auto"/>
              <w:ind w:firstLineChars="100" w:firstLine="160"/>
              <w:jc w:val="left"/>
              <w:rPr>
                <w:rFonts w:cs="Tahoma"/>
                <w:color w:val="7F7F7F"/>
                <w:sz w:val="16"/>
                <w:szCs w:val="16"/>
                <w:lang w:eastAsia="cs-CZ"/>
              </w:rPr>
            </w:pPr>
            <w:r w:rsidRPr="004960FA">
              <w:rPr>
                <w:rFonts w:cs="Tahoma"/>
                <w:color w:val="7F7F7F"/>
                <w:sz w:val="16"/>
                <w:szCs w:val="16"/>
                <w:lang w:eastAsia="cs-CZ"/>
              </w:rPr>
              <w:t>2.4</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24</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252</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62</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47</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2 898</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152</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3 435</w:t>
            </w:r>
          </w:p>
        </w:tc>
      </w:tr>
      <w:tr w:rsidR="009D46E6" w:rsidRPr="00DB1559" w:rsidTr="00866283">
        <w:trPr>
          <w:trHeight w:val="227"/>
          <w:jc w:val="center"/>
        </w:trPr>
        <w:tc>
          <w:tcPr>
            <w:tcW w:w="850" w:type="dxa"/>
            <w:tcBorders>
              <w:top w:val="single" w:sz="4" w:space="0" w:color="404040"/>
            </w:tcBorders>
            <w:noWrap/>
            <w:vAlign w:val="center"/>
          </w:tcPr>
          <w:p w:rsidR="009D46E6" w:rsidRPr="00145944" w:rsidRDefault="009D46E6" w:rsidP="00866283">
            <w:pPr>
              <w:keepNext/>
              <w:spacing w:after="0" w:line="240" w:lineRule="auto"/>
              <w:jc w:val="left"/>
              <w:rPr>
                <w:rFonts w:cs="Tahoma"/>
                <w:color w:val="000000"/>
                <w:sz w:val="16"/>
                <w:szCs w:val="16"/>
                <w:lang w:eastAsia="cs-CZ"/>
              </w:rPr>
            </w:pPr>
            <w:r w:rsidRPr="00145944">
              <w:rPr>
                <w:rFonts w:cs="Tahoma"/>
                <w:color w:val="000000"/>
                <w:sz w:val="16"/>
                <w:szCs w:val="16"/>
                <w:lang w:eastAsia="cs-CZ"/>
              </w:rPr>
              <w:t>OPPI</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225</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898</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127</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1 620</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547</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19 040</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9 248</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1 267</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878</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8</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33 860</w:t>
            </w:r>
          </w:p>
        </w:tc>
      </w:tr>
      <w:tr w:rsidR="009D46E6" w:rsidRPr="00DB1559" w:rsidTr="00866283">
        <w:trPr>
          <w:trHeight w:val="227"/>
          <w:jc w:val="center"/>
        </w:trPr>
        <w:tc>
          <w:tcPr>
            <w:tcW w:w="850" w:type="dxa"/>
            <w:noWrap/>
            <w:vAlign w:val="center"/>
          </w:tcPr>
          <w:p w:rsidR="009D46E6" w:rsidRPr="004960FA" w:rsidRDefault="009D46E6" w:rsidP="00866283">
            <w:pPr>
              <w:keepNext/>
              <w:spacing w:after="0" w:line="240" w:lineRule="auto"/>
              <w:ind w:firstLineChars="100" w:firstLine="160"/>
              <w:jc w:val="left"/>
              <w:rPr>
                <w:rFonts w:cs="Tahoma"/>
                <w:color w:val="7F7F7F"/>
                <w:sz w:val="16"/>
                <w:szCs w:val="16"/>
                <w:lang w:eastAsia="cs-CZ"/>
              </w:rPr>
            </w:pPr>
            <w:r w:rsidRPr="004960FA">
              <w:rPr>
                <w:rFonts w:cs="Tahoma"/>
                <w:color w:val="7F7F7F"/>
                <w:sz w:val="16"/>
                <w:szCs w:val="16"/>
                <w:lang w:eastAsia="cs-CZ"/>
              </w:rPr>
              <w:t>4.1</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149</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22</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73</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72</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10 154</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6 455</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5</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8</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16 938</w:t>
            </w:r>
          </w:p>
        </w:tc>
      </w:tr>
      <w:tr w:rsidR="009D46E6" w:rsidRPr="00DB1559" w:rsidTr="00866283">
        <w:trPr>
          <w:trHeight w:val="227"/>
          <w:jc w:val="center"/>
        </w:trPr>
        <w:tc>
          <w:tcPr>
            <w:tcW w:w="850" w:type="dxa"/>
            <w:noWrap/>
            <w:vAlign w:val="center"/>
          </w:tcPr>
          <w:p w:rsidR="009D46E6" w:rsidRPr="004960FA" w:rsidRDefault="009D46E6" w:rsidP="00866283">
            <w:pPr>
              <w:keepNext/>
              <w:spacing w:after="0" w:line="240" w:lineRule="auto"/>
              <w:ind w:firstLineChars="100" w:firstLine="160"/>
              <w:jc w:val="left"/>
              <w:rPr>
                <w:rFonts w:cs="Tahoma"/>
                <w:color w:val="7F7F7F"/>
                <w:sz w:val="16"/>
                <w:szCs w:val="16"/>
                <w:lang w:eastAsia="cs-CZ"/>
              </w:rPr>
            </w:pPr>
            <w:r w:rsidRPr="004960FA">
              <w:rPr>
                <w:rFonts w:cs="Tahoma"/>
                <w:color w:val="7F7F7F"/>
                <w:sz w:val="16"/>
                <w:szCs w:val="16"/>
                <w:lang w:eastAsia="cs-CZ"/>
              </w:rPr>
              <w:t>4.2</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77</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16</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55</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311</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5 024</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2 260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7 744</w:t>
            </w:r>
          </w:p>
        </w:tc>
      </w:tr>
      <w:tr w:rsidR="009D46E6" w:rsidRPr="00DB1559" w:rsidTr="00866283">
        <w:trPr>
          <w:trHeight w:val="227"/>
          <w:jc w:val="center"/>
        </w:trPr>
        <w:tc>
          <w:tcPr>
            <w:tcW w:w="850" w:type="dxa"/>
            <w:tcBorders>
              <w:bottom w:val="single" w:sz="4" w:space="0" w:color="404040"/>
            </w:tcBorders>
            <w:noWrap/>
            <w:vAlign w:val="center"/>
          </w:tcPr>
          <w:p w:rsidR="009D46E6" w:rsidRPr="004960FA" w:rsidRDefault="009D46E6" w:rsidP="00866283">
            <w:pPr>
              <w:keepNext/>
              <w:spacing w:after="0" w:line="240" w:lineRule="auto"/>
              <w:ind w:firstLineChars="100" w:firstLine="160"/>
              <w:jc w:val="left"/>
              <w:rPr>
                <w:rFonts w:cs="Tahoma"/>
                <w:color w:val="7F7F7F"/>
                <w:sz w:val="16"/>
                <w:szCs w:val="16"/>
                <w:lang w:eastAsia="cs-CZ"/>
              </w:rPr>
            </w:pPr>
            <w:r w:rsidRPr="004960FA">
              <w:rPr>
                <w:rFonts w:cs="Tahoma"/>
                <w:color w:val="7F7F7F"/>
                <w:sz w:val="16"/>
                <w:szCs w:val="16"/>
                <w:lang w:eastAsia="cs-CZ"/>
              </w:rPr>
              <w:t>5.1</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860</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1 620</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163</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3 862</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533</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1 267</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874</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0</w:t>
            </w:r>
          </w:p>
        </w:tc>
        <w:tc>
          <w:tcPr>
            <w:tcW w:w="794" w:type="dxa"/>
            <w:tcBorders>
              <w:bottom w:val="single" w:sz="4" w:space="0" w:color="404040"/>
            </w:tcBorders>
            <w:noWrap/>
            <w:vAlign w:val="center"/>
          </w:tcPr>
          <w:p w:rsidR="009D46E6" w:rsidRPr="004960FA" w:rsidRDefault="009D46E6" w:rsidP="00866283">
            <w:pPr>
              <w:keepNext/>
              <w:spacing w:after="0" w:line="240" w:lineRule="auto"/>
              <w:jc w:val="right"/>
              <w:rPr>
                <w:rFonts w:cs="Tahoma"/>
                <w:color w:val="7F7F7F"/>
                <w:sz w:val="16"/>
                <w:szCs w:val="16"/>
                <w:lang w:eastAsia="cs-CZ"/>
              </w:rPr>
            </w:pPr>
            <w:r w:rsidRPr="004960FA">
              <w:rPr>
                <w:rFonts w:cs="Tahoma"/>
                <w:color w:val="7F7F7F"/>
                <w:sz w:val="16"/>
                <w:szCs w:val="16"/>
                <w:lang w:eastAsia="cs-CZ"/>
              </w:rPr>
              <w:t>9 178</w:t>
            </w:r>
          </w:p>
        </w:tc>
      </w:tr>
      <w:tr w:rsidR="009D46E6" w:rsidRPr="00DB1559" w:rsidTr="00866283">
        <w:trPr>
          <w:trHeight w:val="227"/>
          <w:jc w:val="center"/>
        </w:trPr>
        <w:tc>
          <w:tcPr>
            <w:tcW w:w="850" w:type="dxa"/>
            <w:tcBorders>
              <w:top w:val="single" w:sz="4" w:space="0" w:color="404040"/>
            </w:tcBorders>
            <w:noWrap/>
            <w:vAlign w:val="center"/>
          </w:tcPr>
          <w:p w:rsidR="009D46E6" w:rsidRPr="00145944" w:rsidRDefault="009D46E6" w:rsidP="00866283">
            <w:pPr>
              <w:keepNext/>
              <w:spacing w:after="0" w:line="240" w:lineRule="auto"/>
              <w:jc w:val="left"/>
              <w:rPr>
                <w:rFonts w:cs="Tahoma"/>
                <w:color w:val="000000"/>
                <w:sz w:val="16"/>
                <w:szCs w:val="16"/>
                <w:lang w:eastAsia="cs-CZ"/>
              </w:rPr>
            </w:pPr>
            <w:r w:rsidRPr="00145944">
              <w:rPr>
                <w:rFonts w:cs="Tahoma"/>
                <w:color w:val="000000"/>
                <w:sz w:val="16"/>
                <w:szCs w:val="16"/>
                <w:lang w:eastAsia="cs-CZ"/>
              </w:rPr>
              <w:t>OPPK</w:t>
            </w:r>
            <w:r w:rsidRPr="00D40609">
              <w:rPr>
                <w:rFonts w:cs="Tahoma"/>
                <w:color w:val="7F7F7F"/>
                <w:sz w:val="16"/>
                <w:szCs w:val="16"/>
                <w:lang w:eastAsia="cs-CZ"/>
              </w:rPr>
              <w:t xml:space="preserve"> 3.1</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0</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0</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0</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54</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0</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36</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0</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416</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286</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603</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1 396</w:t>
            </w:r>
          </w:p>
        </w:tc>
      </w:tr>
      <w:tr w:rsidR="009D46E6" w:rsidRPr="00DB1559" w:rsidTr="00866283">
        <w:trPr>
          <w:trHeight w:val="227"/>
          <w:jc w:val="center"/>
        </w:trPr>
        <w:tc>
          <w:tcPr>
            <w:tcW w:w="850" w:type="dxa"/>
            <w:tcBorders>
              <w:top w:val="single" w:sz="4" w:space="0" w:color="404040"/>
            </w:tcBorders>
            <w:noWrap/>
            <w:vAlign w:val="center"/>
          </w:tcPr>
          <w:p w:rsidR="009D46E6" w:rsidRPr="00145944" w:rsidRDefault="009D46E6" w:rsidP="00866283">
            <w:pPr>
              <w:keepNext/>
              <w:spacing w:after="0" w:line="240" w:lineRule="auto"/>
              <w:jc w:val="left"/>
              <w:rPr>
                <w:rFonts w:cs="Tahoma"/>
                <w:color w:val="000000"/>
                <w:sz w:val="16"/>
                <w:szCs w:val="16"/>
                <w:lang w:eastAsia="cs-CZ"/>
              </w:rPr>
            </w:pPr>
            <w:r w:rsidRPr="00145944">
              <w:rPr>
                <w:rFonts w:cs="Tahoma"/>
                <w:color w:val="000000"/>
                <w:sz w:val="16"/>
                <w:szCs w:val="16"/>
                <w:lang w:eastAsia="cs-CZ"/>
              </w:rPr>
              <w:t>OPPA</w:t>
            </w:r>
            <w:r w:rsidRPr="00D40609">
              <w:rPr>
                <w:rFonts w:cs="Tahoma"/>
                <w:color w:val="7F7F7F"/>
                <w:sz w:val="16"/>
                <w:szCs w:val="16"/>
                <w:lang w:eastAsia="cs-CZ"/>
              </w:rPr>
              <w:t xml:space="preserve"> 1.1</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13</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20</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8</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89</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9</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497</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233</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147</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44</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9</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0000"/>
                <w:sz w:val="16"/>
                <w:szCs w:val="16"/>
                <w:lang w:eastAsia="cs-CZ"/>
              </w:rPr>
            </w:pPr>
            <w:r w:rsidRPr="00145944">
              <w:rPr>
                <w:rFonts w:cs="Tahoma"/>
                <w:color w:val="000000"/>
                <w:sz w:val="16"/>
                <w:szCs w:val="16"/>
                <w:lang w:eastAsia="cs-CZ"/>
              </w:rPr>
              <w:t>1 070</w:t>
            </w:r>
          </w:p>
        </w:tc>
      </w:tr>
      <w:tr w:rsidR="009D46E6" w:rsidRPr="00DB1559" w:rsidTr="00866283">
        <w:trPr>
          <w:trHeight w:val="227"/>
          <w:jc w:val="center"/>
        </w:trPr>
        <w:tc>
          <w:tcPr>
            <w:tcW w:w="850" w:type="dxa"/>
            <w:tcBorders>
              <w:top w:val="single" w:sz="4" w:space="0" w:color="404040"/>
            </w:tcBorders>
            <w:noWrap/>
            <w:vAlign w:val="center"/>
          </w:tcPr>
          <w:p w:rsidR="009D46E6" w:rsidRPr="00145944" w:rsidRDefault="009D46E6" w:rsidP="00866283">
            <w:pPr>
              <w:keepNext/>
              <w:spacing w:after="0" w:line="240" w:lineRule="auto"/>
              <w:jc w:val="left"/>
              <w:rPr>
                <w:rFonts w:cs="Tahoma"/>
                <w:color w:val="008CCD"/>
                <w:sz w:val="16"/>
                <w:szCs w:val="16"/>
                <w:lang w:eastAsia="cs-CZ"/>
              </w:rPr>
            </w:pPr>
            <w:r w:rsidRPr="00145944">
              <w:rPr>
                <w:rFonts w:cs="Tahoma"/>
                <w:color w:val="008CCD"/>
                <w:sz w:val="16"/>
                <w:szCs w:val="16"/>
                <w:lang w:eastAsia="cs-CZ"/>
              </w:rPr>
              <w:t>Celkem</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8CCD"/>
                <w:sz w:val="16"/>
                <w:szCs w:val="16"/>
                <w:lang w:eastAsia="cs-CZ"/>
              </w:rPr>
            </w:pPr>
            <w:r w:rsidRPr="00145944">
              <w:rPr>
                <w:rFonts w:cs="Tahoma"/>
                <w:color w:val="008CCD"/>
                <w:sz w:val="16"/>
                <w:szCs w:val="16"/>
                <w:lang w:eastAsia="cs-CZ"/>
              </w:rPr>
              <w:t>239</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8CCD"/>
                <w:sz w:val="16"/>
                <w:szCs w:val="16"/>
                <w:lang w:eastAsia="cs-CZ"/>
              </w:rPr>
            </w:pPr>
            <w:r w:rsidRPr="00145944">
              <w:rPr>
                <w:rFonts w:cs="Tahoma"/>
                <w:color w:val="008CCD"/>
                <w:sz w:val="16"/>
                <w:szCs w:val="16"/>
                <w:lang w:eastAsia="cs-CZ"/>
              </w:rPr>
              <w:t>1 555</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8CCD"/>
                <w:sz w:val="16"/>
                <w:szCs w:val="16"/>
                <w:lang w:eastAsia="cs-CZ"/>
              </w:rPr>
            </w:pPr>
            <w:r w:rsidRPr="00145944">
              <w:rPr>
                <w:rFonts w:cs="Tahoma"/>
                <w:color w:val="008CCD"/>
                <w:sz w:val="16"/>
                <w:szCs w:val="16"/>
                <w:lang w:eastAsia="cs-CZ"/>
              </w:rPr>
              <w:t>135</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8CCD"/>
                <w:sz w:val="16"/>
                <w:szCs w:val="16"/>
                <w:lang w:eastAsia="cs-CZ"/>
              </w:rPr>
            </w:pPr>
            <w:r w:rsidRPr="00145944">
              <w:rPr>
                <w:rFonts w:cs="Tahoma"/>
                <w:color w:val="008CCD"/>
                <w:sz w:val="16"/>
                <w:szCs w:val="16"/>
                <w:lang w:eastAsia="cs-CZ"/>
              </w:rPr>
              <w:t>4 156</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8CCD"/>
                <w:sz w:val="16"/>
                <w:szCs w:val="16"/>
                <w:lang w:eastAsia="cs-CZ"/>
              </w:rPr>
            </w:pPr>
            <w:r w:rsidRPr="00145944">
              <w:rPr>
                <w:rFonts w:cs="Tahoma"/>
                <w:color w:val="008CCD"/>
                <w:sz w:val="16"/>
                <w:szCs w:val="16"/>
                <w:lang w:eastAsia="cs-CZ"/>
              </w:rPr>
              <w:t>556</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8CCD"/>
                <w:sz w:val="16"/>
                <w:szCs w:val="16"/>
                <w:lang w:eastAsia="cs-CZ"/>
              </w:rPr>
            </w:pPr>
            <w:r w:rsidRPr="00145944">
              <w:rPr>
                <w:rFonts w:cs="Tahoma"/>
                <w:color w:val="008CCD"/>
                <w:sz w:val="16"/>
                <w:szCs w:val="16"/>
                <w:lang w:eastAsia="cs-CZ"/>
              </w:rPr>
              <w:t>24 283</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8CCD"/>
                <w:sz w:val="16"/>
                <w:szCs w:val="16"/>
                <w:lang w:eastAsia="cs-CZ"/>
              </w:rPr>
            </w:pPr>
            <w:r w:rsidRPr="00145944">
              <w:rPr>
                <w:rFonts w:cs="Tahoma"/>
                <w:color w:val="008CCD"/>
                <w:sz w:val="16"/>
                <w:szCs w:val="16"/>
                <w:lang w:eastAsia="cs-CZ"/>
              </w:rPr>
              <w:t>10 082</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8CCD"/>
                <w:sz w:val="16"/>
                <w:szCs w:val="16"/>
                <w:lang w:eastAsia="cs-CZ"/>
              </w:rPr>
            </w:pPr>
            <w:r w:rsidRPr="00145944">
              <w:rPr>
                <w:rFonts w:cs="Tahoma"/>
                <w:color w:val="008CCD"/>
                <w:sz w:val="16"/>
                <w:szCs w:val="16"/>
                <w:lang w:eastAsia="cs-CZ"/>
              </w:rPr>
              <w:t>6 761</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8CCD"/>
                <w:sz w:val="16"/>
                <w:szCs w:val="16"/>
                <w:lang w:eastAsia="cs-CZ"/>
              </w:rPr>
            </w:pPr>
            <w:r w:rsidRPr="00145944">
              <w:rPr>
                <w:rFonts w:cs="Tahoma"/>
                <w:color w:val="008CCD"/>
                <w:sz w:val="16"/>
                <w:szCs w:val="16"/>
                <w:lang w:eastAsia="cs-CZ"/>
              </w:rPr>
              <w:t>41 458</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8CCD"/>
                <w:sz w:val="16"/>
                <w:szCs w:val="16"/>
                <w:lang w:eastAsia="cs-CZ"/>
              </w:rPr>
            </w:pPr>
            <w:r w:rsidRPr="00145944">
              <w:rPr>
                <w:rFonts w:cs="Tahoma"/>
                <w:color w:val="008CCD"/>
                <w:sz w:val="16"/>
                <w:szCs w:val="16"/>
                <w:lang w:eastAsia="cs-CZ"/>
              </w:rPr>
              <w:t>14 694</w:t>
            </w:r>
          </w:p>
        </w:tc>
        <w:tc>
          <w:tcPr>
            <w:tcW w:w="794" w:type="dxa"/>
            <w:tcBorders>
              <w:top w:val="single" w:sz="4" w:space="0" w:color="404040"/>
            </w:tcBorders>
            <w:noWrap/>
            <w:vAlign w:val="center"/>
          </w:tcPr>
          <w:p w:rsidR="009D46E6" w:rsidRPr="00145944" w:rsidRDefault="009D46E6" w:rsidP="00866283">
            <w:pPr>
              <w:keepNext/>
              <w:spacing w:after="0" w:line="240" w:lineRule="auto"/>
              <w:jc w:val="right"/>
              <w:rPr>
                <w:rFonts w:cs="Tahoma"/>
                <w:color w:val="008CCD"/>
                <w:sz w:val="16"/>
                <w:szCs w:val="16"/>
                <w:lang w:eastAsia="cs-CZ"/>
              </w:rPr>
            </w:pPr>
            <w:r w:rsidRPr="00145944">
              <w:rPr>
                <w:rFonts w:cs="Tahoma"/>
                <w:color w:val="008CCD"/>
                <w:sz w:val="16"/>
                <w:szCs w:val="16"/>
                <w:lang w:eastAsia="cs-CZ"/>
              </w:rPr>
              <w:t>103 918</w:t>
            </w:r>
          </w:p>
        </w:tc>
      </w:tr>
    </w:tbl>
    <w:p w:rsidR="009D46E6" w:rsidRDefault="009D46E6" w:rsidP="00866283">
      <w:pPr>
        <w:pStyle w:val="Zdroj"/>
        <w:keepNext/>
      </w:pPr>
      <w:r>
        <w:t>Pozn.: V</w:t>
      </w:r>
      <w:r w:rsidRPr="00436F9B">
        <w:t>eřejn</w:t>
      </w:r>
      <w:r>
        <w:t>á</w:t>
      </w:r>
      <w:r w:rsidRPr="00436F9B">
        <w:t xml:space="preserve"> správ</w:t>
      </w:r>
      <w:r>
        <w:t>a</w:t>
      </w:r>
      <w:r w:rsidRPr="00436F9B">
        <w:t xml:space="preserve"> </w:t>
      </w:r>
      <w:r>
        <w:t>=</w:t>
      </w:r>
      <w:r w:rsidRPr="00436F9B">
        <w:t xml:space="preserve"> obce, kraje, orgány státní správy, příspěvkové org</w:t>
      </w:r>
      <w:r>
        <w:t>.;</w:t>
      </w:r>
      <w:r w:rsidRPr="00436F9B">
        <w:t xml:space="preserve"> </w:t>
      </w:r>
      <w:r>
        <w:t>VŠ = vysoké školy; VVI = veřejné výzkumné instituce</w:t>
      </w:r>
    </w:p>
    <w:p w:rsidR="009D46E6" w:rsidRPr="00BD5EC7" w:rsidRDefault="009D46E6" w:rsidP="00866283">
      <w:pPr>
        <w:pStyle w:val="Zdroj"/>
        <w:keepNext/>
      </w:pPr>
      <w:r w:rsidRPr="00BD5EC7">
        <w:t xml:space="preserve">Zdroj: </w:t>
      </w:r>
      <w:r>
        <w:t>Příslušné řídící orgány; vlastní zpracování</w:t>
      </w:r>
    </w:p>
    <w:p w:rsidR="009D46E6" w:rsidRPr="00AF1519" w:rsidRDefault="009D46E6" w:rsidP="00866283"/>
    <w:p w:rsidR="009D46E6" w:rsidRDefault="009D46E6" w:rsidP="00866283">
      <w:r>
        <w:t>Dynamický pohled do čerpání podpory na VaVaI ze SF vnáší graf F.8, který ukazuje kumulativní nárůst prostředků v jednotlivých OP v každém měsíci (vztaženo k datu vydání rozhodnutí). Nejvyrovnanější průběh čerpání má OPPI s prvními projekty podpořenými již v červnu 2008 a soustavným postupným nárůstem. OP VaVpI zahájil výběr projektů k realizaci se zpožděním jednoho roku, velké projekty však rychle naplňovaly alokaci. Od roku 2012 jsou pak schvalovány výrazně menší projekty. Velmi nevyrovnané (nárazové) je čerpání OPVK - v roce 2010 bylo rozhodnuto pouze o třech minoritních projektech.</w:t>
      </w:r>
    </w:p>
    <w:p w:rsidR="009D46E6" w:rsidRPr="00BD5EC7" w:rsidRDefault="009D46E6" w:rsidP="00750D9B">
      <w:pPr>
        <w:pStyle w:val="Caption"/>
      </w:pPr>
      <w:bookmarkStart w:id="246" w:name="_Toc369092096"/>
      <w:r>
        <w:t xml:space="preserve">Graf </w:t>
      </w:r>
      <w:fldSimple w:instr=" STYLEREF 1 \s ">
        <w:r>
          <w:rPr>
            <w:noProof/>
          </w:rPr>
          <w:t>F</w:t>
        </w:r>
      </w:fldSimple>
      <w:r>
        <w:t>.</w:t>
      </w:r>
      <w:fldSimple w:instr=" SEQ Graf \* ARABIC \s 1 ">
        <w:r>
          <w:rPr>
            <w:noProof/>
          </w:rPr>
          <w:t>8</w:t>
        </w:r>
      </w:fldSimple>
      <w:r w:rsidRPr="00BD5EC7">
        <w:t xml:space="preserve">: </w:t>
      </w:r>
      <w:r>
        <w:t>(Kumulativní) v</w:t>
      </w:r>
      <w:r w:rsidRPr="00A653FC">
        <w:t xml:space="preserve">ýše podpory dle </w:t>
      </w:r>
      <w:r>
        <w:t>data rozhodnutí</w:t>
      </w:r>
      <w:r w:rsidRPr="00A653FC">
        <w:t xml:space="preserve"> (Č</w:t>
      </w:r>
      <w:r>
        <w:t>R</w:t>
      </w:r>
      <w:r w:rsidRPr="00A653FC">
        <w:t>; 200</w:t>
      </w:r>
      <w:r>
        <w:t>8</w:t>
      </w:r>
      <w:r w:rsidRPr="00A653FC">
        <w:t>-2013)</w:t>
      </w:r>
      <w:bookmarkEnd w:id="246"/>
    </w:p>
    <w:p w:rsidR="009D46E6" w:rsidRDefault="009D46E6" w:rsidP="001D7F37">
      <w:pPr>
        <w:pStyle w:val="Objekt"/>
      </w:pPr>
      <w:r w:rsidRPr="001D1D98">
        <w:pict>
          <v:shape id="Obrázek 377" o:spid="_x0000_i1245" type="#_x0000_t75" style="width:478.8pt;height:289.2pt;visibility:visible">
            <v:imagedata r:id="rId240" o:title=""/>
          </v:shape>
        </w:pict>
      </w:r>
    </w:p>
    <w:p w:rsidR="009D46E6" w:rsidRDefault="009D46E6" w:rsidP="00866283">
      <w:pPr>
        <w:pStyle w:val="Zdroj"/>
      </w:pPr>
      <w:r>
        <w:t>Pozn.: Velikost bubliny odpovídá objemu projektů s uděleným rozhodnutím o podpoře v daném měsíci a roce.</w:t>
      </w:r>
    </w:p>
    <w:p w:rsidR="009D46E6" w:rsidRPr="00BD5EC7" w:rsidRDefault="009D46E6" w:rsidP="00866283">
      <w:pPr>
        <w:pStyle w:val="Zdroj"/>
      </w:pPr>
      <w:r w:rsidRPr="00BD5EC7">
        <w:t xml:space="preserve">Zdroj: </w:t>
      </w:r>
      <w:r>
        <w:t>Příslušné řídící orgány; vlastní zpracování</w:t>
      </w:r>
    </w:p>
    <w:p w:rsidR="009D46E6" w:rsidRDefault="009D46E6" w:rsidP="00866283">
      <w:pPr>
        <w:spacing w:before="200" w:after="200" w:line="276" w:lineRule="auto"/>
        <w:jc w:val="left"/>
        <w:rPr>
          <w:b/>
          <w:szCs w:val="22"/>
        </w:rPr>
      </w:pPr>
      <w:r>
        <w:br w:type="page"/>
      </w:r>
    </w:p>
    <w:p w:rsidR="009D46E6" w:rsidRPr="00EE155B" w:rsidRDefault="009D46E6" w:rsidP="00EE155B">
      <w:pPr>
        <w:spacing w:before="240"/>
        <w:rPr>
          <w:b/>
        </w:rPr>
      </w:pPr>
      <w:r w:rsidRPr="00EE155B">
        <w:rPr>
          <w:b/>
        </w:rPr>
        <w:t>OP Výzkum a vývoj pro inovace (OP VaVpI)</w:t>
      </w:r>
    </w:p>
    <w:p w:rsidR="009D46E6" w:rsidRDefault="009D46E6" w:rsidP="00866283">
      <w:r>
        <w:t>Strategický rámec OP VaVpI je tvořen dvěma pilíři a třemi průřezovými cíli. První pilíř podporuje omezený počet interdisciplinárně zaměřených výzkumných center špičkové kvality vybavených unikátní výzkumnou infrastrukturou. Centra excelence kladou důraz na koncentraci VaV kapacit a jejich internacionalizace</w:t>
      </w:r>
      <w:r w:rsidRPr="00890137">
        <w:t>.</w:t>
      </w:r>
      <w:r>
        <w:t xml:space="preserve"> V druhém pilíři podpora směřuje do aplikačně orientovaných, často sektorově zaměřených výzkumných institucí, které mají potenciál rozvíjet silná partnerství s aplikačním sektorem a prohloubit technologickou specializaci regionu</w:t>
      </w:r>
      <w:r w:rsidRPr="00DC6C94">
        <w:t xml:space="preserve"> </w:t>
      </w:r>
      <w:r>
        <w:t xml:space="preserve">(regionální centra). Znakem obou typů center je důraz na jejich výkonnostní orientaci. Nově vznikající kapacity musí být komplementární ke stávající VaV infrastruktuře </w:t>
      </w:r>
      <w:r w:rsidRPr="00815661">
        <w:t xml:space="preserve">a </w:t>
      </w:r>
      <w:r>
        <w:t>finančně</w:t>
      </w:r>
      <w:r w:rsidRPr="00815661">
        <w:t xml:space="preserve"> udr</w:t>
      </w:r>
      <w:r>
        <w:t>ž</w:t>
      </w:r>
      <w:r w:rsidRPr="00815661">
        <w:t>iteln</w:t>
      </w:r>
      <w:r>
        <w:t>é.</w:t>
      </w:r>
    </w:p>
    <w:p w:rsidR="009D46E6" w:rsidRDefault="009D46E6" w:rsidP="00866283">
      <w:r>
        <w:t>Se dvěma pilíři strategie se prolínají tři průřezové cíle. Přední průřezové téma tvoří transfer technologií a posílení kapacit k ochraně a využívání výsledků VaV. Zásadní význam má rovněž popularizace vědy a technologií ve společnosti. Třetí průřezové téma reaguje na potřebu zvýšit počet kvalitně vyškolených lidských zdrojů, především výzkumníků v přírodovědných a technických oborech. Oba typy center i projekty z dalších PO jsou</w:t>
      </w:r>
      <w:r w:rsidRPr="00C169FD">
        <w:t xml:space="preserve"> plně financován</w:t>
      </w:r>
      <w:r>
        <w:t>y</w:t>
      </w:r>
      <w:r w:rsidRPr="00C169FD">
        <w:t xml:space="preserve"> z veřejných prostředků </w:t>
      </w:r>
      <w:r>
        <w:t>(</w:t>
      </w:r>
      <w:r w:rsidRPr="00C169FD">
        <w:t xml:space="preserve">85 % </w:t>
      </w:r>
      <w:r>
        <w:t xml:space="preserve">ERDF, </w:t>
      </w:r>
      <w:r w:rsidRPr="00C169FD">
        <w:t>15 %</w:t>
      </w:r>
      <w:r>
        <w:t xml:space="preserve"> </w:t>
      </w:r>
      <w:r w:rsidRPr="00C169FD">
        <w:t>prostředk</w:t>
      </w:r>
      <w:r>
        <w:t>y</w:t>
      </w:r>
      <w:r w:rsidRPr="00C169FD">
        <w:t xml:space="preserve"> státního rozpočtu</w:t>
      </w:r>
      <w:r>
        <w:t>).</w:t>
      </w:r>
    </w:p>
    <w:p w:rsidR="009D46E6" w:rsidRPr="00BC1D05" w:rsidRDefault="009D46E6" w:rsidP="00750D9B">
      <w:pPr>
        <w:pStyle w:val="Caption"/>
      </w:pPr>
      <w:bookmarkStart w:id="247" w:name="_Toc369091944"/>
      <w:r>
        <w:t xml:space="preserve">Tabulka </w:t>
      </w:r>
      <w:fldSimple w:instr=" STYLEREF 1 \s ">
        <w:r>
          <w:rPr>
            <w:noProof/>
          </w:rPr>
          <w:t>F</w:t>
        </w:r>
      </w:fldSimple>
      <w:r>
        <w:t>.</w:t>
      </w:r>
      <w:fldSimple w:instr=" SEQ Tabulka \* ARABIC \s 1 ">
        <w:r>
          <w:rPr>
            <w:noProof/>
          </w:rPr>
          <w:t>4</w:t>
        </w:r>
      </w:fldSimple>
      <w:r w:rsidRPr="00BC1D05">
        <w:t xml:space="preserve">: </w:t>
      </w:r>
      <w:r>
        <w:t>Základní charakteristiky OP VaVpI</w:t>
      </w:r>
      <w:bookmarkEnd w:id="247"/>
    </w:p>
    <w:tbl>
      <w:tblPr>
        <w:tblW w:w="9638"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28" w:type="dxa"/>
          <w:left w:w="57" w:type="dxa"/>
          <w:bottom w:w="28" w:type="dxa"/>
          <w:right w:w="57" w:type="dxa"/>
        </w:tblCellMar>
        <w:tblLook w:val="00A0"/>
      </w:tblPr>
      <w:tblGrid>
        <w:gridCol w:w="1134"/>
        <w:gridCol w:w="6236"/>
        <w:gridCol w:w="1134"/>
        <w:gridCol w:w="1134"/>
      </w:tblGrid>
      <w:tr w:rsidR="009D46E6" w:rsidRPr="00DB1559" w:rsidTr="00DB1559">
        <w:trPr>
          <w:trHeight w:val="283"/>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Globální cíl/ fond/alokace</w:t>
            </w:r>
          </w:p>
        </w:tc>
        <w:tc>
          <w:tcPr>
            <w:tcW w:w="6236"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Posilování VaVaI potenciálu ČR, který přispěje k růstu, konkurenceschopnosti a k vytváření vysoce kvalifikovaných pracovních míst</w:t>
            </w:r>
          </w:p>
        </w:tc>
        <w:tc>
          <w:tcPr>
            <w:tcW w:w="1134" w:type="dxa"/>
            <w:vAlign w:val="center"/>
          </w:tcPr>
          <w:p w:rsidR="009D46E6" w:rsidRPr="00DB1559" w:rsidRDefault="009D46E6" w:rsidP="00DB1559">
            <w:pPr>
              <w:spacing w:after="0" w:line="240" w:lineRule="auto"/>
              <w:jc w:val="right"/>
              <w:rPr>
                <w:rFonts w:cs="Tahoma"/>
                <w:sz w:val="16"/>
                <w:szCs w:val="16"/>
              </w:rPr>
            </w:pPr>
            <w:r w:rsidRPr="00DB1559">
              <w:rPr>
                <w:rFonts w:cs="Tahoma"/>
                <w:sz w:val="16"/>
                <w:szCs w:val="16"/>
              </w:rPr>
              <w:t>ERDF</w:t>
            </w:r>
          </w:p>
        </w:tc>
        <w:tc>
          <w:tcPr>
            <w:tcW w:w="1134" w:type="dxa"/>
            <w:vAlign w:val="center"/>
          </w:tcPr>
          <w:p w:rsidR="009D46E6" w:rsidRPr="00DB1559" w:rsidRDefault="009D46E6" w:rsidP="00DB1559">
            <w:pPr>
              <w:spacing w:after="0" w:line="240" w:lineRule="auto"/>
              <w:jc w:val="right"/>
              <w:rPr>
                <w:rFonts w:cs="Tahoma"/>
                <w:sz w:val="16"/>
                <w:szCs w:val="16"/>
              </w:rPr>
            </w:pPr>
            <w:r w:rsidRPr="00DB1559">
              <w:rPr>
                <w:rFonts w:cs="Tahoma"/>
                <w:sz w:val="16"/>
                <w:szCs w:val="16"/>
              </w:rPr>
              <w:t>62,6 mld. Kč</w:t>
            </w:r>
          </w:p>
        </w:tc>
      </w:tr>
      <w:tr w:rsidR="009D46E6" w:rsidRPr="00DB1559" w:rsidTr="00DB1559">
        <w:trPr>
          <w:trHeight w:val="283"/>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Prioritní osy/ alokace</w:t>
            </w:r>
          </w:p>
        </w:tc>
        <w:tc>
          <w:tcPr>
            <w:tcW w:w="7370" w:type="dxa"/>
            <w:gridSpan w:val="2"/>
            <w:vAlign w:val="center"/>
          </w:tcPr>
          <w:p w:rsidR="009D46E6" w:rsidRPr="00DB1559" w:rsidRDefault="009D46E6" w:rsidP="00DB1559">
            <w:pPr>
              <w:spacing w:after="0" w:line="240" w:lineRule="auto"/>
              <w:jc w:val="left"/>
              <w:rPr>
                <w:rFonts w:cs="Tahoma"/>
                <w:color w:val="C3003C"/>
                <w:sz w:val="16"/>
                <w:szCs w:val="16"/>
              </w:rPr>
            </w:pPr>
            <w:r w:rsidRPr="00DB1559">
              <w:rPr>
                <w:rFonts w:cs="Tahoma"/>
                <w:color w:val="C3003C"/>
                <w:sz w:val="16"/>
                <w:szCs w:val="16"/>
              </w:rPr>
              <w:t>PO1 Evropská centra excelence</w:t>
            </w:r>
          </w:p>
          <w:p w:rsidR="009D46E6" w:rsidRPr="00DB1559" w:rsidRDefault="009D46E6" w:rsidP="00DB1559">
            <w:pPr>
              <w:spacing w:after="0" w:line="240" w:lineRule="auto"/>
              <w:jc w:val="left"/>
              <w:rPr>
                <w:rFonts w:cs="Tahoma"/>
                <w:color w:val="C3003C"/>
                <w:sz w:val="16"/>
                <w:szCs w:val="16"/>
              </w:rPr>
            </w:pPr>
            <w:r w:rsidRPr="00DB1559">
              <w:rPr>
                <w:rFonts w:cs="Tahoma"/>
                <w:color w:val="C3003C"/>
                <w:sz w:val="16"/>
                <w:szCs w:val="16"/>
              </w:rPr>
              <w:t>PO2 Regionální VaV centra</w:t>
            </w:r>
          </w:p>
          <w:p w:rsidR="009D46E6" w:rsidRPr="00DB1559" w:rsidRDefault="009D46E6" w:rsidP="00DB1559">
            <w:pPr>
              <w:spacing w:after="0" w:line="240" w:lineRule="auto"/>
              <w:jc w:val="left"/>
              <w:rPr>
                <w:rFonts w:cs="Tahoma"/>
                <w:color w:val="C3003C"/>
                <w:sz w:val="16"/>
                <w:szCs w:val="16"/>
              </w:rPr>
            </w:pPr>
            <w:r w:rsidRPr="00DB1559">
              <w:rPr>
                <w:rFonts w:cs="Tahoma"/>
                <w:color w:val="C3003C"/>
                <w:sz w:val="16"/>
                <w:szCs w:val="16"/>
              </w:rPr>
              <w:t>PO3 Komercializace a popularizace VaV</w:t>
            </w:r>
          </w:p>
          <w:p w:rsidR="009D46E6" w:rsidRPr="00DB1559" w:rsidRDefault="009D46E6" w:rsidP="00DB1559">
            <w:pPr>
              <w:spacing w:after="0" w:line="240" w:lineRule="auto"/>
              <w:jc w:val="left"/>
              <w:rPr>
                <w:rFonts w:cs="Tahoma"/>
                <w:sz w:val="16"/>
                <w:szCs w:val="16"/>
              </w:rPr>
            </w:pPr>
            <w:r w:rsidRPr="00DB1559">
              <w:rPr>
                <w:rFonts w:cs="Tahoma"/>
                <w:color w:val="C3003C"/>
                <w:sz w:val="16"/>
                <w:szCs w:val="16"/>
              </w:rPr>
              <w:t>PO4 Infrastruktura pro výuku na vysokých školách spojenou s výzkumem</w:t>
            </w:r>
          </w:p>
          <w:p w:rsidR="009D46E6" w:rsidRPr="00DB1559" w:rsidRDefault="009D46E6" w:rsidP="00DB1559">
            <w:pPr>
              <w:spacing w:after="0" w:line="240" w:lineRule="auto"/>
              <w:jc w:val="left"/>
              <w:rPr>
                <w:rFonts w:cs="Tahoma"/>
                <w:sz w:val="16"/>
                <w:szCs w:val="16"/>
              </w:rPr>
            </w:pPr>
            <w:r w:rsidRPr="00DB1559">
              <w:rPr>
                <w:rFonts w:cs="Tahoma"/>
                <w:sz w:val="16"/>
                <w:szCs w:val="16"/>
              </w:rPr>
              <w:t>PO5 Technická pomoc</w:t>
            </w:r>
          </w:p>
        </w:tc>
        <w:tc>
          <w:tcPr>
            <w:tcW w:w="1134" w:type="dxa"/>
            <w:vAlign w:val="center"/>
          </w:tcPr>
          <w:p w:rsidR="009D46E6" w:rsidRPr="00DB1559" w:rsidRDefault="009D46E6" w:rsidP="00DB1559">
            <w:pPr>
              <w:spacing w:after="0" w:line="240" w:lineRule="auto"/>
              <w:jc w:val="right"/>
              <w:rPr>
                <w:rFonts w:cs="Tahoma"/>
                <w:color w:val="C3003C"/>
                <w:sz w:val="16"/>
                <w:szCs w:val="16"/>
              </w:rPr>
            </w:pPr>
            <w:r w:rsidRPr="00DB1559">
              <w:rPr>
                <w:rFonts w:cs="Tahoma"/>
                <w:color w:val="C3003C"/>
                <w:sz w:val="16"/>
                <w:szCs w:val="16"/>
              </w:rPr>
              <w:t>20,8 mld. Kč</w:t>
            </w:r>
          </w:p>
          <w:p w:rsidR="009D46E6" w:rsidRPr="00DB1559" w:rsidRDefault="009D46E6" w:rsidP="00DB1559">
            <w:pPr>
              <w:spacing w:after="0" w:line="240" w:lineRule="auto"/>
              <w:jc w:val="right"/>
              <w:rPr>
                <w:rFonts w:cs="Tahoma"/>
                <w:color w:val="C3003C"/>
                <w:sz w:val="16"/>
                <w:szCs w:val="16"/>
              </w:rPr>
            </w:pPr>
            <w:r w:rsidRPr="00DB1559">
              <w:rPr>
                <w:rFonts w:cs="Tahoma"/>
                <w:color w:val="C3003C"/>
                <w:sz w:val="16"/>
                <w:szCs w:val="16"/>
              </w:rPr>
              <w:t>20,7 mld. Kč</w:t>
            </w:r>
          </w:p>
          <w:p w:rsidR="009D46E6" w:rsidRPr="00DB1559" w:rsidRDefault="009D46E6" w:rsidP="00DB1559">
            <w:pPr>
              <w:spacing w:after="0" w:line="240" w:lineRule="auto"/>
              <w:jc w:val="right"/>
              <w:rPr>
                <w:rFonts w:cs="Tahoma"/>
                <w:color w:val="C3003C"/>
                <w:sz w:val="16"/>
                <w:szCs w:val="16"/>
              </w:rPr>
            </w:pPr>
            <w:r w:rsidRPr="00DB1559">
              <w:rPr>
                <w:rFonts w:cs="Tahoma"/>
                <w:color w:val="C3003C"/>
                <w:sz w:val="16"/>
                <w:szCs w:val="16"/>
              </w:rPr>
              <w:t>6,5 mld. Kč</w:t>
            </w:r>
          </w:p>
          <w:p w:rsidR="009D46E6" w:rsidRPr="00DB1559" w:rsidRDefault="009D46E6" w:rsidP="00DB1559">
            <w:pPr>
              <w:spacing w:after="0" w:line="240" w:lineRule="auto"/>
              <w:jc w:val="right"/>
              <w:rPr>
                <w:rFonts w:cs="Tahoma"/>
                <w:color w:val="C3003C"/>
                <w:sz w:val="16"/>
                <w:szCs w:val="16"/>
              </w:rPr>
            </w:pPr>
            <w:r w:rsidRPr="00DB1559">
              <w:rPr>
                <w:rFonts w:cs="Tahoma"/>
                <w:color w:val="C3003C"/>
                <w:sz w:val="16"/>
                <w:szCs w:val="16"/>
              </w:rPr>
              <w:t>12,5 mld. Kč</w:t>
            </w:r>
          </w:p>
          <w:p w:rsidR="009D46E6" w:rsidRPr="00DB1559" w:rsidRDefault="009D46E6" w:rsidP="00DB1559">
            <w:pPr>
              <w:spacing w:after="0" w:line="240" w:lineRule="auto"/>
              <w:jc w:val="right"/>
              <w:rPr>
                <w:rFonts w:cs="Tahoma"/>
                <w:sz w:val="16"/>
                <w:szCs w:val="16"/>
              </w:rPr>
            </w:pPr>
            <w:r w:rsidRPr="00DB1559">
              <w:rPr>
                <w:rFonts w:cs="Tahoma"/>
                <w:sz w:val="16"/>
                <w:szCs w:val="16"/>
              </w:rPr>
              <w:t>2,2 mld. Kč</w:t>
            </w:r>
          </w:p>
        </w:tc>
      </w:tr>
      <w:tr w:rsidR="009D46E6" w:rsidRPr="00DB1559" w:rsidTr="00DB1559">
        <w:trPr>
          <w:trHeight w:val="283"/>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color w:val="C3003C"/>
                <w:sz w:val="16"/>
                <w:szCs w:val="16"/>
              </w:rPr>
              <w:t>Zaměření</w:t>
            </w:r>
          </w:p>
        </w:tc>
        <w:tc>
          <w:tcPr>
            <w:tcW w:w="850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Podpora nabídky VaV aktivit především vysokých škol a výzkumných institucí, produkce kvalitních a relevantních výsledků VaV a absolventů se specializací odpovídající trhu práce, posílení přenosu poznatků do aplikační sféry</w:t>
            </w:r>
          </w:p>
        </w:tc>
      </w:tr>
      <w:tr w:rsidR="009D46E6" w:rsidRPr="00DB1559" w:rsidTr="00DB1559">
        <w:trPr>
          <w:trHeight w:val="227"/>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color w:val="C3003C"/>
                <w:sz w:val="16"/>
                <w:szCs w:val="16"/>
              </w:rPr>
              <w:t>Char. podpory</w:t>
            </w:r>
          </w:p>
        </w:tc>
        <w:tc>
          <w:tcPr>
            <w:tcW w:w="850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Investice do infrastruktury, podpora vysoce kvalitní VaV činnosti</w:t>
            </w:r>
          </w:p>
        </w:tc>
      </w:tr>
      <w:tr w:rsidR="009D46E6" w:rsidRPr="00DB1559" w:rsidTr="00DB1559">
        <w:trPr>
          <w:trHeight w:val="227"/>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Způs. regiony</w:t>
            </w:r>
          </w:p>
        </w:tc>
        <w:tc>
          <w:tcPr>
            <w:tcW w:w="850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ČR mimo hl. m. Prahy</w:t>
            </w:r>
          </w:p>
        </w:tc>
      </w:tr>
      <w:tr w:rsidR="009D46E6" w:rsidRPr="00DB1559" w:rsidTr="00DB1559">
        <w:trPr>
          <w:trHeight w:val="227"/>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Řídící orgán</w:t>
            </w:r>
          </w:p>
        </w:tc>
        <w:tc>
          <w:tcPr>
            <w:tcW w:w="850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Ministerstvo školství, mládeže a tělovýchovy [</w:t>
            </w:r>
            <w:hyperlink r:id="rId241" w:history="1">
              <w:r w:rsidRPr="00DB1559">
                <w:rPr>
                  <w:rStyle w:val="Hyperlink"/>
                  <w:rFonts w:cs="Tahoma"/>
                  <w:sz w:val="16"/>
                  <w:szCs w:val="16"/>
                </w:rPr>
                <w:t>http://www.msmt.cz/strukturalni-fondy/op-vavpi</w:t>
              </w:r>
            </w:hyperlink>
            <w:r w:rsidRPr="00DB1559">
              <w:rPr>
                <w:rFonts w:cs="Tahoma"/>
                <w:sz w:val="16"/>
                <w:szCs w:val="16"/>
              </w:rPr>
              <w:t>]</w:t>
            </w:r>
          </w:p>
        </w:tc>
      </w:tr>
    </w:tbl>
    <w:p w:rsidR="009D46E6" w:rsidRDefault="009D46E6" w:rsidP="00866283">
      <w:pPr>
        <w:pStyle w:val="Zdroj"/>
      </w:pPr>
      <w:r>
        <w:t>Pozn.: Zvýrazněné = relevantní</w:t>
      </w:r>
    </w:p>
    <w:p w:rsidR="009D46E6" w:rsidRDefault="009D46E6" w:rsidP="00866283">
      <w:pPr>
        <w:pStyle w:val="Zdroj"/>
      </w:pPr>
      <w:r w:rsidRPr="00D43170">
        <w:t xml:space="preserve">Zdroj: </w:t>
      </w:r>
      <w:r>
        <w:t>Programová dokumentace OP VaVpI [</w:t>
      </w:r>
      <w:hyperlink r:id="rId242" w:history="1">
        <w:r w:rsidRPr="00314063">
          <w:rPr>
            <w:rStyle w:val="Hyperlink"/>
            <w:rFonts w:cs="MetaPro-Normal"/>
          </w:rPr>
          <w:t>http://www.msmt.cz/strukturalni-fondy/dokumenty-op-vavpi</w:t>
        </w:r>
      </w:hyperlink>
      <w:r>
        <w:t>]</w:t>
      </w:r>
    </w:p>
    <w:p w:rsidR="009D46E6" w:rsidRDefault="009D46E6" w:rsidP="00866283"/>
    <w:p w:rsidR="009D46E6" w:rsidRPr="00BC1D05" w:rsidRDefault="009D46E6" w:rsidP="00750D9B">
      <w:pPr>
        <w:pStyle w:val="Caption"/>
      </w:pPr>
      <w:bookmarkStart w:id="248" w:name="_Toc369091945"/>
      <w:r>
        <w:t xml:space="preserve">Tabulka </w:t>
      </w:r>
      <w:fldSimple w:instr=" STYLEREF 1 \s ">
        <w:r>
          <w:rPr>
            <w:noProof/>
          </w:rPr>
          <w:t>F</w:t>
        </w:r>
      </w:fldSimple>
      <w:r>
        <w:t>.</w:t>
      </w:r>
      <w:fldSimple w:instr=" SEQ Tabulka \* ARABIC \s 1 ">
        <w:r>
          <w:rPr>
            <w:noProof/>
          </w:rPr>
          <w:t>5</w:t>
        </w:r>
      </w:fldSimple>
      <w:r w:rsidRPr="00BC1D05">
        <w:t xml:space="preserve">: </w:t>
      </w:r>
      <w:r>
        <w:t>Stav čerpání OP VaVpI</w:t>
      </w:r>
      <w:bookmarkEnd w:id="248"/>
    </w:p>
    <w:tbl>
      <w:tblPr>
        <w:tblW w:w="9637"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top w:w="28" w:type="dxa"/>
          <w:left w:w="57" w:type="dxa"/>
          <w:bottom w:w="28" w:type="dxa"/>
          <w:right w:w="57" w:type="dxa"/>
        </w:tblCellMar>
        <w:tblLook w:val="0000"/>
      </w:tblPr>
      <w:tblGrid>
        <w:gridCol w:w="1134"/>
        <w:gridCol w:w="1020"/>
        <w:gridCol w:w="680"/>
        <w:gridCol w:w="1020"/>
        <w:gridCol w:w="1021"/>
        <w:gridCol w:w="680"/>
        <w:gridCol w:w="1020"/>
        <w:gridCol w:w="1021"/>
        <w:gridCol w:w="1020"/>
        <w:gridCol w:w="1021"/>
      </w:tblGrid>
      <w:tr w:rsidR="009D46E6" w:rsidRPr="00DB1559" w:rsidTr="00866283">
        <w:trPr>
          <w:trHeight w:val="226"/>
          <w:jc w:val="center"/>
        </w:trPr>
        <w:tc>
          <w:tcPr>
            <w:tcW w:w="1134" w:type="dxa"/>
            <w:vMerge w:val="restart"/>
            <w:vAlign w:val="center"/>
          </w:tcPr>
          <w:p w:rsidR="009D46E6" w:rsidRPr="00DB1559" w:rsidRDefault="009D46E6" w:rsidP="00866283">
            <w:pPr>
              <w:spacing w:after="0" w:line="240" w:lineRule="auto"/>
              <w:jc w:val="center"/>
              <w:rPr>
                <w:rFonts w:cs="Tahoma"/>
                <w:bCs/>
                <w:color w:val="008CCD"/>
                <w:sz w:val="16"/>
                <w:szCs w:val="16"/>
              </w:rPr>
            </w:pPr>
            <w:r w:rsidRPr="00DB1559">
              <w:rPr>
                <w:rFonts w:cs="Tahoma"/>
                <w:bCs/>
                <w:color w:val="008CCD"/>
                <w:sz w:val="16"/>
                <w:szCs w:val="16"/>
              </w:rPr>
              <w:t>Sekce</w:t>
            </w:r>
          </w:p>
        </w:tc>
        <w:tc>
          <w:tcPr>
            <w:tcW w:w="1020" w:type="dxa"/>
            <w:vMerge w:val="restart"/>
            <w:vAlign w:val="center"/>
          </w:tcPr>
          <w:p w:rsidR="009D46E6" w:rsidRPr="00DB1559" w:rsidRDefault="009D46E6" w:rsidP="00866283">
            <w:pPr>
              <w:spacing w:after="0" w:line="240" w:lineRule="auto"/>
              <w:jc w:val="center"/>
              <w:rPr>
                <w:rFonts w:cs="Tahoma"/>
                <w:bCs/>
                <w:color w:val="008CCD"/>
                <w:sz w:val="16"/>
                <w:szCs w:val="16"/>
              </w:rPr>
            </w:pPr>
            <w:r w:rsidRPr="00DB1559">
              <w:rPr>
                <w:rFonts w:cs="Tahoma"/>
                <w:bCs/>
                <w:color w:val="008CCD"/>
                <w:sz w:val="16"/>
                <w:szCs w:val="16"/>
              </w:rPr>
              <w:t>Celková alokace</w:t>
            </w:r>
            <w:r w:rsidRPr="00DB1559">
              <w:rPr>
                <w:rFonts w:cs="Tahoma"/>
                <w:bCs/>
                <w:color w:val="008CCD"/>
                <w:sz w:val="16"/>
                <w:szCs w:val="16"/>
              </w:rPr>
              <w:br/>
              <w:t>[mil. Kč]</w:t>
            </w:r>
          </w:p>
        </w:tc>
        <w:tc>
          <w:tcPr>
            <w:tcW w:w="2721" w:type="dxa"/>
            <w:gridSpan w:val="3"/>
            <w:vAlign w:val="center"/>
          </w:tcPr>
          <w:p w:rsidR="009D46E6" w:rsidRPr="00DB1559" w:rsidRDefault="009D46E6" w:rsidP="00866283">
            <w:pPr>
              <w:spacing w:after="0" w:line="240" w:lineRule="auto"/>
              <w:jc w:val="center"/>
              <w:rPr>
                <w:rFonts w:cs="Tahoma"/>
                <w:bCs/>
                <w:color w:val="008CCD"/>
                <w:sz w:val="16"/>
                <w:szCs w:val="16"/>
              </w:rPr>
            </w:pPr>
            <w:r w:rsidRPr="00DB1559">
              <w:rPr>
                <w:rFonts w:cs="Tahoma"/>
                <w:bCs/>
                <w:color w:val="008CCD"/>
                <w:sz w:val="16"/>
                <w:szCs w:val="16"/>
              </w:rPr>
              <w:t>Podané žádosti</w:t>
            </w:r>
          </w:p>
        </w:tc>
        <w:tc>
          <w:tcPr>
            <w:tcW w:w="2721" w:type="dxa"/>
            <w:gridSpan w:val="3"/>
            <w:vAlign w:val="center"/>
          </w:tcPr>
          <w:p w:rsidR="009D46E6" w:rsidRPr="00DB1559" w:rsidRDefault="009D46E6" w:rsidP="00866283">
            <w:pPr>
              <w:spacing w:after="0" w:line="240" w:lineRule="auto"/>
              <w:jc w:val="center"/>
              <w:rPr>
                <w:rFonts w:cs="Tahoma"/>
                <w:bCs/>
                <w:color w:val="008CCD"/>
                <w:sz w:val="16"/>
                <w:szCs w:val="16"/>
              </w:rPr>
            </w:pPr>
            <w:r w:rsidRPr="00DB1559">
              <w:rPr>
                <w:rFonts w:cs="Tahoma"/>
                <w:bCs/>
                <w:color w:val="008CCD"/>
                <w:sz w:val="16"/>
                <w:szCs w:val="16"/>
              </w:rPr>
              <w:t>Projekty s vydaným rozhodnutím</w:t>
            </w:r>
          </w:p>
        </w:tc>
        <w:tc>
          <w:tcPr>
            <w:tcW w:w="2041" w:type="dxa"/>
            <w:gridSpan w:val="2"/>
          </w:tcPr>
          <w:p w:rsidR="009D46E6" w:rsidRPr="00DB1559" w:rsidRDefault="009D46E6" w:rsidP="00866283">
            <w:pPr>
              <w:spacing w:after="0" w:line="240" w:lineRule="auto"/>
              <w:jc w:val="center"/>
              <w:rPr>
                <w:rFonts w:cs="Tahoma"/>
                <w:bCs/>
                <w:color w:val="008CCD"/>
                <w:sz w:val="16"/>
                <w:szCs w:val="16"/>
              </w:rPr>
            </w:pPr>
            <w:r w:rsidRPr="00DB1559">
              <w:rPr>
                <w:rFonts w:cs="Tahoma"/>
                <w:bCs/>
                <w:color w:val="008CCD"/>
                <w:sz w:val="16"/>
                <w:szCs w:val="16"/>
              </w:rPr>
              <w:t>Certifikované výdaje</w:t>
            </w:r>
          </w:p>
        </w:tc>
      </w:tr>
      <w:tr w:rsidR="009D46E6" w:rsidRPr="00DB1559" w:rsidTr="00866283">
        <w:trPr>
          <w:trHeight w:val="226"/>
          <w:jc w:val="center"/>
        </w:trPr>
        <w:tc>
          <w:tcPr>
            <w:tcW w:w="1134" w:type="dxa"/>
            <w:vMerge/>
            <w:tcBorders>
              <w:bottom w:val="single" w:sz="4" w:space="0" w:color="404040"/>
            </w:tcBorders>
            <w:vAlign w:val="center"/>
          </w:tcPr>
          <w:p w:rsidR="009D46E6" w:rsidRPr="00DB1559" w:rsidRDefault="009D46E6" w:rsidP="00866283">
            <w:pPr>
              <w:spacing w:after="0" w:line="240" w:lineRule="auto"/>
              <w:jc w:val="center"/>
              <w:rPr>
                <w:rFonts w:cs="Tahoma"/>
                <w:bCs/>
                <w:color w:val="008CCD"/>
                <w:sz w:val="16"/>
                <w:szCs w:val="16"/>
              </w:rPr>
            </w:pPr>
          </w:p>
        </w:tc>
        <w:tc>
          <w:tcPr>
            <w:tcW w:w="1020" w:type="dxa"/>
            <w:vMerge/>
            <w:tcBorders>
              <w:bottom w:val="single" w:sz="4" w:space="0" w:color="404040"/>
            </w:tcBorders>
            <w:vAlign w:val="center"/>
          </w:tcPr>
          <w:p w:rsidR="009D46E6" w:rsidRPr="00DB1559" w:rsidRDefault="009D46E6" w:rsidP="00866283">
            <w:pPr>
              <w:spacing w:after="0" w:line="240" w:lineRule="auto"/>
              <w:jc w:val="center"/>
              <w:rPr>
                <w:rFonts w:cs="Tahoma"/>
                <w:bCs/>
                <w:color w:val="008CCD"/>
                <w:sz w:val="16"/>
                <w:szCs w:val="16"/>
              </w:rPr>
            </w:pPr>
          </w:p>
        </w:tc>
        <w:tc>
          <w:tcPr>
            <w:tcW w:w="680"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Počet</w:t>
            </w:r>
          </w:p>
        </w:tc>
        <w:tc>
          <w:tcPr>
            <w:tcW w:w="1020"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[mil. Kč]</w:t>
            </w:r>
          </w:p>
        </w:tc>
        <w:tc>
          <w:tcPr>
            <w:tcW w:w="1021"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 alokace]</w:t>
            </w:r>
          </w:p>
        </w:tc>
        <w:tc>
          <w:tcPr>
            <w:tcW w:w="680"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Počet</w:t>
            </w:r>
          </w:p>
        </w:tc>
        <w:tc>
          <w:tcPr>
            <w:tcW w:w="1020"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[mil. Kč]</w:t>
            </w:r>
          </w:p>
        </w:tc>
        <w:tc>
          <w:tcPr>
            <w:tcW w:w="1021"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 alokace]</w:t>
            </w:r>
          </w:p>
        </w:tc>
        <w:tc>
          <w:tcPr>
            <w:tcW w:w="1020"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[mil. Kč]</w:t>
            </w:r>
          </w:p>
        </w:tc>
        <w:tc>
          <w:tcPr>
            <w:tcW w:w="1021"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 alokace]</w:t>
            </w:r>
          </w:p>
        </w:tc>
      </w:tr>
      <w:tr w:rsidR="009D46E6" w:rsidRPr="00DB1559" w:rsidTr="00866283">
        <w:trPr>
          <w:trHeight w:val="226"/>
          <w:jc w:val="center"/>
        </w:trPr>
        <w:tc>
          <w:tcPr>
            <w:tcW w:w="1134" w:type="dxa"/>
            <w:tcBorders>
              <w:top w:val="single" w:sz="4" w:space="0" w:color="404040"/>
            </w:tcBorders>
            <w:vAlign w:val="center"/>
          </w:tcPr>
          <w:p w:rsidR="009D46E6" w:rsidRPr="00DB1559" w:rsidRDefault="009D46E6" w:rsidP="00866283">
            <w:pPr>
              <w:spacing w:after="0" w:line="240" w:lineRule="auto"/>
              <w:jc w:val="left"/>
              <w:rPr>
                <w:rFonts w:cs="Tahoma"/>
                <w:color w:val="C3003C"/>
                <w:sz w:val="16"/>
                <w:szCs w:val="16"/>
              </w:rPr>
            </w:pPr>
            <w:r w:rsidRPr="00DB1559">
              <w:rPr>
                <w:rFonts w:cs="Tahoma"/>
                <w:bCs/>
                <w:color w:val="C3003C"/>
                <w:sz w:val="16"/>
                <w:szCs w:val="16"/>
              </w:rPr>
              <w:t xml:space="preserve">PO1 </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20 766,9</w:t>
            </w:r>
          </w:p>
        </w:tc>
        <w:tc>
          <w:tcPr>
            <w:tcW w:w="680" w:type="dxa"/>
            <w:tcBorders>
              <w:top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bCs/>
                <w:color w:val="C3003C"/>
                <w:sz w:val="16"/>
                <w:szCs w:val="16"/>
              </w:rPr>
              <w:t xml:space="preserve">15 </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bCs/>
                <w:color w:val="C3003C"/>
                <w:sz w:val="16"/>
                <w:szCs w:val="16"/>
              </w:rPr>
              <w:t xml:space="preserve">23 945,0 </w:t>
            </w:r>
          </w:p>
        </w:tc>
        <w:tc>
          <w:tcPr>
            <w:tcW w:w="1021" w:type="dxa"/>
            <w:tcBorders>
              <w:top w:val="single" w:sz="4" w:space="0" w:color="404040"/>
            </w:tcBorders>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115,3</w:t>
            </w:r>
          </w:p>
        </w:tc>
        <w:tc>
          <w:tcPr>
            <w:tcW w:w="680" w:type="dxa"/>
            <w:tcBorders>
              <w:top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bCs/>
                <w:color w:val="C3003C"/>
                <w:sz w:val="16"/>
                <w:szCs w:val="16"/>
              </w:rPr>
              <w:t xml:space="preserve">8 </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bCs/>
                <w:color w:val="C3003C"/>
                <w:sz w:val="16"/>
                <w:szCs w:val="16"/>
              </w:rPr>
              <w:t>20 175,4</w:t>
            </w:r>
          </w:p>
        </w:tc>
        <w:tc>
          <w:tcPr>
            <w:tcW w:w="1021" w:type="dxa"/>
            <w:tcBorders>
              <w:top w:val="single" w:sz="4" w:space="0" w:color="404040"/>
            </w:tcBorders>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97,2</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bCs/>
                <w:color w:val="C3003C"/>
                <w:sz w:val="16"/>
                <w:szCs w:val="16"/>
              </w:rPr>
              <w:t>1 001,2</w:t>
            </w:r>
          </w:p>
        </w:tc>
        <w:tc>
          <w:tcPr>
            <w:tcW w:w="1021" w:type="dxa"/>
            <w:tcBorders>
              <w:top w:val="single" w:sz="4" w:space="0" w:color="404040"/>
            </w:tcBorders>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4,8</w:t>
            </w:r>
          </w:p>
        </w:tc>
      </w:tr>
      <w:tr w:rsidR="009D46E6" w:rsidRPr="00DB1559" w:rsidTr="00866283">
        <w:trPr>
          <w:trHeight w:val="226"/>
          <w:jc w:val="center"/>
        </w:trPr>
        <w:tc>
          <w:tcPr>
            <w:tcW w:w="1134" w:type="dxa"/>
            <w:vAlign w:val="center"/>
          </w:tcPr>
          <w:p w:rsidR="009D46E6" w:rsidRPr="00DB1559" w:rsidRDefault="009D46E6" w:rsidP="00866283">
            <w:pPr>
              <w:spacing w:after="0" w:line="240" w:lineRule="auto"/>
              <w:jc w:val="left"/>
              <w:rPr>
                <w:rFonts w:cs="Tahoma"/>
                <w:color w:val="C3003C"/>
                <w:sz w:val="16"/>
                <w:szCs w:val="16"/>
              </w:rPr>
            </w:pPr>
            <w:r w:rsidRPr="00DB1559">
              <w:rPr>
                <w:rFonts w:cs="Tahoma"/>
                <w:bCs/>
                <w:color w:val="C3003C"/>
                <w:sz w:val="16"/>
                <w:szCs w:val="16"/>
              </w:rPr>
              <w:t xml:space="preserve">PO2 </w:t>
            </w:r>
          </w:p>
        </w:tc>
        <w:tc>
          <w:tcPr>
            <w:tcW w:w="1020" w:type="dxa"/>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20 666,7</w:t>
            </w:r>
          </w:p>
        </w:tc>
        <w:tc>
          <w:tcPr>
            <w:tcW w:w="680" w:type="dxa"/>
            <w:vAlign w:val="center"/>
          </w:tcPr>
          <w:p w:rsidR="009D46E6" w:rsidRPr="00DB1559" w:rsidRDefault="009D46E6" w:rsidP="00866283">
            <w:pPr>
              <w:spacing w:after="0" w:line="240" w:lineRule="auto"/>
              <w:jc w:val="right"/>
              <w:rPr>
                <w:rFonts w:cs="Tahoma"/>
                <w:color w:val="C3003C"/>
                <w:sz w:val="16"/>
                <w:szCs w:val="16"/>
              </w:rPr>
            </w:pPr>
            <w:r w:rsidRPr="00DB1559">
              <w:rPr>
                <w:rFonts w:cs="Tahoma"/>
                <w:bCs/>
                <w:color w:val="C3003C"/>
                <w:sz w:val="16"/>
                <w:szCs w:val="16"/>
              </w:rPr>
              <w:t xml:space="preserve">103 </w:t>
            </w:r>
          </w:p>
        </w:tc>
        <w:tc>
          <w:tcPr>
            <w:tcW w:w="1020" w:type="dxa"/>
            <w:vAlign w:val="center"/>
          </w:tcPr>
          <w:p w:rsidR="009D46E6" w:rsidRPr="00DB1559" w:rsidRDefault="009D46E6" w:rsidP="00866283">
            <w:pPr>
              <w:spacing w:after="0" w:line="240" w:lineRule="auto"/>
              <w:jc w:val="right"/>
              <w:rPr>
                <w:rFonts w:cs="Tahoma"/>
                <w:color w:val="C3003C"/>
                <w:sz w:val="16"/>
                <w:szCs w:val="16"/>
              </w:rPr>
            </w:pPr>
            <w:r w:rsidRPr="00DB1559">
              <w:rPr>
                <w:rFonts w:cs="Tahoma"/>
                <w:bCs/>
                <w:color w:val="C3003C"/>
                <w:sz w:val="16"/>
                <w:szCs w:val="16"/>
              </w:rPr>
              <w:t xml:space="preserve">50 674,3 </w:t>
            </w:r>
          </w:p>
        </w:tc>
        <w:tc>
          <w:tcPr>
            <w:tcW w:w="1021" w:type="dxa"/>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245,2</w:t>
            </w:r>
          </w:p>
        </w:tc>
        <w:tc>
          <w:tcPr>
            <w:tcW w:w="680" w:type="dxa"/>
            <w:vAlign w:val="center"/>
          </w:tcPr>
          <w:p w:rsidR="009D46E6" w:rsidRPr="00DB1559" w:rsidRDefault="009D46E6" w:rsidP="00866283">
            <w:pPr>
              <w:spacing w:after="0" w:line="240" w:lineRule="auto"/>
              <w:jc w:val="right"/>
              <w:rPr>
                <w:rFonts w:cs="Tahoma"/>
                <w:color w:val="C3003C"/>
                <w:sz w:val="16"/>
                <w:szCs w:val="16"/>
              </w:rPr>
            </w:pPr>
            <w:r w:rsidRPr="00DB1559">
              <w:rPr>
                <w:rFonts w:cs="Tahoma"/>
                <w:bCs/>
                <w:color w:val="C3003C"/>
                <w:sz w:val="16"/>
                <w:szCs w:val="16"/>
              </w:rPr>
              <w:t xml:space="preserve">40 </w:t>
            </w:r>
          </w:p>
        </w:tc>
        <w:tc>
          <w:tcPr>
            <w:tcW w:w="1020" w:type="dxa"/>
            <w:vAlign w:val="center"/>
          </w:tcPr>
          <w:p w:rsidR="009D46E6" w:rsidRPr="00DB1559" w:rsidRDefault="009D46E6" w:rsidP="00866283">
            <w:pPr>
              <w:spacing w:after="0" w:line="240" w:lineRule="auto"/>
              <w:jc w:val="right"/>
              <w:rPr>
                <w:rFonts w:cs="Tahoma"/>
                <w:color w:val="C3003C"/>
                <w:sz w:val="16"/>
                <w:szCs w:val="16"/>
              </w:rPr>
            </w:pPr>
            <w:r w:rsidRPr="00DB1559">
              <w:rPr>
                <w:rFonts w:cs="Tahoma"/>
                <w:bCs/>
                <w:color w:val="C3003C"/>
                <w:sz w:val="16"/>
                <w:szCs w:val="16"/>
              </w:rPr>
              <w:t>20 373,9</w:t>
            </w:r>
          </w:p>
        </w:tc>
        <w:tc>
          <w:tcPr>
            <w:tcW w:w="1021" w:type="dxa"/>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98,6</w:t>
            </w:r>
          </w:p>
        </w:tc>
        <w:tc>
          <w:tcPr>
            <w:tcW w:w="1020" w:type="dxa"/>
            <w:vAlign w:val="center"/>
          </w:tcPr>
          <w:p w:rsidR="009D46E6" w:rsidRPr="00DB1559" w:rsidRDefault="009D46E6" w:rsidP="00866283">
            <w:pPr>
              <w:spacing w:after="0" w:line="240" w:lineRule="auto"/>
              <w:jc w:val="right"/>
              <w:rPr>
                <w:rFonts w:cs="Tahoma"/>
                <w:color w:val="C3003C"/>
                <w:sz w:val="16"/>
                <w:szCs w:val="16"/>
              </w:rPr>
            </w:pPr>
            <w:r w:rsidRPr="00DB1559">
              <w:rPr>
                <w:rFonts w:cs="Tahoma"/>
                <w:bCs/>
                <w:color w:val="C3003C"/>
                <w:sz w:val="16"/>
                <w:szCs w:val="16"/>
              </w:rPr>
              <w:t>4 466,4</w:t>
            </w:r>
          </w:p>
        </w:tc>
        <w:tc>
          <w:tcPr>
            <w:tcW w:w="1021" w:type="dxa"/>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21,6</w:t>
            </w:r>
          </w:p>
        </w:tc>
      </w:tr>
      <w:tr w:rsidR="009D46E6" w:rsidRPr="00DB1559" w:rsidTr="00866283">
        <w:trPr>
          <w:trHeight w:val="226"/>
          <w:jc w:val="center"/>
        </w:trPr>
        <w:tc>
          <w:tcPr>
            <w:tcW w:w="1134" w:type="dxa"/>
            <w:vAlign w:val="center"/>
          </w:tcPr>
          <w:p w:rsidR="009D46E6" w:rsidRPr="00DB1559" w:rsidRDefault="009D46E6" w:rsidP="00866283">
            <w:pPr>
              <w:spacing w:after="0" w:line="240" w:lineRule="auto"/>
              <w:jc w:val="left"/>
              <w:rPr>
                <w:rFonts w:cs="Tahoma"/>
                <w:color w:val="C3003C"/>
                <w:sz w:val="16"/>
                <w:szCs w:val="16"/>
              </w:rPr>
            </w:pPr>
            <w:r w:rsidRPr="00DB1559">
              <w:rPr>
                <w:rFonts w:cs="Tahoma"/>
                <w:bCs/>
                <w:color w:val="C3003C"/>
                <w:sz w:val="16"/>
                <w:szCs w:val="16"/>
              </w:rPr>
              <w:t xml:space="preserve">PO3 </w:t>
            </w:r>
          </w:p>
        </w:tc>
        <w:tc>
          <w:tcPr>
            <w:tcW w:w="1020" w:type="dxa"/>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6 457,6</w:t>
            </w:r>
          </w:p>
        </w:tc>
        <w:tc>
          <w:tcPr>
            <w:tcW w:w="680" w:type="dxa"/>
            <w:vAlign w:val="center"/>
          </w:tcPr>
          <w:p w:rsidR="009D46E6" w:rsidRPr="00DB1559" w:rsidRDefault="009D46E6" w:rsidP="00866283">
            <w:pPr>
              <w:spacing w:after="0" w:line="240" w:lineRule="auto"/>
              <w:jc w:val="right"/>
              <w:rPr>
                <w:rFonts w:cs="Tahoma"/>
                <w:color w:val="C3003C"/>
                <w:sz w:val="16"/>
                <w:szCs w:val="16"/>
              </w:rPr>
            </w:pPr>
            <w:r w:rsidRPr="00DB1559">
              <w:rPr>
                <w:rFonts w:cs="Tahoma"/>
                <w:bCs/>
                <w:color w:val="C3003C"/>
                <w:sz w:val="16"/>
                <w:szCs w:val="16"/>
              </w:rPr>
              <w:t xml:space="preserve">134 </w:t>
            </w:r>
          </w:p>
        </w:tc>
        <w:tc>
          <w:tcPr>
            <w:tcW w:w="1020" w:type="dxa"/>
            <w:vAlign w:val="center"/>
          </w:tcPr>
          <w:p w:rsidR="009D46E6" w:rsidRPr="00DB1559" w:rsidRDefault="009D46E6" w:rsidP="00866283">
            <w:pPr>
              <w:spacing w:after="0" w:line="240" w:lineRule="auto"/>
              <w:jc w:val="right"/>
              <w:rPr>
                <w:rFonts w:cs="Tahoma"/>
                <w:color w:val="C3003C"/>
                <w:sz w:val="16"/>
                <w:szCs w:val="16"/>
              </w:rPr>
            </w:pPr>
            <w:r w:rsidRPr="00DB1559">
              <w:rPr>
                <w:rFonts w:cs="Tahoma"/>
                <w:bCs/>
                <w:color w:val="C3003C"/>
                <w:sz w:val="16"/>
                <w:szCs w:val="16"/>
              </w:rPr>
              <w:t>10 681,3</w:t>
            </w:r>
          </w:p>
        </w:tc>
        <w:tc>
          <w:tcPr>
            <w:tcW w:w="1021" w:type="dxa"/>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165,4</w:t>
            </w:r>
          </w:p>
        </w:tc>
        <w:tc>
          <w:tcPr>
            <w:tcW w:w="680" w:type="dxa"/>
            <w:vAlign w:val="center"/>
          </w:tcPr>
          <w:p w:rsidR="009D46E6" w:rsidRPr="00DB1559" w:rsidRDefault="009D46E6" w:rsidP="00866283">
            <w:pPr>
              <w:spacing w:after="0" w:line="240" w:lineRule="auto"/>
              <w:jc w:val="right"/>
              <w:rPr>
                <w:rFonts w:cs="Tahoma"/>
                <w:color w:val="C3003C"/>
                <w:sz w:val="16"/>
                <w:szCs w:val="16"/>
              </w:rPr>
            </w:pPr>
            <w:r w:rsidRPr="00DB1559">
              <w:rPr>
                <w:rFonts w:cs="Tahoma"/>
                <w:bCs/>
                <w:color w:val="C3003C"/>
                <w:sz w:val="16"/>
                <w:szCs w:val="16"/>
              </w:rPr>
              <w:t xml:space="preserve">40 </w:t>
            </w:r>
          </w:p>
        </w:tc>
        <w:tc>
          <w:tcPr>
            <w:tcW w:w="1020" w:type="dxa"/>
            <w:vAlign w:val="center"/>
          </w:tcPr>
          <w:p w:rsidR="009D46E6" w:rsidRPr="00DB1559" w:rsidRDefault="009D46E6" w:rsidP="00866283">
            <w:pPr>
              <w:spacing w:after="0" w:line="240" w:lineRule="auto"/>
              <w:jc w:val="right"/>
              <w:rPr>
                <w:rFonts w:cs="Tahoma"/>
                <w:color w:val="C3003C"/>
                <w:sz w:val="16"/>
                <w:szCs w:val="16"/>
              </w:rPr>
            </w:pPr>
            <w:r w:rsidRPr="00DB1559">
              <w:rPr>
                <w:rFonts w:cs="Tahoma"/>
                <w:bCs/>
                <w:color w:val="C3003C"/>
                <w:sz w:val="16"/>
                <w:szCs w:val="16"/>
              </w:rPr>
              <w:t>4 646,5</w:t>
            </w:r>
          </w:p>
        </w:tc>
        <w:tc>
          <w:tcPr>
            <w:tcW w:w="1021" w:type="dxa"/>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72,0</w:t>
            </w:r>
          </w:p>
        </w:tc>
        <w:tc>
          <w:tcPr>
            <w:tcW w:w="1020" w:type="dxa"/>
            <w:vAlign w:val="center"/>
          </w:tcPr>
          <w:p w:rsidR="009D46E6" w:rsidRPr="00DB1559" w:rsidRDefault="009D46E6" w:rsidP="00866283">
            <w:pPr>
              <w:spacing w:after="0" w:line="240" w:lineRule="auto"/>
              <w:jc w:val="right"/>
              <w:rPr>
                <w:rFonts w:cs="Tahoma"/>
                <w:color w:val="C3003C"/>
                <w:sz w:val="16"/>
                <w:szCs w:val="16"/>
              </w:rPr>
            </w:pPr>
            <w:r w:rsidRPr="00DB1559">
              <w:rPr>
                <w:rFonts w:cs="Tahoma"/>
                <w:bCs/>
                <w:color w:val="C3003C"/>
                <w:sz w:val="16"/>
                <w:szCs w:val="16"/>
              </w:rPr>
              <w:t>594,8</w:t>
            </w:r>
          </w:p>
        </w:tc>
        <w:tc>
          <w:tcPr>
            <w:tcW w:w="1021" w:type="dxa"/>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9,2</w:t>
            </w:r>
          </w:p>
        </w:tc>
      </w:tr>
      <w:tr w:rsidR="009D46E6" w:rsidRPr="00DB1559" w:rsidTr="00866283">
        <w:trPr>
          <w:trHeight w:val="226"/>
          <w:jc w:val="center"/>
        </w:trPr>
        <w:tc>
          <w:tcPr>
            <w:tcW w:w="1134" w:type="dxa"/>
            <w:tcBorders>
              <w:bottom w:val="single" w:sz="4" w:space="0" w:color="404040"/>
            </w:tcBorders>
            <w:vAlign w:val="center"/>
          </w:tcPr>
          <w:p w:rsidR="009D46E6" w:rsidRPr="00DB1559" w:rsidRDefault="009D46E6" w:rsidP="00866283">
            <w:pPr>
              <w:spacing w:after="0" w:line="240" w:lineRule="auto"/>
              <w:jc w:val="left"/>
              <w:rPr>
                <w:rFonts w:cs="Tahoma"/>
                <w:color w:val="C3003C"/>
                <w:sz w:val="16"/>
                <w:szCs w:val="16"/>
              </w:rPr>
            </w:pPr>
            <w:r w:rsidRPr="00DB1559">
              <w:rPr>
                <w:rFonts w:cs="Tahoma"/>
                <w:bCs/>
                <w:color w:val="C3003C"/>
                <w:sz w:val="16"/>
                <w:szCs w:val="16"/>
              </w:rPr>
              <w:t xml:space="preserve">PO4 </w:t>
            </w:r>
          </w:p>
        </w:tc>
        <w:tc>
          <w:tcPr>
            <w:tcW w:w="1020" w:type="dxa"/>
            <w:tcBorders>
              <w:bottom w:val="single" w:sz="4" w:space="0" w:color="404040"/>
            </w:tcBorders>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12 502,9</w:t>
            </w:r>
          </w:p>
        </w:tc>
        <w:tc>
          <w:tcPr>
            <w:tcW w:w="680" w:type="dxa"/>
            <w:tcBorders>
              <w:bottom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bCs/>
                <w:color w:val="C3003C"/>
                <w:sz w:val="16"/>
                <w:szCs w:val="16"/>
              </w:rPr>
              <w:t xml:space="preserve">61 </w:t>
            </w:r>
          </w:p>
        </w:tc>
        <w:tc>
          <w:tcPr>
            <w:tcW w:w="1020" w:type="dxa"/>
            <w:tcBorders>
              <w:bottom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bCs/>
                <w:color w:val="C3003C"/>
                <w:sz w:val="16"/>
                <w:szCs w:val="16"/>
              </w:rPr>
              <w:t xml:space="preserve">15 829,8 </w:t>
            </w:r>
          </w:p>
        </w:tc>
        <w:tc>
          <w:tcPr>
            <w:tcW w:w="1021" w:type="dxa"/>
            <w:tcBorders>
              <w:bottom w:val="single" w:sz="4" w:space="0" w:color="404040"/>
            </w:tcBorders>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126,6</w:t>
            </w:r>
          </w:p>
        </w:tc>
        <w:tc>
          <w:tcPr>
            <w:tcW w:w="680" w:type="dxa"/>
            <w:tcBorders>
              <w:bottom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bCs/>
                <w:color w:val="C3003C"/>
                <w:sz w:val="16"/>
                <w:szCs w:val="16"/>
              </w:rPr>
              <w:t xml:space="preserve">41 </w:t>
            </w:r>
          </w:p>
        </w:tc>
        <w:tc>
          <w:tcPr>
            <w:tcW w:w="1020" w:type="dxa"/>
            <w:tcBorders>
              <w:bottom w:val="single" w:sz="4" w:space="0" w:color="404040"/>
            </w:tcBorders>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10 565,4</w:t>
            </w:r>
          </w:p>
        </w:tc>
        <w:tc>
          <w:tcPr>
            <w:tcW w:w="1021" w:type="dxa"/>
            <w:tcBorders>
              <w:bottom w:val="single" w:sz="4" w:space="0" w:color="404040"/>
            </w:tcBorders>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84,5</w:t>
            </w:r>
          </w:p>
        </w:tc>
        <w:tc>
          <w:tcPr>
            <w:tcW w:w="1020" w:type="dxa"/>
            <w:tcBorders>
              <w:bottom w:val="single" w:sz="4" w:space="0" w:color="404040"/>
            </w:tcBorders>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2 574,4</w:t>
            </w:r>
          </w:p>
        </w:tc>
        <w:tc>
          <w:tcPr>
            <w:tcW w:w="1021" w:type="dxa"/>
            <w:tcBorders>
              <w:bottom w:val="single" w:sz="4" w:space="0" w:color="404040"/>
            </w:tcBorders>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20,6</w:t>
            </w:r>
          </w:p>
        </w:tc>
      </w:tr>
      <w:tr w:rsidR="009D46E6" w:rsidRPr="00DB1559" w:rsidTr="00866283">
        <w:trPr>
          <w:trHeight w:val="226"/>
          <w:jc w:val="center"/>
        </w:trPr>
        <w:tc>
          <w:tcPr>
            <w:tcW w:w="1134" w:type="dxa"/>
            <w:tcBorders>
              <w:top w:val="single" w:sz="4" w:space="0" w:color="404040"/>
            </w:tcBorders>
            <w:vAlign w:val="center"/>
          </w:tcPr>
          <w:p w:rsidR="009D46E6" w:rsidRPr="00DB1559" w:rsidRDefault="009D46E6" w:rsidP="00866283">
            <w:pPr>
              <w:spacing w:after="0" w:line="240" w:lineRule="auto"/>
              <w:jc w:val="left"/>
              <w:rPr>
                <w:rFonts w:cs="Tahoma"/>
                <w:color w:val="7F7F7F"/>
                <w:sz w:val="16"/>
                <w:szCs w:val="16"/>
              </w:rPr>
            </w:pPr>
            <w:r w:rsidRPr="00DB1559">
              <w:rPr>
                <w:rFonts w:cs="Tahoma"/>
                <w:bCs/>
                <w:color w:val="7F7F7F"/>
                <w:sz w:val="16"/>
                <w:szCs w:val="16"/>
              </w:rPr>
              <w:t xml:space="preserve">OP celkem </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bCs/>
                <w:color w:val="7F7F7F"/>
                <w:sz w:val="16"/>
                <w:szCs w:val="16"/>
              </w:rPr>
            </w:pPr>
            <w:r w:rsidRPr="00DB1559">
              <w:rPr>
                <w:rFonts w:cs="Tahoma"/>
                <w:bCs/>
                <w:color w:val="7F7F7F"/>
                <w:sz w:val="16"/>
                <w:szCs w:val="16"/>
              </w:rPr>
              <w:t>62 581,6</w:t>
            </w:r>
          </w:p>
        </w:tc>
        <w:tc>
          <w:tcPr>
            <w:tcW w:w="680" w:type="dxa"/>
            <w:tcBorders>
              <w:top w:val="single" w:sz="4" w:space="0" w:color="404040"/>
            </w:tcBorders>
            <w:vAlign w:val="center"/>
          </w:tcPr>
          <w:p w:rsidR="009D46E6" w:rsidRPr="00DB1559" w:rsidRDefault="009D46E6" w:rsidP="00866283">
            <w:pPr>
              <w:spacing w:after="0" w:line="240" w:lineRule="auto"/>
              <w:jc w:val="right"/>
              <w:rPr>
                <w:rFonts w:cs="Tahoma"/>
                <w:color w:val="7F7F7F"/>
                <w:sz w:val="16"/>
                <w:szCs w:val="16"/>
              </w:rPr>
            </w:pPr>
            <w:r w:rsidRPr="00DB1559">
              <w:rPr>
                <w:rFonts w:cs="Tahoma"/>
                <w:bCs/>
                <w:color w:val="7F7F7F"/>
                <w:sz w:val="16"/>
                <w:szCs w:val="16"/>
              </w:rPr>
              <w:t xml:space="preserve">329 </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color w:val="7F7F7F"/>
                <w:sz w:val="16"/>
                <w:szCs w:val="16"/>
              </w:rPr>
            </w:pPr>
            <w:r w:rsidRPr="00DB1559">
              <w:rPr>
                <w:rFonts w:cs="Tahoma"/>
                <w:bCs/>
                <w:color w:val="7F7F7F"/>
                <w:sz w:val="16"/>
                <w:szCs w:val="16"/>
              </w:rPr>
              <w:t>102 618,3</w:t>
            </w:r>
          </w:p>
        </w:tc>
        <w:tc>
          <w:tcPr>
            <w:tcW w:w="1021" w:type="dxa"/>
            <w:tcBorders>
              <w:top w:val="single" w:sz="4" w:space="0" w:color="404040"/>
            </w:tcBorders>
            <w:vAlign w:val="center"/>
          </w:tcPr>
          <w:p w:rsidR="009D46E6" w:rsidRPr="00DB1559" w:rsidRDefault="009D46E6" w:rsidP="00866283">
            <w:pPr>
              <w:spacing w:after="0" w:line="240" w:lineRule="auto"/>
              <w:jc w:val="right"/>
              <w:rPr>
                <w:rFonts w:cs="Tahoma"/>
                <w:color w:val="7F7F7F"/>
                <w:sz w:val="16"/>
                <w:szCs w:val="16"/>
              </w:rPr>
            </w:pPr>
            <w:r w:rsidRPr="00DB1559">
              <w:rPr>
                <w:rFonts w:cs="Tahoma"/>
                <w:bCs/>
                <w:color w:val="7F7F7F"/>
                <w:sz w:val="16"/>
                <w:szCs w:val="16"/>
              </w:rPr>
              <w:t>164,0</w:t>
            </w:r>
          </w:p>
        </w:tc>
        <w:tc>
          <w:tcPr>
            <w:tcW w:w="680" w:type="dxa"/>
            <w:tcBorders>
              <w:top w:val="single" w:sz="4" w:space="0" w:color="404040"/>
            </w:tcBorders>
            <w:vAlign w:val="center"/>
          </w:tcPr>
          <w:p w:rsidR="009D46E6" w:rsidRPr="00DB1559" w:rsidRDefault="009D46E6" w:rsidP="00866283">
            <w:pPr>
              <w:spacing w:after="0" w:line="240" w:lineRule="auto"/>
              <w:jc w:val="right"/>
              <w:rPr>
                <w:rFonts w:cs="Tahoma"/>
                <w:color w:val="7F7F7F"/>
                <w:sz w:val="16"/>
                <w:szCs w:val="16"/>
              </w:rPr>
            </w:pPr>
            <w:r w:rsidRPr="00DB1559">
              <w:rPr>
                <w:rFonts w:cs="Tahoma"/>
                <w:bCs/>
                <w:color w:val="7F7F7F"/>
                <w:sz w:val="16"/>
                <w:szCs w:val="16"/>
              </w:rPr>
              <w:t xml:space="preserve">143 </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bCs/>
                <w:color w:val="7F7F7F"/>
                <w:sz w:val="16"/>
                <w:szCs w:val="16"/>
              </w:rPr>
            </w:pPr>
            <w:r w:rsidRPr="00DB1559">
              <w:rPr>
                <w:rFonts w:cs="Tahoma"/>
                <w:bCs/>
                <w:color w:val="7F7F7F"/>
                <w:sz w:val="16"/>
                <w:szCs w:val="16"/>
              </w:rPr>
              <w:t>57 033,8</w:t>
            </w:r>
          </w:p>
        </w:tc>
        <w:tc>
          <w:tcPr>
            <w:tcW w:w="1021" w:type="dxa"/>
            <w:tcBorders>
              <w:top w:val="single" w:sz="4" w:space="0" w:color="404040"/>
            </w:tcBorders>
            <w:vAlign w:val="center"/>
          </w:tcPr>
          <w:p w:rsidR="009D46E6" w:rsidRPr="00DB1559" w:rsidRDefault="009D46E6" w:rsidP="00866283">
            <w:pPr>
              <w:spacing w:after="0" w:line="240" w:lineRule="auto"/>
              <w:jc w:val="right"/>
              <w:rPr>
                <w:rFonts w:cs="Tahoma"/>
                <w:bCs/>
                <w:color w:val="7F7F7F"/>
                <w:sz w:val="16"/>
                <w:szCs w:val="16"/>
              </w:rPr>
            </w:pPr>
            <w:r w:rsidRPr="00DB1559">
              <w:rPr>
                <w:rFonts w:cs="Tahoma"/>
                <w:bCs/>
                <w:color w:val="7F7F7F"/>
                <w:sz w:val="16"/>
                <w:szCs w:val="16"/>
              </w:rPr>
              <w:t>91,1</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bCs/>
                <w:color w:val="7F7F7F"/>
                <w:sz w:val="16"/>
                <w:szCs w:val="16"/>
              </w:rPr>
            </w:pPr>
            <w:r w:rsidRPr="00DB1559">
              <w:rPr>
                <w:rFonts w:cs="Tahoma"/>
                <w:bCs/>
                <w:color w:val="7F7F7F"/>
                <w:sz w:val="16"/>
                <w:szCs w:val="16"/>
              </w:rPr>
              <w:t>8 905,7</w:t>
            </w:r>
          </w:p>
        </w:tc>
        <w:tc>
          <w:tcPr>
            <w:tcW w:w="1021" w:type="dxa"/>
            <w:tcBorders>
              <w:top w:val="single" w:sz="4" w:space="0" w:color="404040"/>
            </w:tcBorders>
            <w:vAlign w:val="center"/>
          </w:tcPr>
          <w:p w:rsidR="009D46E6" w:rsidRPr="00DB1559" w:rsidRDefault="009D46E6" w:rsidP="00866283">
            <w:pPr>
              <w:spacing w:after="0" w:line="240" w:lineRule="auto"/>
              <w:jc w:val="right"/>
              <w:rPr>
                <w:rFonts w:cs="Tahoma"/>
                <w:bCs/>
                <w:color w:val="7F7F7F"/>
                <w:sz w:val="16"/>
                <w:szCs w:val="16"/>
              </w:rPr>
            </w:pPr>
            <w:r w:rsidRPr="00DB1559">
              <w:rPr>
                <w:rFonts w:cs="Tahoma"/>
                <w:bCs/>
                <w:color w:val="7F7F7F"/>
                <w:sz w:val="16"/>
                <w:szCs w:val="16"/>
              </w:rPr>
              <w:t>14,2</w:t>
            </w:r>
          </w:p>
        </w:tc>
      </w:tr>
    </w:tbl>
    <w:p w:rsidR="009D46E6" w:rsidRDefault="009D46E6" w:rsidP="00866283">
      <w:pPr>
        <w:pStyle w:val="Zdroj"/>
      </w:pPr>
      <w:r w:rsidRPr="00D43170">
        <w:t xml:space="preserve">Zdroj: </w:t>
      </w:r>
      <w:r>
        <w:t>Monitorovací zpráva za květen 2013 - MMR 2013 [</w:t>
      </w:r>
      <w:hyperlink r:id="rId243" w:history="1">
        <w:r w:rsidRPr="00E60CB6">
          <w:rPr>
            <w:rStyle w:val="Hyperlink"/>
            <w:rFonts w:cs="MetaPro-Normal"/>
          </w:rPr>
          <w:t>http://www.strukturalni-fondy.cz/cs/Informace-o-cerpani</w:t>
        </w:r>
      </w:hyperlink>
      <w:r>
        <w:t>]</w:t>
      </w:r>
    </w:p>
    <w:p w:rsidR="009D46E6" w:rsidRDefault="009D46E6" w:rsidP="00866283"/>
    <w:p w:rsidR="009D46E6" w:rsidRDefault="009D46E6" w:rsidP="00866283">
      <w:r>
        <w:t>K nízkému</w:t>
      </w:r>
      <w:r w:rsidRPr="00C2194D">
        <w:t xml:space="preserve"> stav</w:t>
      </w:r>
      <w:r>
        <w:t>u</w:t>
      </w:r>
      <w:r w:rsidRPr="00C2194D">
        <w:t xml:space="preserve"> čerpání finančních prostředků</w:t>
      </w:r>
      <w:r>
        <w:t xml:space="preserve"> přispělo </w:t>
      </w:r>
      <w:r w:rsidRPr="00C2194D">
        <w:t xml:space="preserve">pozdější schválení OP </w:t>
      </w:r>
      <w:r>
        <w:t>a charakter implementace - velké projekty nad 50 mil. Eur se specifickým procesem schvalování. Právě v</w:t>
      </w:r>
      <w:r w:rsidRPr="001F4567">
        <w:t xml:space="preserve"> PO1 došlo k výraznému zpoždění v procesu schvalování podaných </w:t>
      </w:r>
      <w:r>
        <w:t>žádostí</w:t>
      </w:r>
      <w:r w:rsidRPr="001F4567">
        <w:t>.</w:t>
      </w:r>
      <w:r>
        <w:t xml:space="preserve"> I</w:t>
      </w:r>
      <w:r w:rsidRPr="001F4567">
        <w:t>nfrastrukturní projekt</w:t>
      </w:r>
      <w:r>
        <w:t>y se dostávají</w:t>
      </w:r>
      <w:r w:rsidRPr="001F4567">
        <w:t xml:space="preserve"> do </w:t>
      </w:r>
      <w:r>
        <w:t>značného</w:t>
      </w:r>
      <w:r w:rsidRPr="001F4567">
        <w:t xml:space="preserve"> časového tlaku také kvůli komplikacím při realizaci stavby (veřejné zakázky, odvolávání se vůči výsledkům výběrového řízení). Z hlediska finančního pokroku výrazně zaostává projekt BIOCEV, který byl ke konci roku naplněn pouze </w:t>
      </w:r>
      <w:r>
        <w:t>ze</w:t>
      </w:r>
      <w:r w:rsidRPr="001F4567">
        <w:t xml:space="preserve"> 7 % schváleného rozpočtu (u většiny velkých projektů cca 35%. U PO2 lze identifikovat potenciální </w:t>
      </w:r>
      <w:r>
        <w:t>hrozbu</w:t>
      </w:r>
      <w:r w:rsidRPr="001F4567">
        <w:t xml:space="preserve"> v termínu ukončení čtyř projektů </w:t>
      </w:r>
      <w:r>
        <w:t>do</w:t>
      </w:r>
      <w:r w:rsidRPr="001F4567">
        <w:t xml:space="preserve"> roku 2015 (včetně velkého projektu SUSEN).</w:t>
      </w:r>
      <w:r w:rsidRPr="008B5A00">
        <w:t xml:space="preserve"> Z </w:t>
      </w:r>
      <w:r>
        <w:t>pohledu</w:t>
      </w:r>
      <w:r w:rsidRPr="008B5A00">
        <w:t xml:space="preserve"> prostředků krytých rozhodnutím vykazuje program uspokojivé výsledky. Poptávka po investicích do VaV infrastruktury a vysokého školství je v regionech Česka značná.</w:t>
      </w:r>
    </w:p>
    <w:p w:rsidR="009D46E6" w:rsidRDefault="009D46E6" w:rsidP="00866283">
      <w:r w:rsidRPr="001F4567">
        <w:t xml:space="preserve">Předpoklad plnění cílových hodnot </w:t>
      </w:r>
      <w:r>
        <w:t xml:space="preserve">indikátorů </w:t>
      </w:r>
      <w:r w:rsidRPr="001F4567">
        <w:t>zůstává reálný (</w:t>
      </w:r>
      <w:r>
        <w:t>závazky nad předpokládanými cíli</w:t>
      </w:r>
      <w:r w:rsidRPr="001F4567">
        <w:t>) s výjimkou počet výzkumných pracovníků</w:t>
      </w:r>
      <w:r>
        <w:t xml:space="preserve"> u PO1</w:t>
      </w:r>
      <w:r w:rsidRPr="001F4567">
        <w:t xml:space="preserve"> (závazky odpovídají 75 % cílové hodnoty), neboť příjemci ve svých projektových žádostech vzhledem k povinnosti financovat pracovní místa uvedli nižší počet výzkumníků, než se předpokládalo. Dosud jsou však naplněny zcela minimálně z důvodu toho, že většina projektů se teprve začala realizovat (zejména od roku 2012</w:t>
      </w:r>
      <w:r>
        <w:t>)</w:t>
      </w:r>
      <w:r>
        <w:rPr>
          <w:rStyle w:val="FootnoteReference"/>
          <w:rFonts w:cs="MetaPro-Normal"/>
        </w:rPr>
        <w:footnoteReference w:id="60"/>
      </w:r>
      <w:r w:rsidRPr="001F4567">
        <w:t>. Nezbytné je proto odlišit fázi vzniku fyzické infrastruktury, vzniku předmětných VaV týmů a zahájení jejich činnosti i uvážit následného časového zpoždění výsledků VaV. Naplňování hodnot indikátorů bude nezbytné sledovat individuálně dle fáze jednotlivých projektů, každopádně s větším časovým odstupem</w:t>
      </w:r>
      <w:r>
        <w:rPr>
          <w:rStyle w:val="FootnoteReference"/>
          <w:rFonts w:cs="MetaPro-Normal"/>
        </w:rPr>
        <w:footnoteReference w:id="61"/>
      </w:r>
      <w:r w:rsidRPr="001F4567">
        <w:t>.</w:t>
      </w:r>
    </w:p>
    <w:p w:rsidR="009D46E6" w:rsidRDefault="009D46E6" w:rsidP="00866283">
      <w:r>
        <w:t>OP VaVpI financuje rozsáhlé infrastrukturní projekty realizované z velké většiny vysokými školami (v PO4 prakticky výhradně) a veřejnými výzkumnými institucemi. Obecná koncentrace VaV aktivit, přirozeně i sídel klíčových institucí má za výsledek vzorec, kdy dotace putují k příjemcům se sídlem pouze v 17 obcích Česka s Brnem a Prahou jako nejvýznamnějšími centry. Tyto dvě metropole se odlišují nejen podílem proplacené podpory (Praha 1/3, Brno 2/3), ale i vnitřní strukturou - v Praze prakticky chybí dotace do infrastruktury pro výuku na vysokých školách, zatímco v Brně bylo na tento účel rozděleno (a z velké části i proplaceno) 4,4 mld. Kč. Rozdíl oproti prvním dvěma prioritním osám spočívá v tom, že VaV centra jsou budována na zelené louce a mohou být proto „vystěhována“ za hranice hlavního města. U rozvoje existující infrastruktury VŠ totéž ale možné není.</w:t>
      </w:r>
    </w:p>
    <w:p w:rsidR="009D46E6" w:rsidRPr="00BD5EC7" w:rsidRDefault="009D46E6" w:rsidP="00750D9B">
      <w:pPr>
        <w:pStyle w:val="Caption"/>
      </w:pPr>
      <w:bookmarkStart w:id="249" w:name="_Toc369092097"/>
      <w:r>
        <w:t xml:space="preserve">Graf </w:t>
      </w:r>
      <w:fldSimple w:instr=" STYLEREF 1 \s ">
        <w:r>
          <w:rPr>
            <w:noProof/>
          </w:rPr>
          <w:t>F</w:t>
        </w:r>
      </w:fldSimple>
      <w:r>
        <w:t>.</w:t>
      </w:r>
      <w:fldSimple w:instr=" SEQ Graf \* ARABIC \s 1 ">
        <w:r>
          <w:rPr>
            <w:noProof/>
          </w:rPr>
          <w:t>9</w:t>
        </w:r>
      </w:fldSimple>
      <w:r w:rsidRPr="00BD5EC7">
        <w:t xml:space="preserve">: </w:t>
      </w:r>
      <w:r>
        <w:t>(Proplacená) podpora OP VaVpI</w:t>
      </w:r>
      <w:r w:rsidRPr="00A653FC">
        <w:t xml:space="preserve"> </w:t>
      </w:r>
      <w:r>
        <w:t>dle</w:t>
      </w:r>
      <w:r w:rsidRPr="00A653FC">
        <w:t xml:space="preserve"> </w:t>
      </w:r>
      <w:r>
        <w:t>sídla příjemce</w:t>
      </w:r>
      <w:r w:rsidRPr="00A653FC">
        <w:t xml:space="preserve"> (</w:t>
      </w:r>
      <w:r>
        <w:t>obce</w:t>
      </w:r>
      <w:r w:rsidRPr="00A653FC">
        <w:t xml:space="preserve"> Č</w:t>
      </w:r>
      <w:r>
        <w:t>R</w:t>
      </w:r>
      <w:r w:rsidRPr="00A653FC">
        <w:t>; 200</w:t>
      </w:r>
      <w:r>
        <w:t>8</w:t>
      </w:r>
      <w:r w:rsidRPr="00A653FC">
        <w:t>-2013</w:t>
      </w:r>
      <w:r>
        <w:t>, mld. Kč</w:t>
      </w:r>
      <w:r w:rsidRPr="00A653FC">
        <w:t>)</w:t>
      </w:r>
      <w:bookmarkEnd w:id="249"/>
    </w:p>
    <w:p w:rsidR="009D46E6" w:rsidRDefault="009D46E6" w:rsidP="001D7F37">
      <w:pPr>
        <w:pStyle w:val="Objekt"/>
      </w:pPr>
      <w:r w:rsidRPr="001D1D98">
        <w:pict>
          <v:shape id="Obrázek 378" o:spid="_x0000_i1246" type="#_x0000_t75" style="width:481.8pt;height:303.6pt;visibility:visible">
            <v:imagedata r:id="rId244" o:title=""/>
          </v:shape>
        </w:pict>
      </w:r>
    </w:p>
    <w:p w:rsidR="009D46E6" w:rsidRDefault="009D46E6" w:rsidP="00866283">
      <w:pPr>
        <w:pStyle w:val="Zdroj"/>
      </w:pPr>
      <w:r>
        <w:t>Pozn.: Grafy jsou zobrazeny pouze u obcí s vysokými hodnotami - vlevo výše podpory, vpravo proplacená částka. Podpora na obyvatele přepočtena na obyvatele v produktivním věku (14-65 let). Mezní hodnota je arbitrární.</w:t>
      </w:r>
    </w:p>
    <w:p w:rsidR="009D46E6" w:rsidRPr="00BD5EC7" w:rsidRDefault="009D46E6" w:rsidP="00866283">
      <w:pPr>
        <w:pStyle w:val="Zdroj"/>
      </w:pPr>
      <w:r w:rsidRPr="00BD5EC7">
        <w:t xml:space="preserve">Zdroj: </w:t>
      </w:r>
      <w:r>
        <w:t>Příslušné řídící orgány; vlastní zpracování</w:t>
      </w:r>
    </w:p>
    <w:p w:rsidR="009D46E6" w:rsidRDefault="009D46E6" w:rsidP="00866283"/>
    <w:p w:rsidR="009D46E6" w:rsidRPr="00EE155B" w:rsidRDefault="009D46E6" w:rsidP="00EE155B">
      <w:pPr>
        <w:spacing w:before="240"/>
        <w:rPr>
          <w:b/>
        </w:rPr>
      </w:pPr>
      <w:r w:rsidRPr="00EE155B">
        <w:rPr>
          <w:b/>
        </w:rPr>
        <w:t>OP Vzdělávání pro konkurenceschopnost (OP</w:t>
      </w:r>
      <w:r>
        <w:rPr>
          <w:b/>
        </w:rPr>
        <w:t xml:space="preserve"> </w:t>
      </w:r>
      <w:r w:rsidRPr="00EE155B">
        <w:rPr>
          <w:b/>
        </w:rPr>
        <w:t>VK)</w:t>
      </w:r>
    </w:p>
    <w:p w:rsidR="009D46E6" w:rsidRDefault="009D46E6" w:rsidP="00866283">
      <w:r w:rsidRPr="00C7488E">
        <w:t>Na základě vymezení klíčovýc</w:t>
      </w:r>
      <w:r>
        <w:t xml:space="preserve">h momentů ve vzdělávání byl OPVK rozdělen do pěti prioritních oblastí - přímou vazbu na VaV má však pouze PO2 Terciární vzdělávání, výzkum a vývoj. Ta obsahuje čtyři oblasti podpory - z pohledu VaV jsou zásadní oblasti podpory 2.3 Lidské zdroje ve výzkumu a vývoji a 2.4 Partnerství a sítě. Předmět první jmenované tvoří </w:t>
      </w:r>
      <w:r w:rsidRPr="00EE65C4">
        <w:t>zvýšení atraktivity a zlepšení podmínek pro pracovníky VaV</w:t>
      </w:r>
      <w:r>
        <w:t xml:space="preserve">, druhá se soustředí na </w:t>
      </w:r>
      <w:r w:rsidRPr="00EE65C4">
        <w:t xml:space="preserve">utváření partnerství a spolupráci v sítích mezi </w:t>
      </w:r>
      <w:r>
        <w:t xml:space="preserve">vzdělávacími a VaV institucemi, veřejným a soukromým sektorem za účelem </w:t>
      </w:r>
      <w:r w:rsidRPr="00EE65C4">
        <w:t>podpo</w:t>
      </w:r>
      <w:r>
        <w:t>ry</w:t>
      </w:r>
      <w:r w:rsidRPr="00EE65C4">
        <w:t xml:space="preserve"> efektivní</w:t>
      </w:r>
      <w:r>
        <w:t>ho přenos poznatků</w:t>
      </w:r>
      <w:r w:rsidRPr="00EE65C4">
        <w:t xml:space="preserve"> </w:t>
      </w:r>
      <w:r>
        <w:t xml:space="preserve">do </w:t>
      </w:r>
      <w:r w:rsidRPr="00EE65C4">
        <w:t>inovačních řešení.</w:t>
      </w:r>
    </w:p>
    <w:p w:rsidR="009D46E6" w:rsidRDefault="009D46E6" w:rsidP="00866283">
      <w:r>
        <w:t>Obdobná koncentrace jako u OP VaVpI je patrná i u OPVK - zde do 26 obcí. Ještě posílená dominance Brna je doplněna silnou pozicí Olomouce (prakticky na úrovni Prahy). Univerzita Palackého v Olomouci je zároveň subjektem realizujícím největší počet projektů v OPVK, i souhrnně ve všech pěti programech</w:t>
      </w:r>
      <w:r>
        <w:rPr>
          <w:rStyle w:val="FootnoteReference"/>
          <w:rFonts w:cs="MetaPro-Normal"/>
        </w:rPr>
        <w:footnoteReference w:id="62"/>
      </w:r>
      <w:r>
        <w:t>.</w:t>
      </w:r>
    </w:p>
    <w:p w:rsidR="009D46E6" w:rsidRPr="00BC1D05" w:rsidRDefault="009D46E6" w:rsidP="00750D9B">
      <w:pPr>
        <w:pStyle w:val="Caption"/>
      </w:pPr>
      <w:bookmarkStart w:id="250" w:name="_Toc369091946"/>
      <w:r>
        <w:t xml:space="preserve">Tabulka </w:t>
      </w:r>
      <w:fldSimple w:instr=" STYLEREF 1 \s ">
        <w:r>
          <w:rPr>
            <w:noProof/>
          </w:rPr>
          <w:t>F</w:t>
        </w:r>
      </w:fldSimple>
      <w:r>
        <w:t>.</w:t>
      </w:r>
      <w:fldSimple w:instr=" SEQ Tabulka \* ARABIC \s 1 ">
        <w:r>
          <w:rPr>
            <w:noProof/>
          </w:rPr>
          <w:t>6</w:t>
        </w:r>
      </w:fldSimple>
      <w:r w:rsidRPr="00BC1D05">
        <w:t xml:space="preserve">: </w:t>
      </w:r>
      <w:r>
        <w:t>Základní charakteristiky OPVK</w:t>
      </w:r>
      <w:bookmarkEnd w:id="250"/>
    </w:p>
    <w:tbl>
      <w:tblPr>
        <w:tblW w:w="9638"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28" w:type="dxa"/>
          <w:left w:w="57" w:type="dxa"/>
          <w:bottom w:w="28" w:type="dxa"/>
          <w:right w:w="57" w:type="dxa"/>
        </w:tblCellMar>
        <w:tblLook w:val="00A0"/>
      </w:tblPr>
      <w:tblGrid>
        <w:gridCol w:w="1134"/>
        <w:gridCol w:w="6236"/>
        <w:gridCol w:w="1134"/>
        <w:gridCol w:w="1134"/>
      </w:tblGrid>
      <w:tr w:rsidR="009D46E6" w:rsidRPr="00DB1559" w:rsidTr="00DB1559">
        <w:trPr>
          <w:trHeight w:val="283"/>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Globální cíl/ fond/alokace</w:t>
            </w:r>
          </w:p>
        </w:tc>
        <w:tc>
          <w:tcPr>
            <w:tcW w:w="6236"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Rozvoj vzdělanostní společnosti za účelem posílení konkurenceschopnosti ČR prostřednictvím modernizace systémů vzdělávání a zlepšení podmínek ve VaV</w:t>
            </w:r>
          </w:p>
        </w:tc>
        <w:tc>
          <w:tcPr>
            <w:tcW w:w="1134" w:type="dxa"/>
            <w:vAlign w:val="center"/>
          </w:tcPr>
          <w:p w:rsidR="009D46E6" w:rsidRPr="00DB1559" w:rsidRDefault="009D46E6" w:rsidP="00DB1559">
            <w:pPr>
              <w:spacing w:after="0" w:line="240" w:lineRule="auto"/>
              <w:jc w:val="right"/>
              <w:rPr>
                <w:rFonts w:cs="Tahoma"/>
                <w:sz w:val="16"/>
                <w:szCs w:val="16"/>
              </w:rPr>
            </w:pPr>
            <w:r w:rsidRPr="00DB1559">
              <w:rPr>
                <w:rFonts w:cs="Tahoma"/>
                <w:sz w:val="16"/>
                <w:szCs w:val="16"/>
              </w:rPr>
              <w:t>ESF</w:t>
            </w:r>
          </w:p>
        </w:tc>
        <w:tc>
          <w:tcPr>
            <w:tcW w:w="1134" w:type="dxa"/>
            <w:vAlign w:val="center"/>
          </w:tcPr>
          <w:p w:rsidR="009D46E6" w:rsidRPr="00DB1559" w:rsidRDefault="009D46E6" w:rsidP="00DB1559">
            <w:pPr>
              <w:spacing w:after="0" w:line="240" w:lineRule="auto"/>
              <w:jc w:val="right"/>
              <w:rPr>
                <w:rFonts w:cs="Tahoma"/>
                <w:sz w:val="16"/>
                <w:szCs w:val="16"/>
              </w:rPr>
            </w:pPr>
            <w:r w:rsidRPr="00DB1559">
              <w:rPr>
                <w:rFonts w:cs="Tahoma"/>
                <w:sz w:val="16"/>
                <w:szCs w:val="16"/>
              </w:rPr>
              <w:t>53,9 mld. Kč</w:t>
            </w:r>
          </w:p>
        </w:tc>
      </w:tr>
      <w:tr w:rsidR="009D46E6" w:rsidRPr="00DB1559" w:rsidTr="00DB1559">
        <w:trPr>
          <w:trHeight w:val="283"/>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Prioritní osy/ alokace</w:t>
            </w:r>
          </w:p>
        </w:tc>
        <w:tc>
          <w:tcPr>
            <w:tcW w:w="7370" w:type="dxa"/>
            <w:gridSpan w:val="2"/>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PO1 Počáteční vzdělávání</w:t>
            </w:r>
          </w:p>
          <w:p w:rsidR="009D46E6" w:rsidRPr="00DB1559" w:rsidRDefault="009D46E6" w:rsidP="00DB1559">
            <w:pPr>
              <w:spacing w:after="0" w:line="240" w:lineRule="auto"/>
              <w:jc w:val="left"/>
              <w:rPr>
                <w:rFonts w:cs="Tahoma"/>
                <w:color w:val="C3003C"/>
                <w:sz w:val="16"/>
                <w:szCs w:val="16"/>
              </w:rPr>
            </w:pPr>
            <w:r w:rsidRPr="00DB1559">
              <w:rPr>
                <w:rFonts w:cs="Tahoma"/>
                <w:color w:val="C3003C"/>
                <w:sz w:val="16"/>
                <w:szCs w:val="16"/>
              </w:rPr>
              <w:t>PO2 Terciární vzdělávání, výzkum a vývoj</w:t>
            </w:r>
          </w:p>
          <w:p w:rsidR="009D46E6" w:rsidRPr="00DB1559" w:rsidRDefault="009D46E6" w:rsidP="00DB1559">
            <w:pPr>
              <w:spacing w:after="0" w:line="240" w:lineRule="auto"/>
              <w:jc w:val="left"/>
              <w:rPr>
                <w:rFonts w:cs="Tahoma"/>
                <w:sz w:val="16"/>
                <w:szCs w:val="16"/>
              </w:rPr>
            </w:pPr>
            <w:r w:rsidRPr="00DB1559">
              <w:rPr>
                <w:rFonts w:cs="Tahoma"/>
                <w:sz w:val="16"/>
                <w:szCs w:val="16"/>
              </w:rPr>
              <w:t>PO3 Další vzdělávání</w:t>
            </w:r>
          </w:p>
          <w:p w:rsidR="009D46E6" w:rsidRPr="00DB1559" w:rsidRDefault="009D46E6" w:rsidP="00DB1559">
            <w:pPr>
              <w:spacing w:after="0" w:line="240" w:lineRule="auto"/>
              <w:jc w:val="left"/>
              <w:rPr>
                <w:rFonts w:cs="Tahoma"/>
                <w:sz w:val="16"/>
                <w:szCs w:val="16"/>
              </w:rPr>
            </w:pPr>
            <w:r w:rsidRPr="00DB1559">
              <w:rPr>
                <w:rFonts w:cs="Tahoma"/>
                <w:sz w:val="16"/>
                <w:szCs w:val="16"/>
              </w:rPr>
              <w:t>PO4 Systémový rámec celoživotního učení</w:t>
            </w:r>
          </w:p>
          <w:p w:rsidR="009D46E6" w:rsidRPr="00DB1559" w:rsidRDefault="009D46E6" w:rsidP="00DB1559">
            <w:pPr>
              <w:spacing w:after="0" w:line="240" w:lineRule="auto"/>
              <w:jc w:val="left"/>
              <w:rPr>
                <w:rFonts w:cs="Tahoma"/>
                <w:sz w:val="16"/>
                <w:szCs w:val="16"/>
              </w:rPr>
            </w:pPr>
            <w:r w:rsidRPr="00DB1559">
              <w:rPr>
                <w:rFonts w:cs="Tahoma"/>
                <w:sz w:val="16"/>
                <w:szCs w:val="16"/>
              </w:rPr>
              <w:t>PO5 Technická pomoc</w:t>
            </w:r>
          </w:p>
        </w:tc>
        <w:tc>
          <w:tcPr>
            <w:tcW w:w="1134" w:type="dxa"/>
            <w:vAlign w:val="center"/>
          </w:tcPr>
          <w:p w:rsidR="009D46E6" w:rsidRPr="00DB1559" w:rsidRDefault="009D46E6" w:rsidP="00DB1559">
            <w:pPr>
              <w:spacing w:after="0" w:line="240" w:lineRule="auto"/>
              <w:jc w:val="right"/>
              <w:rPr>
                <w:rFonts w:cs="Tahoma"/>
                <w:sz w:val="16"/>
                <w:szCs w:val="16"/>
              </w:rPr>
            </w:pPr>
            <w:r w:rsidRPr="00DB1559">
              <w:rPr>
                <w:rFonts w:cs="Tahoma"/>
                <w:sz w:val="16"/>
                <w:szCs w:val="16"/>
              </w:rPr>
              <w:t>20,3 mld. Kč</w:t>
            </w:r>
          </w:p>
          <w:p w:rsidR="009D46E6" w:rsidRPr="00DB1559" w:rsidRDefault="009D46E6" w:rsidP="00DB1559">
            <w:pPr>
              <w:spacing w:after="0" w:line="240" w:lineRule="auto"/>
              <w:jc w:val="right"/>
              <w:rPr>
                <w:rFonts w:cs="Tahoma"/>
                <w:color w:val="C3003C"/>
                <w:sz w:val="16"/>
                <w:szCs w:val="16"/>
              </w:rPr>
            </w:pPr>
            <w:r w:rsidRPr="00DB1559">
              <w:rPr>
                <w:rFonts w:cs="Tahoma"/>
                <w:color w:val="C3003C"/>
                <w:sz w:val="16"/>
                <w:szCs w:val="16"/>
              </w:rPr>
              <w:t>20,5 mld. Kč</w:t>
            </w:r>
          </w:p>
          <w:p w:rsidR="009D46E6" w:rsidRPr="00DB1559" w:rsidRDefault="009D46E6" w:rsidP="00DB1559">
            <w:pPr>
              <w:spacing w:after="0" w:line="240" w:lineRule="auto"/>
              <w:jc w:val="right"/>
              <w:rPr>
                <w:rFonts w:cs="Tahoma"/>
                <w:sz w:val="16"/>
                <w:szCs w:val="16"/>
              </w:rPr>
            </w:pPr>
            <w:r w:rsidRPr="00DB1559">
              <w:rPr>
                <w:rFonts w:cs="Tahoma"/>
                <w:sz w:val="16"/>
                <w:szCs w:val="16"/>
              </w:rPr>
              <w:t>5,7 mld. Kč</w:t>
            </w:r>
          </w:p>
          <w:p w:rsidR="009D46E6" w:rsidRPr="00DB1559" w:rsidRDefault="009D46E6" w:rsidP="00DB1559">
            <w:pPr>
              <w:spacing w:after="0" w:line="240" w:lineRule="auto"/>
              <w:jc w:val="right"/>
              <w:rPr>
                <w:rFonts w:cs="Tahoma"/>
                <w:sz w:val="16"/>
                <w:szCs w:val="16"/>
              </w:rPr>
            </w:pPr>
            <w:r w:rsidRPr="00DB1559">
              <w:rPr>
                <w:rFonts w:cs="Tahoma"/>
                <w:sz w:val="16"/>
                <w:szCs w:val="16"/>
              </w:rPr>
              <w:t>5,3 mld. Kč</w:t>
            </w:r>
          </w:p>
          <w:p w:rsidR="009D46E6" w:rsidRPr="00DB1559" w:rsidRDefault="009D46E6" w:rsidP="00DB1559">
            <w:pPr>
              <w:spacing w:after="0" w:line="240" w:lineRule="auto"/>
              <w:jc w:val="right"/>
              <w:rPr>
                <w:rFonts w:cs="Tahoma"/>
                <w:sz w:val="16"/>
                <w:szCs w:val="16"/>
              </w:rPr>
            </w:pPr>
            <w:r w:rsidRPr="00DB1559">
              <w:rPr>
                <w:rFonts w:cs="Tahoma"/>
                <w:sz w:val="16"/>
                <w:szCs w:val="16"/>
              </w:rPr>
              <w:t>2,1 mld. Kč</w:t>
            </w:r>
          </w:p>
        </w:tc>
      </w:tr>
      <w:tr w:rsidR="009D46E6" w:rsidRPr="00DB1559" w:rsidTr="00DB1559">
        <w:trPr>
          <w:trHeight w:val="283"/>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color w:val="C3003C"/>
                <w:sz w:val="16"/>
                <w:szCs w:val="16"/>
              </w:rPr>
              <w:t>Zaměření</w:t>
            </w:r>
          </w:p>
        </w:tc>
        <w:tc>
          <w:tcPr>
            <w:tcW w:w="850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Podpora měkkých projektů v oblasti atraktivity a efektivity terciárního vzdělávání, rozvoje lidských zdrojů pro VaV, posilování partnerství a formování sítí spolupráce</w:t>
            </w:r>
          </w:p>
        </w:tc>
      </w:tr>
      <w:tr w:rsidR="009D46E6" w:rsidRPr="00DB1559" w:rsidTr="00DB1559">
        <w:trPr>
          <w:trHeight w:val="227"/>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color w:val="C3003C"/>
                <w:sz w:val="16"/>
                <w:szCs w:val="16"/>
              </w:rPr>
              <w:t>Char. podpory</w:t>
            </w:r>
          </w:p>
        </w:tc>
        <w:tc>
          <w:tcPr>
            <w:tcW w:w="850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Investice do lidských zdrojů a rozvoje spolupráce</w:t>
            </w:r>
          </w:p>
        </w:tc>
      </w:tr>
      <w:tr w:rsidR="009D46E6" w:rsidRPr="00DB1559" w:rsidTr="00DB1559">
        <w:trPr>
          <w:trHeight w:val="227"/>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Způs. regiony</w:t>
            </w:r>
          </w:p>
        </w:tc>
        <w:tc>
          <w:tcPr>
            <w:tcW w:w="850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ČR mimo hl. m. Prahy</w:t>
            </w:r>
          </w:p>
        </w:tc>
      </w:tr>
      <w:tr w:rsidR="009D46E6" w:rsidRPr="00DB1559" w:rsidTr="00DB1559">
        <w:trPr>
          <w:trHeight w:val="227"/>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Řídící orgán</w:t>
            </w:r>
          </w:p>
        </w:tc>
        <w:tc>
          <w:tcPr>
            <w:tcW w:w="850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Ministerstvo školství, mládeže a tělovýchovy [</w:t>
            </w:r>
            <w:hyperlink r:id="rId245" w:history="1">
              <w:r w:rsidRPr="00DB1559">
                <w:rPr>
                  <w:rStyle w:val="Hyperlink"/>
                  <w:rFonts w:cs="Tahoma"/>
                  <w:sz w:val="16"/>
                  <w:szCs w:val="16"/>
                </w:rPr>
                <w:t>http://www.msmt.cz/strukturalni-fondy/op-vpk-obdobi-2007-2013</w:t>
              </w:r>
            </w:hyperlink>
            <w:r w:rsidRPr="00DB1559">
              <w:rPr>
                <w:rFonts w:cs="Tahoma"/>
                <w:sz w:val="16"/>
                <w:szCs w:val="16"/>
              </w:rPr>
              <w:t>]</w:t>
            </w:r>
          </w:p>
        </w:tc>
      </w:tr>
    </w:tbl>
    <w:p w:rsidR="009D46E6" w:rsidRDefault="009D46E6" w:rsidP="00866283">
      <w:pPr>
        <w:pStyle w:val="Zdroj"/>
      </w:pPr>
      <w:r>
        <w:t>Pozn.: Zvýrazněné = relevantní</w:t>
      </w:r>
    </w:p>
    <w:p w:rsidR="009D46E6" w:rsidRDefault="009D46E6" w:rsidP="00866283">
      <w:pPr>
        <w:pStyle w:val="Zdroj"/>
      </w:pPr>
      <w:r w:rsidRPr="00D43170">
        <w:t xml:space="preserve">Zdroj: </w:t>
      </w:r>
      <w:r>
        <w:t>Programová dokumentace OPVK [</w:t>
      </w:r>
      <w:hyperlink r:id="rId246" w:history="1">
        <w:r>
          <w:rPr>
            <w:rStyle w:val="Hyperlink"/>
            <w:rFonts w:cs="MetaPro-Normal"/>
          </w:rPr>
          <w:t>http://www.msmt.cz/strukturalni-fondy/zakladni-dokumenty-a-zpracovatele</w:t>
        </w:r>
      </w:hyperlink>
      <w:r>
        <w:t>]</w:t>
      </w:r>
    </w:p>
    <w:p w:rsidR="009D46E6" w:rsidRDefault="009D46E6" w:rsidP="00866283"/>
    <w:p w:rsidR="009D46E6" w:rsidRPr="00BC1D05" w:rsidRDefault="009D46E6" w:rsidP="00750D9B">
      <w:pPr>
        <w:pStyle w:val="Caption"/>
      </w:pPr>
      <w:bookmarkStart w:id="251" w:name="_Toc369091947"/>
      <w:r>
        <w:t xml:space="preserve">Tabulka </w:t>
      </w:r>
      <w:fldSimple w:instr=" STYLEREF 1 \s ">
        <w:r>
          <w:rPr>
            <w:noProof/>
          </w:rPr>
          <w:t>F</w:t>
        </w:r>
      </w:fldSimple>
      <w:r>
        <w:t>.</w:t>
      </w:r>
      <w:fldSimple w:instr=" SEQ Tabulka \* ARABIC \s 1 ">
        <w:r>
          <w:rPr>
            <w:noProof/>
          </w:rPr>
          <w:t>7</w:t>
        </w:r>
      </w:fldSimple>
      <w:r w:rsidRPr="00BC1D05">
        <w:t xml:space="preserve">: </w:t>
      </w:r>
      <w:r>
        <w:t>Stav čerpání OPVK</w:t>
      </w:r>
      <w:bookmarkEnd w:id="251"/>
    </w:p>
    <w:tbl>
      <w:tblPr>
        <w:tblW w:w="9637"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top w:w="28" w:type="dxa"/>
          <w:left w:w="57" w:type="dxa"/>
          <w:bottom w:w="28" w:type="dxa"/>
          <w:right w:w="57" w:type="dxa"/>
        </w:tblCellMar>
        <w:tblLook w:val="0000"/>
      </w:tblPr>
      <w:tblGrid>
        <w:gridCol w:w="1134"/>
        <w:gridCol w:w="1020"/>
        <w:gridCol w:w="680"/>
        <w:gridCol w:w="1020"/>
        <w:gridCol w:w="1021"/>
        <w:gridCol w:w="680"/>
        <w:gridCol w:w="1020"/>
        <w:gridCol w:w="1021"/>
        <w:gridCol w:w="1020"/>
        <w:gridCol w:w="1021"/>
      </w:tblGrid>
      <w:tr w:rsidR="009D46E6" w:rsidRPr="00DB1559" w:rsidTr="00866283">
        <w:trPr>
          <w:trHeight w:val="226"/>
          <w:jc w:val="center"/>
        </w:trPr>
        <w:tc>
          <w:tcPr>
            <w:tcW w:w="1134" w:type="dxa"/>
            <w:vMerge w:val="restart"/>
            <w:vAlign w:val="center"/>
          </w:tcPr>
          <w:p w:rsidR="009D46E6" w:rsidRPr="00DB1559" w:rsidRDefault="009D46E6" w:rsidP="00866283">
            <w:pPr>
              <w:spacing w:after="0" w:line="240" w:lineRule="auto"/>
              <w:jc w:val="center"/>
              <w:rPr>
                <w:rFonts w:cs="Tahoma"/>
                <w:bCs/>
                <w:color w:val="008CCD"/>
                <w:sz w:val="16"/>
                <w:szCs w:val="16"/>
              </w:rPr>
            </w:pPr>
            <w:r w:rsidRPr="00DB1559">
              <w:rPr>
                <w:rFonts w:cs="Tahoma"/>
                <w:bCs/>
                <w:color w:val="008CCD"/>
                <w:sz w:val="16"/>
                <w:szCs w:val="16"/>
              </w:rPr>
              <w:t>Sekce</w:t>
            </w:r>
          </w:p>
        </w:tc>
        <w:tc>
          <w:tcPr>
            <w:tcW w:w="1020" w:type="dxa"/>
            <w:vMerge w:val="restart"/>
            <w:vAlign w:val="center"/>
          </w:tcPr>
          <w:p w:rsidR="009D46E6" w:rsidRPr="00DB1559" w:rsidRDefault="009D46E6" w:rsidP="00866283">
            <w:pPr>
              <w:spacing w:after="0" w:line="240" w:lineRule="auto"/>
              <w:jc w:val="center"/>
              <w:rPr>
                <w:rFonts w:cs="Tahoma"/>
                <w:bCs/>
                <w:color w:val="008CCD"/>
                <w:sz w:val="16"/>
                <w:szCs w:val="16"/>
              </w:rPr>
            </w:pPr>
            <w:r w:rsidRPr="00DB1559">
              <w:rPr>
                <w:rFonts w:cs="Tahoma"/>
                <w:bCs/>
                <w:color w:val="008CCD"/>
                <w:sz w:val="16"/>
                <w:szCs w:val="16"/>
              </w:rPr>
              <w:t>Celková alokace</w:t>
            </w:r>
            <w:r w:rsidRPr="00DB1559">
              <w:rPr>
                <w:rFonts w:cs="Tahoma"/>
                <w:bCs/>
                <w:color w:val="008CCD"/>
                <w:sz w:val="16"/>
                <w:szCs w:val="16"/>
              </w:rPr>
              <w:br/>
              <w:t>[mil. Kč]</w:t>
            </w:r>
          </w:p>
        </w:tc>
        <w:tc>
          <w:tcPr>
            <w:tcW w:w="2721" w:type="dxa"/>
            <w:gridSpan w:val="3"/>
            <w:vAlign w:val="center"/>
          </w:tcPr>
          <w:p w:rsidR="009D46E6" w:rsidRPr="00DB1559" w:rsidRDefault="009D46E6" w:rsidP="00866283">
            <w:pPr>
              <w:spacing w:after="0" w:line="240" w:lineRule="auto"/>
              <w:jc w:val="center"/>
              <w:rPr>
                <w:rFonts w:cs="Tahoma"/>
                <w:bCs/>
                <w:color w:val="008CCD"/>
                <w:sz w:val="16"/>
                <w:szCs w:val="16"/>
              </w:rPr>
            </w:pPr>
            <w:r w:rsidRPr="00DB1559">
              <w:rPr>
                <w:rFonts w:cs="Tahoma"/>
                <w:bCs/>
                <w:color w:val="008CCD"/>
                <w:sz w:val="16"/>
                <w:szCs w:val="16"/>
              </w:rPr>
              <w:t>Podané žádosti</w:t>
            </w:r>
          </w:p>
        </w:tc>
        <w:tc>
          <w:tcPr>
            <w:tcW w:w="2721" w:type="dxa"/>
            <w:gridSpan w:val="3"/>
            <w:vAlign w:val="center"/>
          </w:tcPr>
          <w:p w:rsidR="009D46E6" w:rsidRPr="00DB1559" w:rsidRDefault="009D46E6" w:rsidP="00866283">
            <w:pPr>
              <w:spacing w:after="0" w:line="240" w:lineRule="auto"/>
              <w:jc w:val="center"/>
              <w:rPr>
                <w:rFonts w:cs="Tahoma"/>
                <w:bCs/>
                <w:color w:val="008CCD"/>
                <w:sz w:val="16"/>
                <w:szCs w:val="16"/>
              </w:rPr>
            </w:pPr>
            <w:r w:rsidRPr="00DB1559">
              <w:rPr>
                <w:rFonts w:cs="Tahoma"/>
                <w:bCs/>
                <w:color w:val="008CCD"/>
                <w:sz w:val="16"/>
                <w:szCs w:val="16"/>
              </w:rPr>
              <w:t>Projekty s vydaným rozhodnutím</w:t>
            </w:r>
          </w:p>
        </w:tc>
        <w:tc>
          <w:tcPr>
            <w:tcW w:w="2041" w:type="dxa"/>
            <w:gridSpan w:val="2"/>
          </w:tcPr>
          <w:p w:rsidR="009D46E6" w:rsidRPr="00DB1559" w:rsidRDefault="009D46E6" w:rsidP="00866283">
            <w:pPr>
              <w:spacing w:after="0" w:line="240" w:lineRule="auto"/>
              <w:jc w:val="center"/>
              <w:rPr>
                <w:rFonts w:cs="Tahoma"/>
                <w:bCs/>
                <w:color w:val="008CCD"/>
                <w:sz w:val="16"/>
                <w:szCs w:val="16"/>
              </w:rPr>
            </w:pPr>
            <w:r w:rsidRPr="00DB1559">
              <w:rPr>
                <w:rFonts w:cs="Tahoma"/>
                <w:bCs/>
                <w:color w:val="008CCD"/>
                <w:sz w:val="16"/>
                <w:szCs w:val="16"/>
              </w:rPr>
              <w:t>Certifikované výdaje</w:t>
            </w:r>
          </w:p>
        </w:tc>
      </w:tr>
      <w:tr w:rsidR="009D46E6" w:rsidRPr="00DB1559" w:rsidTr="00866283">
        <w:trPr>
          <w:trHeight w:val="226"/>
          <w:jc w:val="center"/>
        </w:trPr>
        <w:tc>
          <w:tcPr>
            <w:tcW w:w="1134" w:type="dxa"/>
            <w:vMerge/>
            <w:tcBorders>
              <w:bottom w:val="single" w:sz="4" w:space="0" w:color="404040"/>
            </w:tcBorders>
            <w:vAlign w:val="center"/>
          </w:tcPr>
          <w:p w:rsidR="009D46E6" w:rsidRPr="00DB1559" w:rsidRDefault="009D46E6" w:rsidP="00866283">
            <w:pPr>
              <w:spacing w:after="0" w:line="240" w:lineRule="auto"/>
              <w:jc w:val="center"/>
              <w:rPr>
                <w:rFonts w:cs="Tahoma"/>
                <w:bCs/>
                <w:color w:val="008CCD"/>
                <w:sz w:val="16"/>
                <w:szCs w:val="16"/>
              </w:rPr>
            </w:pPr>
          </w:p>
        </w:tc>
        <w:tc>
          <w:tcPr>
            <w:tcW w:w="1020" w:type="dxa"/>
            <w:vMerge/>
            <w:tcBorders>
              <w:bottom w:val="single" w:sz="4" w:space="0" w:color="404040"/>
            </w:tcBorders>
            <w:vAlign w:val="center"/>
          </w:tcPr>
          <w:p w:rsidR="009D46E6" w:rsidRPr="00DB1559" w:rsidRDefault="009D46E6" w:rsidP="00866283">
            <w:pPr>
              <w:spacing w:after="0" w:line="240" w:lineRule="auto"/>
              <w:jc w:val="center"/>
              <w:rPr>
                <w:rFonts w:cs="Tahoma"/>
                <w:bCs/>
                <w:color w:val="008CCD"/>
                <w:sz w:val="16"/>
                <w:szCs w:val="16"/>
              </w:rPr>
            </w:pPr>
          </w:p>
        </w:tc>
        <w:tc>
          <w:tcPr>
            <w:tcW w:w="680"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Počet</w:t>
            </w:r>
          </w:p>
        </w:tc>
        <w:tc>
          <w:tcPr>
            <w:tcW w:w="1020"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[mil. Kč]</w:t>
            </w:r>
          </w:p>
        </w:tc>
        <w:tc>
          <w:tcPr>
            <w:tcW w:w="1021"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 alokace]</w:t>
            </w:r>
          </w:p>
        </w:tc>
        <w:tc>
          <w:tcPr>
            <w:tcW w:w="680"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Počet</w:t>
            </w:r>
          </w:p>
        </w:tc>
        <w:tc>
          <w:tcPr>
            <w:tcW w:w="1020"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[mil. Kč]</w:t>
            </w:r>
          </w:p>
        </w:tc>
        <w:tc>
          <w:tcPr>
            <w:tcW w:w="1021"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 alokace]</w:t>
            </w:r>
          </w:p>
        </w:tc>
        <w:tc>
          <w:tcPr>
            <w:tcW w:w="1020"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[mil. Kč]</w:t>
            </w:r>
          </w:p>
        </w:tc>
        <w:tc>
          <w:tcPr>
            <w:tcW w:w="1021"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 alokace]</w:t>
            </w:r>
          </w:p>
        </w:tc>
      </w:tr>
      <w:tr w:rsidR="009D46E6" w:rsidRPr="00DB1559" w:rsidTr="00866283">
        <w:trPr>
          <w:trHeight w:val="226"/>
          <w:jc w:val="center"/>
        </w:trPr>
        <w:tc>
          <w:tcPr>
            <w:tcW w:w="1134" w:type="dxa"/>
            <w:tcBorders>
              <w:top w:val="single" w:sz="4" w:space="0" w:color="404040"/>
            </w:tcBorders>
            <w:vAlign w:val="center"/>
          </w:tcPr>
          <w:p w:rsidR="009D46E6" w:rsidRPr="00DB1559" w:rsidRDefault="009D46E6" w:rsidP="00866283">
            <w:pPr>
              <w:spacing w:after="0" w:line="240" w:lineRule="auto"/>
              <w:jc w:val="left"/>
              <w:rPr>
                <w:rFonts w:cs="Tahoma"/>
                <w:color w:val="9B9BA0"/>
                <w:sz w:val="16"/>
                <w:szCs w:val="16"/>
              </w:rPr>
            </w:pPr>
            <w:r w:rsidRPr="00DB1559">
              <w:rPr>
                <w:rFonts w:cs="Tahoma"/>
                <w:bCs/>
                <w:color w:val="9B9BA0"/>
                <w:sz w:val="16"/>
                <w:szCs w:val="16"/>
              </w:rPr>
              <w:t xml:space="preserve">PO2 </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20 539,7</w:t>
            </w:r>
          </w:p>
        </w:tc>
        <w:tc>
          <w:tcPr>
            <w:tcW w:w="680"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2 685</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53 344,0</w:t>
            </w:r>
          </w:p>
        </w:tc>
        <w:tc>
          <w:tcPr>
            <w:tcW w:w="1021"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259,7</w:t>
            </w:r>
          </w:p>
        </w:tc>
        <w:tc>
          <w:tcPr>
            <w:tcW w:w="680"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1 042</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19 563,2</w:t>
            </w:r>
          </w:p>
        </w:tc>
        <w:tc>
          <w:tcPr>
            <w:tcW w:w="1021"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95,2</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2 793,2</w:t>
            </w:r>
          </w:p>
        </w:tc>
        <w:tc>
          <w:tcPr>
            <w:tcW w:w="1021"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13,6</w:t>
            </w:r>
          </w:p>
        </w:tc>
      </w:tr>
      <w:tr w:rsidR="009D46E6" w:rsidRPr="00DB1559" w:rsidTr="00866283">
        <w:trPr>
          <w:trHeight w:val="226"/>
          <w:jc w:val="center"/>
        </w:trPr>
        <w:tc>
          <w:tcPr>
            <w:tcW w:w="1134" w:type="dxa"/>
            <w:vAlign w:val="center"/>
          </w:tcPr>
          <w:p w:rsidR="009D46E6" w:rsidRPr="00DB1559" w:rsidRDefault="009D46E6" w:rsidP="00866283">
            <w:pPr>
              <w:spacing w:after="0" w:line="240" w:lineRule="auto"/>
              <w:jc w:val="left"/>
              <w:rPr>
                <w:rFonts w:cs="Tahoma"/>
                <w:bCs/>
                <w:color w:val="C3003C"/>
                <w:sz w:val="16"/>
                <w:szCs w:val="16"/>
              </w:rPr>
            </w:pPr>
            <w:r w:rsidRPr="00DB1559">
              <w:rPr>
                <w:rFonts w:cs="Tahoma"/>
                <w:bCs/>
                <w:color w:val="C3003C"/>
                <w:sz w:val="16"/>
                <w:szCs w:val="16"/>
              </w:rPr>
              <w:t>PO2 - OP 2.3</w:t>
            </w:r>
          </w:p>
        </w:tc>
        <w:tc>
          <w:tcPr>
            <w:tcW w:w="1020" w:type="dxa"/>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8 418,3</w:t>
            </w:r>
          </w:p>
        </w:tc>
        <w:tc>
          <w:tcPr>
            <w:tcW w:w="680" w:type="dxa"/>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670</w:t>
            </w:r>
          </w:p>
        </w:tc>
        <w:tc>
          <w:tcPr>
            <w:tcW w:w="1020" w:type="dxa"/>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16 731,2</w:t>
            </w:r>
          </w:p>
        </w:tc>
        <w:tc>
          <w:tcPr>
            <w:tcW w:w="1021" w:type="dxa"/>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198,7</w:t>
            </w:r>
          </w:p>
        </w:tc>
        <w:tc>
          <w:tcPr>
            <w:tcW w:w="680" w:type="dxa"/>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315</w:t>
            </w:r>
          </w:p>
        </w:tc>
        <w:tc>
          <w:tcPr>
            <w:tcW w:w="1020" w:type="dxa"/>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8 403,3</w:t>
            </w:r>
          </w:p>
        </w:tc>
        <w:tc>
          <w:tcPr>
            <w:tcW w:w="1021" w:type="dxa"/>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99,8</w:t>
            </w:r>
          </w:p>
        </w:tc>
        <w:tc>
          <w:tcPr>
            <w:tcW w:w="1020" w:type="dxa"/>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756,8</w:t>
            </w:r>
          </w:p>
        </w:tc>
        <w:tc>
          <w:tcPr>
            <w:tcW w:w="1021" w:type="dxa"/>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9,0</w:t>
            </w:r>
          </w:p>
        </w:tc>
      </w:tr>
      <w:tr w:rsidR="009D46E6" w:rsidRPr="00DB1559" w:rsidTr="00866283">
        <w:trPr>
          <w:trHeight w:val="226"/>
          <w:jc w:val="center"/>
        </w:trPr>
        <w:tc>
          <w:tcPr>
            <w:tcW w:w="1134" w:type="dxa"/>
            <w:tcBorders>
              <w:bottom w:val="single" w:sz="4" w:space="0" w:color="404040"/>
            </w:tcBorders>
            <w:vAlign w:val="center"/>
          </w:tcPr>
          <w:p w:rsidR="009D46E6" w:rsidRPr="00DB1559" w:rsidRDefault="009D46E6" w:rsidP="00866283">
            <w:pPr>
              <w:spacing w:after="0" w:line="240" w:lineRule="auto"/>
              <w:jc w:val="left"/>
              <w:rPr>
                <w:rFonts w:cs="Tahoma"/>
                <w:bCs/>
                <w:color w:val="C3003C"/>
                <w:sz w:val="16"/>
                <w:szCs w:val="16"/>
              </w:rPr>
            </w:pPr>
            <w:r w:rsidRPr="00DB1559">
              <w:rPr>
                <w:rFonts w:cs="Tahoma"/>
                <w:bCs/>
                <w:color w:val="C3003C"/>
                <w:sz w:val="16"/>
                <w:szCs w:val="16"/>
              </w:rPr>
              <w:t>PO2 - OP 2.4</w:t>
            </w:r>
          </w:p>
        </w:tc>
        <w:tc>
          <w:tcPr>
            <w:tcW w:w="1020" w:type="dxa"/>
            <w:tcBorders>
              <w:bottom w:val="single" w:sz="4" w:space="0" w:color="404040"/>
            </w:tcBorders>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3 742,3</w:t>
            </w:r>
          </w:p>
        </w:tc>
        <w:tc>
          <w:tcPr>
            <w:tcW w:w="680" w:type="dxa"/>
            <w:tcBorders>
              <w:bottom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538</w:t>
            </w:r>
          </w:p>
        </w:tc>
        <w:tc>
          <w:tcPr>
            <w:tcW w:w="1020" w:type="dxa"/>
            <w:tcBorders>
              <w:bottom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14 184,0</w:t>
            </w:r>
          </w:p>
        </w:tc>
        <w:tc>
          <w:tcPr>
            <w:tcW w:w="1021" w:type="dxa"/>
            <w:tcBorders>
              <w:bottom w:val="single" w:sz="4" w:space="0" w:color="404040"/>
            </w:tcBorders>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379,0</w:t>
            </w:r>
          </w:p>
        </w:tc>
        <w:tc>
          <w:tcPr>
            <w:tcW w:w="680" w:type="dxa"/>
            <w:tcBorders>
              <w:bottom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176</w:t>
            </w:r>
          </w:p>
        </w:tc>
        <w:tc>
          <w:tcPr>
            <w:tcW w:w="1020" w:type="dxa"/>
            <w:tcBorders>
              <w:bottom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3 435,2</w:t>
            </w:r>
          </w:p>
        </w:tc>
        <w:tc>
          <w:tcPr>
            <w:tcW w:w="1021" w:type="dxa"/>
            <w:tcBorders>
              <w:bottom w:val="single" w:sz="4" w:space="0" w:color="404040"/>
            </w:tcBorders>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91,8</w:t>
            </w:r>
          </w:p>
        </w:tc>
        <w:tc>
          <w:tcPr>
            <w:tcW w:w="1020" w:type="dxa"/>
            <w:tcBorders>
              <w:bottom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479,9</w:t>
            </w:r>
          </w:p>
        </w:tc>
        <w:tc>
          <w:tcPr>
            <w:tcW w:w="1021" w:type="dxa"/>
            <w:tcBorders>
              <w:bottom w:val="single" w:sz="4" w:space="0" w:color="404040"/>
            </w:tcBorders>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12,8</w:t>
            </w:r>
          </w:p>
        </w:tc>
      </w:tr>
      <w:tr w:rsidR="009D46E6" w:rsidRPr="00DB1559" w:rsidTr="00866283">
        <w:trPr>
          <w:trHeight w:val="226"/>
          <w:jc w:val="center"/>
        </w:trPr>
        <w:tc>
          <w:tcPr>
            <w:tcW w:w="1134" w:type="dxa"/>
            <w:tcBorders>
              <w:top w:val="single" w:sz="4" w:space="0" w:color="404040"/>
            </w:tcBorders>
            <w:vAlign w:val="center"/>
          </w:tcPr>
          <w:p w:rsidR="009D46E6" w:rsidRPr="00DB1559" w:rsidRDefault="009D46E6" w:rsidP="00866283">
            <w:pPr>
              <w:spacing w:after="0" w:line="240" w:lineRule="auto"/>
              <w:jc w:val="left"/>
              <w:rPr>
                <w:rFonts w:cs="Tahoma"/>
                <w:color w:val="9B9BA0"/>
                <w:sz w:val="16"/>
                <w:szCs w:val="16"/>
              </w:rPr>
            </w:pPr>
            <w:r w:rsidRPr="00DB1559">
              <w:rPr>
                <w:rFonts w:cs="Tahoma"/>
                <w:bCs/>
                <w:color w:val="9B9BA0"/>
                <w:sz w:val="16"/>
                <w:szCs w:val="16"/>
              </w:rPr>
              <w:t xml:space="preserve">OP celkem </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53 931,8</w:t>
            </w:r>
          </w:p>
        </w:tc>
        <w:tc>
          <w:tcPr>
            <w:tcW w:w="680"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9 084</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143 103,3</w:t>
            </w:r>
          </w:p>
        </w:tc>
        <w:tc>
          <w:tcPr>
            <w:tcW w:w="1021"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265,3</w:t>
            </w:r>
          </w:p>
        </w:tc>
        <w:tc>
          <w:tcPr>
            <w:tcW w:w="680"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6 423</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49 130,6</w:t>
            </w:r>
          </w:p>
        </w:tc>
        <w:tc>
          <w:tcPr>
            <w:tcW w:w="1021"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91,1</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11 955,6</w:t>
            </w:r>
          </w:p>
        </w:tc>
        <w:tc>
          <w:tcPr>
            <w:tcW w:w="1021"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22,2</w:t>
            </w:r>
          </w:p>
        </w:tc>
      </w:tr>
    </w:tbl>
    <w:p w:rsidR="009D46E6" w:rsidRDefault="009D46E6" w:rsidP="00866283">
      <w:pPr>
        <w:pStyle w:val="Zdroj"/>
      </w:pPr>
      <w:r w:rsidRPr="00D43170">
        <w:t xml:space="preserve">Zdroj: </w:t>
      </w:r>
      <w:r>
        <w:t>Monitorovací zpráva za květen 2013 - MMR 2013 [</w:t>
      </w:r>
      <w:hyperlink r:id="rId247" w:history="1">
        <w:r w:rsidRPr="00E60CB6">
          <w:rPr>
            <w:rStyle w:val="Hyperlink"/>
            <w:rFonts w:cs="MetaPro-Normal"/>
          </w:rPr>
          <w:t>http://www.strukturalni-fondy.cz/cs/Informace-o-cerpani</w:t>
        </w:r>
      </w:hyperlink>
      <w:r>
        <w:t>]</w:t>
      </w:r>
    </w:p>
    <w:p w:rsidR="009D46E6" w:rsidRDefault="009D46E6" w:rsidP="00866283"/>
    <w:p w:rsidR="009D46E6" w:rsidRPr="00BD5EC7" w:rsidRDefault="009D46E6" w:rsidP="00750D9B">
      <w:pPr>
        <w:pStyle w:val="Caption"/>
      </w:pPr>
      <w:bookmarkStart w:id="252" w:name="_Toc369092098"/>
      <w:r>
        <w:t xml:space="preserve">Graf </w:t>
      </w:r>
      <w:fldSimple w:instr=" STYLEREF 1 \s ">
        <w:r>
          <w:rPr>
            <w:noProof/>
          </w:rPr>
          <w:t>F</w:t>
        </w:r>
      </w:fldSimple>
      <w:r>
        <w:t>.</w:t>
      </w:r>
      <w:fldSimple w:instr=" SEQ Graf \* ARABIC \s 1 ">
        <w:r>
          <w:rPr>
            <w:noProof/>
          </w:rPr>
          <w:t>10</w:t>
        </w:r>
      </w:fldSimple>
      <w:r w:rsidRPr="00BD5EC7">
        <w:t xml:space="preserve">: </w:t>
      </w:r>
      <w:r>
        <w:t>(Proplacená) podpora OPVK</w:t>
      </w:r>
      <w:r w:rsidRPr="00A653FC">
        <w:t xml:space="preserve"> </w:t>
      </w:r>
      <w:r>
        <w:t>dle</w:t>
      </w:r>
      <w:r w:rsidRPr="00A653FC">
        <w:t xml:space="preserve"> </w:t>
      </w:r>
      <w:r>
        <w:t>sídla příjemce</w:t>
      </w:r>
      <w:r w:rsidRPr="00A653FC">
        <w:t xml:space="preserve"> (</w:t>
      </w:r>
      <w:r>
        <w:t>obce</w:t>
      </w:r>
      <w:r w:rsidRPr="00A653FC">
        <w:t xml:space="preserve"> Č</w:t>
      </w:r>
      <w:r>
        <w:t>R</w:t>
      </w:r>
      <w:r w:rsidRPr="00A653FC">
        <w:t>; 200</w:t>
      </w:r>
      <w:r>
        <w:t>8</w:t>
      </w:r>
      <w:r w:rsidRPr="00A653FC">
        <w:t>-2013</w:t>
      </w:r>
      <w:r>
        <w:t>, mld. Kč</w:t>
      </w:r>
      <w:r w:rsidRPr="00A653FC">
        <w:t>)</w:t>
      </w:r>
      <w:bookmarkEnd w:id="252"/>
    </w:p>
    <w:p w:rsidR="009D46E6" w:rsidRDefault="009D46E6" w:rsidP="001D7F37">
      <w:pPr>
        <w:pStyle w:val="Objekt"/>
      </w:pPr>
      <w:r w:rsidRPr="001D1D98">
        <w:pict>
          <v:shape id="Obrázek 379" o:spid="_x0000_i1247" type="#_x0000_t75" style="width:481.2pt;height:298.2pt;visibility:visible">
            <v:imagedata r:id="rId248" o:title=""/>
          </v:shape>
        </w:pict>
      </w:r>
    </w:p>
    <w:p w:rsidR="009D46E6" w:rsidRDefault="009D46E6" w:rsidP="00866283">
      <w:pPr>
        <w:pStyle w:val="Zdroj"/>
      </w:pPr>
      <w:r>
        <w:t>Pozn.: Grafy jsou zobrazeny pouze u obcí s vysokými hodnotami - vlevo výše podpory, vpravo proplacená částka. Podpora na obyvatele přepočtena na obyvatele v produktivním věku (14-65 let). Mezní hodnota je arbitrární.</w:t>
      </w:r>
    </w:p>
    <w:p w:rsidR="009D46E6" w:rsidRDefault="009D46E6" w:rsidP="00866283">
      <w:pPr>
        <w:pStyle w:val="Zdroj"/>
        <w:rPr>
          <w:i w:val="0"/>
        </w:rPr>
      </w:pPr>
      <w:r w:rsidRPr="00BD5EC7">
        <w:t xml:space="preserve">Zdroj: </w:t>
      </w:r>
      <w:r>
        <w:t>Příslušné řídící orgány; vlastní zpracování</w:t>
      </w:r>
      <w:r>
        <w:br w:type="page"/>
      </w:r>
    </w:p>
    <w:p w:rsidR="009D46E6" w:rsidRPr="00EE155B" w:rsidRDefault="009D46E6" w:rsidP="00EE155B">
      <w:pPr>
        <w:spacing w:before="240"/>
        <w:rPr>
          <w:b/>
        </w:rPr>
      </w:pPr>
      <w:r w:rsidRPr="00EE155B">
        <w:rPr>
          <w:b/>
        </w:rPr>
        <w:t>OP Podnikání a inovace (OP PI)</w:t>
      </w:r>
    </w:p>
    <w:p w:rsidR="009D46E6" w:rsidRDefault="009D46E6" w:rsidP="00866283">
      <w:r>
        <w:t>OPPI usiluje o zvýšení konkurenceschopnosti podnikání v ČR prostřednictvím sedmi prioritních os - oblasti VaVaI jsou nejblíže PO4 Inovace a PO5 Prostředí pro podnikání a inovace.</w:t>
      </w:r>
    </w:p>
    <w:p w:rsidR="009D46E6" w:rsidRDefault="009D46E6" w:rsidP="00866283">
      <w:r>
        <w:t>PO4 Inovace tvoří dvě oblasti podpory, které jsou zaměřeny na inovace v podnicích (Inovace) a vlastní kapacity pro VaV (Potenciál). Program Inovace podporuje dva typy projektů - u projektů uplatňujících nová, originální řešení program umožní firmám pořízení moderních strojů, zařízení a know-how nutných k jejich realizaci, v druhém případě přispívá k ochraně nehmotných statků například v podobě patentů. Program Potenciál pomáhá firmám zvyšovat kapacity potřebné pro realizaci vlastních VaVaI aktivit prostřednictvím investic do vývojového centra a přispět tak k zavádění technologicky pokročilejších produktů.</w:t>
      </w:r>
    </w:p>
    <w:p w:rsidR="009D46E6" w:rsidRDefault="009D46E6" w:rsidP="00866283">
      <w:r>
        <w:t>PO5 Prostředí pro podnikání a inovace je realizována prostřednictvím tří oblastí podpory, z nichž pouze první (</w:t>
      </w:r>
      <w:r w:rsidRPr="000E0254">
        <w:t>5.1 Platformy spolupráce</w:t>
      </w:r>
      <w:r>
        <w:t>) má přímou vazbu na VaVaI. Řadí se do ní dva programy. Program Spolupráce podporuje vzniku a rozvoje kooperačních odvětvových seskupení - klastrů a technologických platforem. Program Prosperita financuje zakládání a další rozvoj vědeckotechnických parků, podnikatelských inkubátorů, center pro transfer technologií a také vytváření sítí business angels.</w:t>
      </w:r>
    </w:p>
    <w:p w:rsidR="009D46E6" w:rsidRPr="00BC1D05" w:rsidRDefault="009D46E6" w:rsidP="00750D9B">
      <w:pPr>
        <w:pStyle w:val="Caption"/>
      </w:pPr>
      <w:bookmarkStart w:id="253" w:name="_Toc369091948"/>
      <w:r>
        <w:t xml:space="preserve">Tabulka </w:t>
      </w:r>
      <w:fldSimple w:instr=" STYLEREF 1 \s ">
        <w:r>
          <w:rPr>
            <w:noProof/>
          </w:rPr>
          <w:t>F</w:t>
        </w:r>
      </w:fldSimple>
      <w:r>
        <w:t>.</w:t>
      </w:r>
      <w:fldSimple w:instr=" SEQ Tabulka \* ARABIC \s 1 ">
        <w:r>
          <w:rPr>
            <w:noProof/>
          </w:rPr>
          <w:t>8</w:t>
        </w:r>
      </w:fldSimple>
      <w:r w:rsidRPr="00BC1D05">
        <w:t xml:space="preserve">: </w:t>
      </w:r>
      <w:r>
        <w:t>Základní charakteristiky OPPI</w:t>
      </w:r>
      <w:bookmarkEnd w:id="253"/>
    </w:p>
    <w:tbl>
      <w:tblPr>
        <w:tblW w:w="9638"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28" w:type="dxa"/>
          <w:left w:w="57" w:type="dxa"/>
          <w:bottom w:w="28" w:type="dxa"/>
          <w:right w:w="57" w:type="dxa"/>
        </w:tblCellMar>
        <w:tblLook w:val="00A0"/>
      </w:tblPr>
      <w:tblGrid>
        <w:gridCol w:w="1134"/>
        <w:gridCol w:w="6236"/>
        <w:gridCol w:w="1134"/>
        <w:gridCol w:w="1134"/>
      </w:tblGrid>
      <w:tr w:rsidR="009D46E6" w:rsidRPr="00DB1559" w:rsidTr="00DB1559">
        <w:trPr>
          <w:trHeight w:val="283"/>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Globální cíl/ fond/alokace</w:t>
            </w:r>
          </w:p>
        </w:tc>
        <w:tc>
          <w:tcPr>
            <w:tcW w:w="6236"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Zvýšit konkurenceschopnost české ekonomiky a přiblížit inovační výkonnost sektoru průmyslu a služeb úrovni předních průmyslových zemí Evropy</w:t>
            </w:r>
          </w:p>
        </w:tc>
        <w:tc>
          <w:tcPr>
            <w:tcW w:w="1134" w:type="dxa"/>
            <w:vAlign w:val="center"/>
          </w:tcPr>
          <w:p w:rsidR="009D46E6" w:rsidRPr="00DB1559" w:rsidRDefault="009D46E6" w:rsidP="00DB1559">
            <w:pPr>
              <w:spacing w:after="0" w:line="240" w:lineRule="auto"/>
              <w:jc w:val="right"/>
              <w:rPr>
                <w:rFonts w:cs="Tahoma"/>
                <w:sz w:val="16"/>
                <w:szCs w:val="16"/>
              </w:rPr>
            </w:pPr>
            <w:r w:rsidRPr="00DB1559">
              <w:rPr>
                <w:rFonts w:cs="Tahoma"/>
                <w:sz w:val="16"/>
                <w:szCs w:val="16"/>
              </w:rPr>
              <w:t>ERDF</w:t>
            </w:r>
          </w:p>
        </w:tc>
        <w:tc>
          <w:tcPr>
            <w:tcW w:w="1134" w:type="dxa"/>
            <w:vAlign w:val="center"/>
          </w:tcPr>
          <w:p w:rsidR="009D46E6" w:rsidRPr="00DB1559" w:rsidRDefault="009D46E6" w:rsidP="00DB1559">
            <w:pPr>
              <w:spacing w:after="0" w:line="240" w:lineRule="auto"/>
              <w:jc w:val="right"/>
              <w:rPr>
                <w:rFonts w:cs="Tahoma"/>
                <w:sz w:val="16"/>
                <w:szCs w:val="16"/>
              </w:rPr>
            </w:pPr>
            <w:r w:rsidRPr="00DB1559">
              <w:rPr>
                <w:rFonts w:cs="Tahoma"/>
                <w:sz w:val="16"/>
                <w:szCs w:val="16"/>
              </w:rPr>
              <w:t>93,7 mld. Kč</w:t>
            </w:r>
          </w:p>
        </w:tc>
      </w:tr>
      <w:tr w:rsidR="009D46E6" w:rsidRPr="00DB1559" w:rsidTr="00DB1559">
        <w:trPr>
          <w:trHeight w:val="283"/>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Prioritní osy/ alokace</w:t>
            </w:r>
          </w:p>
        </w:tc>
        <w:tc>
          <w:tcPr>
            <w:tcW w:w="7370" w:type="dxa"/>
            <w:gridSpan w:val="2"/>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PO1 Vznik firem</w:t>
            </w:r>
          </w:p>
          <w:p w:rsidR="009D46E6" w:rsidRPr="00DB1559" w:rsidRDefault="009D46E6" w:rsidP="00DB1559">
            <w:pPr>
              <w:spacing w:after="0" w:line="240" w:lineRule="auto"/>
              <w:jc w:val="left"/>
              <w:rPr>
                <w:rFonts w:cs="Tahoma"/>
                <w:sz w:val="16"/>
                <w:szCs w:val="16"/>
              </w:rPr>
            </w:pPr>
            <w:r w:rsidRPr="00DB1559">
              <w:rPr>
                <w:rFonts w:cs="Tahoma"/>
                <w:sz w:val="16"/>
                <w:szCs w:val="16"/>
              </w:rPr>
              <w:t>PO2 Rozvoj firem</w:t>
            </w:r>
          </w:p>
          <w:p w:rsidR="009D46E6" w:rsidRPr="00DB1559" w:rsidRDefault="009D46E6" w:rsidP="00DB1559">
            <w:pPr>
              <w:spacing w:after="0" w:line="240" w:lineRule="auto"/>
              <w:jc w:val="left"/>
              <w:rPr>
                <w:rFonts w:cs="Tahoma"/>
                <w:sz w:val="16"/>
                <w:szCs w:val="16"/>
              </w:rPr>
            </w:pPr>
            <w:r w:rsidRPr="00DB1559">
              <w:rPr>
                <w:rFonts w:cs="Tahoma"/>
                <w:sz w:val="16"/>
                <w:szCs w:val="16"/>
              </w:rPr>
              <w:t>PO3 Efektivní energie</w:t>
            </w:r>
          </w:p>
          <w:p w:rsidR="009D46E6" w:rsidRPr="00DB1559" w:rsidRDefault="009D46E6" w:rsidP="00DB1559">
            <w:pPr>
              <w:spacing w:after="0" w:line="240" w:lineRule="auto"/>
              <w:jc w:val="left"/>
              <w:rPr>
                <w:rFonts w:cs="Tahoma"/>
                <w:color w:val="C3003C"/>
                <w:sz w:val="16"/>
                <w:szCs w:val="16"/>
              </w:rPr>
            </w:pPr>
            <w:r w:rsidRPr="00DB1559">
              <w:rPr>
                <w:rFonts w:cs="Tahoma"/>
                <w:color w:val="C3003C"/>
                <w:sz w:val="16"/>
                <w:szCs w:val="16"/>
              </w:rPr>
              <w:t>PO4 Inovace</w:t>
            </w:r>
          </w:p>
          <w:p w:rsidR="009D46E6" w:rsidRPr="00DB1559" w:rsidRDefault="009D46E6" w:rsidP="00DB1559">
            <w:pPr>
              <w:spacing w:after="0" w:line="240" w:lineRule="auto"/>
              <w:jc w:val="left"/>
              <w:rPr>
                <w:rFonts w:cs="Tahoma"/>
                <w:color w:val="C3003C"/>
                <w:sz w:val="16"/>
                <w:szCs w:val="16"/>
              </w:rPr>
            </w:pPr>
            <w:r w:rsidRPr="00DB1559">
              <w:rPr>
                <w:rFonts w:cs="Tahoma"/>
                <w:color w:val="C3003C"/>
                <w:sz w:val="16"/>
                <w:szCs w:val="16"/>
              </w:rPr>
              <w:t>PO5 Prostředí pro podnikání a inovace</w:t>
            </w:r>
          </w:p>
          <w:p w:rsidR="009D46E6" w:rsidRPr="00DB1559" w:rsidRDefault="009D46E6" w:rsidP="00DB1559">
            <w:pPr>
              <w:spacing w:after="0" w:line="240" w:lineRule="auto"/>
              <w:jc w:val="left"/>
              <w:rPr>
                <w:rFonts w:cs="Tahoma"/>
                <w:sz w:val="16"/>
                <w:szCs w:val="16"/>
              </w:rPr>
            </w:pPr>
            <w:r w:rsidRPr="00DB1559">
              <w:rPr>
                <w:rFonts w:cs="Tahoma"/>
                <w:sz w:val="16"/>
                <w:szCs w:val="16"/>
              </w:rPr>
              <w:t>PO6 Služby pro rozvoj podnikání</w:t>
            </w:r>
          </w:p>
          <w:p w:rsidR="009D46E6" w:rsidRPr="00DB1559" w:rsidRDefault="009D46E6" w:rsidP="00DB1559">
            <w:pPr>
              <w:spacing w:after="0" w:line="240" w:lineRule="auto"/>
              <w:jc w:val="left"/>
              <w:rPr>
                <w:rFonts w:cs="Tahoma"/>
                <w:sz w:val="16"/>
                <w:szCs w:val="16"/>
              </w:rPr>
            </w:pPr>
            <w:r w:rsidRPr="00DB1559">
              <w:rPr>
                <w:rFonts w:cs="Tahoma"/>
                <w:sz w:val="16"/>
                <w:szCs w:val="16"/>
              </w:rPr>
              <w:t>PO7 Technická pomoc</w:t>
            </w:r>
          </w:p>
        </w:tc>
        <w:tc>
          <w:tcPr>
            <w:tcW w:w="1134" w:type="dxa"/>
            <w:vAlign w:val="center"/>
          </w:tcPr>
          <w:p w:rsidR="009D46E6" w:rsidRPr="00DB1559" w:rsidRDefault="009D46E6" w:rsidP="00DB1559">
            <w:pPr>
              <w:spacing w:after="0" w:line="240" w:lineRule="auto"/>
              <w:jc w:val="right"/>
              <w:rPr>
                <w:rFonts w:cs="Tahoma"/>
                <w:sz w:val="16"/>
                <w:szCs w:val="16"/>
              </w:rPr>
            </w:pPr>
            <w:r w:rsidRPr="00DB1559">
              <w:rPr>
                <w:rFonts w:cs="Tahoma"/>
                <w:sz w:val="16"/>
                <w:szCs w:val="16"/>
              </w:rPr>
              <w:t>1,2 mld. Kč</w:t>
            </w:r>
          </w:p>
          <w:p w:rsidR="009D46E6" w:rsidRPr="00DB1559" w:rsidRDefault="009D46E6" w:rsidP="00DB1559">
            <w:pPr>
              <w:spacing w:after="0" w:line="240" w:lineRule="auto"/>
              <w:jc w:val="right"/>
              <w:rPr>
                <w:rFonts w:cs="Tahoma"/>
                <w:sz w:val="16"/>
                <w:szCs w:val="16"/>
              </w:rPr>
            </w:pPr>
            <w:r w:rsidRPr="00DB1559">
              <w:rPr>
                <w:rFonts w:cs="Tahoma"/>
                <w:sz w:val="16"/>
                <w:szCs w:val="16"/>
              </w:rPr>
              <w:t>24,4 mld. Kč</w:t>
            </w:r>
          </w:p>
          <w:p w:rsidR="009D46E6" w:rsidRPr="00DB1559" w:rsidRDefault="009D46E6" w:rsidP="00DB1559">
            <w:pPr>
              <w:spacing w:after="0" w:line="240" w:lineRule="auto"/>
              <w:jc w:val="right"/>
              <w:rPr>
                <w:rFonts w:cs="Tahoma"/>
                <w:sz w:val="16"/>
                <w:szCs w:val="16"/>
              </w:rPr>
            </w:pPr>
            <w:r w:rsidRPr="00DB1559">
              <w:rPr>
                <w:rFonts w:cs="Tahoma"/>
                <w:sz w:val="16"/>
                <w:szCs w:val="16"/>
              </w:rPr>
              <w:t>12,6 mld. Kč</w:t>
            </w:r>
          </w:p>
          <w:p w:rsidR="009D46E6" w:rsidRPr="00DB1559" w:rsidRDefault="009D46E6" w:rsidP="00DB1559">
            <w:pPr>
              <w:spacing w:after="0" w:line="240" w:lineRule="auto"/>
              <w:jc w:val="right"/>
              <w:rPr>
                <w:rFonts w:cs="Tahoma"/>
                <w:color w:val="C3003C"/>
                <w:sz w:val="16"/>
                <w:szCs w:val="16"/>
              </w:rPr>
            </w:pPr>
            <w:r w:rsidRPr="00DB1559">
              <w:rPr>
                <w:rFonts w:cs="Tahoma"/>
                <w:color w:val="C3003C"/>
                <w:sz w:val="16"/>
                <w:szCs w:val="16"/>
              </w:rPr>
              <w:t>25,6 mld. Kč</w:t>
            </w:r>
          </w:p>
          <w:p w:rsidR="009D46E6" w:rsidRPr="00DB1559" w:rsidRDefault="009D46E6" w:rsidP="00DB1559">
            <w:pPr>
              <w:spacing w:after="0" w:line="240" w:lineRule="auto"/>
              <w:jc w:val="right"/>
              <w:rPr>
                <w:rFonts w:cs="Tahoma"/>
                <w:color w:val="C3003C"/>
                <w:sz w:val="16"/>
                <w:szCs w:val="16"/>
              </w:rPr>
            </w:pPr>
            <w:r w:rsidRPr="00DB1559">
              <w:rPr>
                <w:rFonts w:cs="Tahoma"/>
                <w:color w:val="C3003C"/>
                <w:sz w:val="16"/>
                <w:szCs w:val="16"/>
              </w:rPr>
              <w:t>24,8 mld. Kč</w:t>
            </w:r>
          </w:p>
          <w:p w:rsidR="009D46E6" w:rsidRPr="00DB1559" w:rsidRDefault="009D46E6" w:rsidP="00DB1559">
            <w:pPr>
              <w:spacing w:after="0" w:line="240" w:lineRule="auto"/>
              <w:jc w:val="right"/>
              <w:rPr>
                <w:rFonts w:cs="Tahoma"/>
                <w:sz w:val="16"/>
                <w:szCs w:val="16"/>
              </w:rPr>
            </w:pPr>
            <w:r w:rsidRPr="00DB1559">
              <w:rPr>
                <w:rFonts w:cs="Tahoma"/>
                <w:sz w:val="16"/>
                <w:szCs w:val="16"/>
              </w:rPr>
              <w:t>2,3 mld. Kč</w:t>
            </w:r>
          </w:p>
          <w:p w:rsidR="009D46E6" w:rsidRPr="00DB1559" w:rsidRDefault="009D46E6" w:rsidP="00DB1559">
            <w:pPr>
              <w:spacing w:after="0" w:line="240" w:lineRule="auto"/>
              <w:jc w:val="right"/>
              <w:rPr>
                <w:rFonts w:cs="Tahoma"/>
                <w:sz w:val="16"/>
                <w:szCs w:val="16"/>
              </w:rPr>
            </w:pPr>
            <w:r w:rsidRPr="00DB1559">
              <w:rPr>
                <w:rFonts w:cs="Tahoma"/>
                <w:sz w:val="16"/>
                <w:szCs w:val="16"/>
              </w:rPr>
              <w:t>2,8 mld. Kč</w:t>
            </w:r>
          </w:p>
        </w:tc>
      </w:tr>
      <w:tr w:rsidR="009D46E6" w:rsidRPr="00DB1559" w:rsidTr="00DB1559">
        <w:trPr>
          <w:trHeight w:val="283"/>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color w:val="C3003C"/>
                <w:sz w:val="16"/>
                <w:szCs w:val="16"/>
              </w:rPr>
              <w:t>Zaměření</w:t>
            </w:r>
          </w:p>
        </w:tc>
        <w:tc>
          <w:tcPr>
            <w:tcW w:w="850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Podpora inovačních aktivit podniků a rozvoje kapacit pro průmyslový VaV, posilování spolupráci průmyslu se subjekty z oblasti VaV, zkvalitnění infrastruktury pro průmyslový VaV a efektivnější využití lidského potenciálu v průmyslu</w:t>
            </w:r>
          </w:p>
        </w:tc>
      </w:tr>
      <w:tr w:rsidR="009D46E6" w:rsidRPr="00DB1559" w:rsidTr="00DB1559">
        <w:trPr>
          <w:trHeight w:val="227"/>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color w:val="C3003C"/>
                <w:sz w:val="16"/>
                <w:szCs w:val="16"/>
              </w:rPr>
              <w:t>Char. podpory</w:t>
            </w:r>
          </w:p>
        </w:tc>
        <w:tc>
          <w:tcPr>
            <w:tcW w:w="850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Investice do inovací, infrastruktury a podmínek pro spolupráci aplikační a akademické sféry</w:t>
            </w:r>
          </w:p>
        </w:tc>
      </w:tr>
      <w:tr w:rsidR="009D46E6" w:rsidRPr="00DB1559" w:rsidTr="00DB1559">
        <w:trPr>
          <w:trHeight w:val="227"/>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Způs. regiony</w:t>
            </w:r>
          </w:p>
        </w:tc>
        <w:tc>
          <w:tcPr>
            <w:tcW w:w="850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ČR mimo hl. m. Prahy</w:t>
            </w:r>
          </w:p>
        </w:tc>
      </w:tr>
      <w:tr w:rsidR="009D46E6" w:rsidRPr="00DB1559" w:rsidTr="00DB1559">
        <w:trPr>
          <w:trHeight w:val="283"/>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Řídící orgán</w:t>
            </w:r>
          </w:p>
        </w:tc>
        <w:tc>
          <w:tcPr>
            <w:tcW w:w="850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Ministerstvo průmyslu a obchodu [</w:t>
            </w:r>
            <w:hyperlink r:id="rId249" w:history="1">
              <w:r w:rsidRPr="00DB1559">
                <w:rPr>
                  <w:rStyle w:val="Hyperlink"/>
                  <w:rFonts w:cs="Tahoma"/>
                  <w:sz w:val="16"/>
                  <w:szCs w:val="16"/>
                </w:rPr>
                <w:t>http://www.mpo.cz/cz/podpora-podnikani/oppi</w:t>
              </w:r>
            </w:hyperlink>
            <w:r w:rsidRPr="00DB1559">
              <w:rPr>
                <w:rFonts w:cs="Tahoma"/>
                <w:sz w:val="16"/>
                <w:szCs w:val="16"/>
              </w:rPr>
              <w:t>]</w:t>
            </w:r>
          </w:p>
          <w:p w:rsidR="009D46E6" w:rsidRPr="00DB1559" w:rsidRDefault="009D46E6" w:rsidP="00DB1559">
            <w:pPr>
              <w:spacing w:after="0" w:line="240" w:lineRule="auto"/>
              <w:jc w:val="left"/>
              <w:rPr>
                <w:rFonts w:cs="Tahoma"/>
                <w:sz w:val="16"/>
                <w:szCs w:val="16"/>
              </w:rPr>
            </w:pPr>
            <w:r w:rsidRPr="00DB1559">
              <w:rPr>
                <w:rFonts w:cs="Tahoma"/>
                <w:sz w:val="16"/>
                <w:szCs w:val="16"/>
              </w:rPr>
              <w:t>CzechInvest - zprostředkující subjekt [</w:t>
            </w:r>
            <w:hyperlink r:id="rId250" w:history="1">
              <w:r w:rsidRPr="00DB1559">
                <w:rPr>
                  <w:rStyle w:val="Hyperlink"/>
                  <w:rFonts w:cs="Tahoma"/>
                  <w:sz w:val="16"/>
                  <w:szCs w:val="16"/>
                </w:rPr>
                <w:t>http://www.czechinvest.org/podnikani-a-inovace</w:t>
              </w:r>
            </w:hyperlink>
            <w:r w:rsidRPr="00DB1559">
              <w:rPr>
                <w:rFonts w:cs="Tahoma"/>
                <w:sz w:val="16"/>
                <w:szCs w:val="16"/>
              </w:rPr>
              <w:t>]</w:t>
            </w:r>
          </w:p>
        </w:tc>
      </w:tr>
    </w:tbl>
    <w:p w:rsidR="009D46E6" w:rsidRDefault="009D46E6" w:rsidP="00866283">
      <w:pPr>
        <w:pStyle w:val="Zdroj"/>
      </w:pPr>
      <w:r>
        <w:t>Pozn.: Zvýrazněné = relevantní</w:t>
      </w:r>
    </w:p>
    <w:p w:rsidR="009D46E6" w:rsidRDefault="009D46E6" w:rsidP="00866283">
      <w:pPr>
        <w:pStyle w:val="Zdroj"/>
      </w:pPr>
      <w:r w:rsidRPr="00D43170">
        <w:t xml:space="preserve">Zdroj: </w:t>
      </w:r>
      <w:r>
        <w:t>Programová dokumentace OPPI [</w:t>
      </w:r>
      <w:hyperlink r:id="rId251" w:anchor="category368" w:history="1">
        <w:r>
          <w:rPr>
            <w:rStyle w:val="Hyperlink"/>
            <w:rFonts w:cs="MetaPro-Normal"/>
          </w:rPr>
          <w:t>http://www.mpo.cz/cz/podpora-podnikani/oppi/#category368</w:t>
        </w:r>
      </w:hyperlink>
      <w:r>
        <w:t>]</w:t>
      </w:r>
    </w:p>
    <w:p w:rsidR="009D46E6" w:rsidRDefault="009D46E6" w:rsidP="00866283"/>
    <w:p w:rsidR="009D46E6" w:rsidRPr="00FC149D" w:rsidRDefault="009D46E6" w:rsidP="00866283">
      <w:r>
        <w:t>OPPI jako celek v plnění některých indikátorů mírně zaostává za finančním čerpáním, což však vychází z povahy intervencí, kdy jsou aktivity realizovány zčásti pomocí finančních nástrojů, jejichž věcné plnění je obtížně sledovatelné a s dlouhodobými efekty. S přispěním peněz z EU bylo prozatím podpořeno 4 648 projektů na podporu malých a středních podniků (deklarovaný přírůstek přidané hodnoty u podpořených firem činí 35 %). Příjemci OPPI se zavázali, že podpoří 3 069 inovací, z toho bylo k červnu 2013 skutečně zrealizováno 1 648. Vzhledem k vyšší extrapolované míře chybovosti neprobíhá aktuálně předkládání žádostí o platbu k refundaci z Evropské komise.</w:t>
      </w:r>
    </w:p>
    <w:p w:rsidR="009D46E6" w:rsidRDefault="009D46E6" w:rsidP="00866283">
      <w:r>
        <w:t>Program Inovace má vysokou absorpční kapacitu a ani navzdory nepříznivému vývoji tuzemské ekonomiky by nemělo dojít k problémům při realizaci a ukončování podpořených projektů. Totéž platí i o programu Potenciál, kde objem žádostí výrazně převyšuje disponibilní finanční zdroje. Určité problémy se v tomto směru objevují u oblasti podpory 5.1 Spolupráce, zřejmě proto, že se orientuje na aktivity, které nejsou mezi firmami v Česku natolik zažité. Efektivní poptávka v programu Prosperita je výrazně nižší než absolutní, přičemž za hlavní příčiny výše uvedených jevů lze považovat nezájem ze strany vysokých škol a municipalit i časovou náročností získání územního a stavebního povolení.</w:t>
      </w:r>
    </w:p>
    <w:p w:rsidR="009D46E6" w:rsidRPr="00FC149D" w:rsidRDefault="009D46E6" w:rsidP="00866283">
      <w:r>
        <w:t>Rozdíly mezi PO jsou i v hodnocení účelnosti jednotlivých forem podpory. Pozitivní výsledky při zvyšování inovační výkonnosti podniků a jejich kapacit pro VaVaI</w:t>
      </w:r>
      <w:r w:rsidRPr="0085611F">
        <w:t xml:space="preserve"> </w:t>
      </w:r>
      <w:r>
        <w:t>vykazuje PO4 - v dotazníkovém šetření potvrdilo</w:t>
      </w:r>
      <w:r w:rsidRPr="00EB6A0D">
        <w:t xml:space="preserve"> </w:t>
      </w:r>
      <w:r>
        <w:t>pozitivní vliv na celkové náklady produkce 66 % respondentů</w:t>
      </w:r>
      <w:r>
        <w:rPr>
          <w:rStyle w:val="FootnoteReference"/>
          <w:rFonts w:cs="MetaPro-Normal"/>
        </w:rPr>
        <w:footnoteReference w:id="63"/>
      </w:r>
      <w:r>
        <w:t>. V případě zakládání vědeckotechnických parků a center pro transfer technologií se zřejmě potvrzuje jistá nasycenost trhu. Rozvoj kooperačních odvětvových uskupení zřejmě pro dosažení hmatatelnějších výsledků vyžaduje upravení podporovaných aktivity.</w:t>
      </w:r>
    </w:p>
    <w:p w:rsidR="009D46E6" w:rsidRPr="00BC1D05" w:rsidRDefault="009D46E6" w:rsidP="00750D9B">
      <w:pPr>
        <w:pStyle w:val="Caption"/>
      </w:pPr>
      <w:bookmarkStart w:id="254" w:name="_Toc369091949"/>
      <w:r>
        <w:t xml:space="preserve">Tabulka </w:t>
      </w:r>
      <w:fldSimple w:instr=" STYLEREF 1 \s ">
        <w:r>
          <w:rPr>
            <w:noProof/>
          </w:rPr>
          <w:t>F</w:t>
        </w:r>
      </w:fldSimple>
      <w:r>
        <w:t>.</w:t>
      </w:r>
      <w:fldSimple w:instr=" SEQ Tabulka \* ARABIC \s 1 ">
        <w:r>
          <w:rPr>
            <w:noProof/>
          </w:rPr>
          <w:t>9</w:t>
        </w:r>
      </w:fldSimple>
      <w:r w:rsidRPr="00BC1D05">
        <w:t xml:space="preserve">: </w:t>
      </w:r>
      <w:r>
        <w:t>Stav čerpání OPPI</w:t>
      </w:r>
      <w:bookmarkEnd w:id="254"/>
    </w:p>
    <w:tbl>
      <w:tblPr>
        <w:tblW w:w="9637"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top w:w="28" w:type="dxa"/>
          <w:left w:w="57" w:type="dxa"/>
          <w:bottom w:w="28" w:type="dxa"/>
          <w:right w:w="57" w:type="dxa"/>
        </w:tblCellMar>
        <w:tblLook w:val="0000"/>
      </w:tblPr>
      <w:tblGrid>
        <w:gridCol w:w="1134"/>
        <w:gridCol w:w="1020"/>
        <w:gridCol w:w="680"/>
        <w:gridCol w:w="1020"/>
        <w:gridCol w:w="1021"/>
        <w:gridCol w:w="680"/>
        <w:gridCol w:w="1020"/>
        <w:gridCol w:w="1021"/>
        <w:gridCol w:w="1020"/>
        <w:gridCol w:w="1021"/>
      </w:tblGrid>
      <w:tr w:rsidR="009D46E6" w:rsidRPr="00DB1559" w:rsidTr="00866283">
        <w:trPr>
          <w:trHeight w:val="226"/>
          <w:jc w:val="center"/>
        </w:trPr>
        <w:tc>
          <w:tcPr>
            <w:tcW w:w="1134" w:type="dxa"/>
            <w:vMerge w:val="restart"/>
            <w:vAlign w:val="center"/>
          </w:tcPr>
          <w:p w:rsidR="009D46E6" w:rsidRPr="00DB1559" w:rsidRDefault="009D46E6" w:rsidP="00866283">
            <w:pPr>
              <w:spacing w:after="0" w:line="240" w:lineRule="auto"/>
              <w:jc w:val="center"/>
              <w:rPr>
                <w:rFonts w:cs="Tahoma"/>
                <w:bCs/>
                <w:color w:val="008CCD"/>
                <w:sz w:val="16"/>
                <w:szCs w:val="16"/>
              </w:rPr>
            </w:pPr>
            <w:r w:rsidRPr="00DB1559">
              <w:rPr>
                <w:rFonts w:cs="Tahoma"/>
                <w:bCs/>
                <w:color w:val="008CCD"/>
                <w:sz w:val="16"/>
                <w:szCs w:val="16"/>
              </w:rPr>
              <w:t>Sekce</w:t>
            </w:r>
          </w:p>
        </w:tc>
        <w:tc>
          <w:tcPr>
            <w:tcW w:w="1020" w:type="dxa"/>
            <w:vMerge w:val="restart"/>
            <w:vAlign w:val="center"/>
          </w:tcPr>
          <w:p w:rsidR="009D46E6" w:rsidRPr="00DB1559" w:rsidRDefault="009D46E6" w:rsidP="00866283">
            <w:pPr>
              <w:spacing w:after="0" w:line="240" w:lineRule="auto"/>
              <w:jc w:val="center"/>
              <w:rPr>
                <w:rFonts w:cs="Tahoma"/>
                <w:bCs/>
                <w:color w:val="008CCD"/>
                <w:sz w:val="16"/>
                <w:szCs w:val="16"/>
              </w:rPr>
            </w:pPr>
            <w:r w:rsidRPr="00DB1559">
              <w:rPr>
                <w:rFonts w:cs="Tahoma"/>
                <w:bCs/>
                <w:color w:val="008CCD"/>
                <w:sz w:val="16"/>
                <w:szCs w:val="16"/>
              </w:rPr>
              <w:t>Celková alokace</w:t>
            </w:r>
            <w:r w:rsidRPr="00DB1559">
              <w:rPr>
                <w:rFonts w:cs="Tahoma"/>
                <w:bCs/>
                <w:color w:val="008CCD"/>
                <w:sz w:val="16"/>
                <w:szCs w:val="16"/>
              </w:rPr>
              <w:br/>
              <w:t>[mil. Kč]</w:t>
            </w:r>
          </w:p>
        </w:tc>
        <w:tc>
          <w:tcPr>
            <w:tcW w:w="2721" w:type="dxa"/>
            <w:gridSpan w:val="3"/>
            <w:vAlign w:val="center"/>
          </w:tcPr>
          <w:p w:rsidR="009D46E6" w:rsidRPr="00DB1559" w:rsidRDefault="009D46E6" w:rsidP="00866283">
            <w:pPr>
              <w:spacing w:after="0" w:line="240" w:lineRule="auto"/>
              <w:jc w:val="center"/>
              <w:rPr>
                <w:rFonts w:cs="Tahoma"/>
                <w:bCs/>
                <w:color w:val="008CCD"/>
                <w:sz w:val="16"/>
                <w:szCs w:val="16"/>
              </w:rPr>
            </w:pPr>
            <w:r w:rsidRPr="00DB1559">
              <w:rPr>
                <w:rFonts w:cs="Tahoma"/>
                <w:bCs/>
                <w:color w:val="008CCD"/>
                <w:sz w:val="16"/>
                <w:szCs w:val="16"/>
              </w:rPr>
              <w:t>Podané žádosti</w:t>
            </w:r>
          </w:p>
        </w:tc>
        <w:tc>
          <w:tcPr>
            <w:tcW w:w="2721" w:type="dxa"/>
            <w:gridSpan w:val="3"/>
            <w:vAlign w:val="center"/>
          </w:tcPr>
          <w:p w:rsidR="009D46E6" w:rsidRPr="00DB1559" w:rsidRDefault="009D46E6" w:rsidP="00866283">
            <w:pPr>
              <w:spacing w:after="0" w:line="240" w:lineRule="auto"/>
              <w:jc w:val="center"/>
              <w:rPr>
                <w:rFonts w:cs="Tahoma"/>
                <w:bCs/>
                <w:color w:val="008CCD"/>
                <w:sz w:val="16"/>
                <w:szCs w:val="16"/>
              </w:rPr>
            </w:pPr>
            <w:r w:rsidRPr="00DB1559">
              <w:rPr>
                <w:rFonts w:cs="Tahoma"/>
                <w:bCs/>
                <w:color w:val="008CCD"/>
                <w:sz w:val="16"/>
                <w:szCs w:val="16"/>
              </w:rPr>
              <w:t>Projekty s vydaným rozhodnutím</w:t>
            </w:r>
          </w:p>
        </w:tc>
        <w:tc>
          <w:tcPr>
            <w:tcW w:w="2041" w:type="dxa"/>
            <w:gridSpan w:val="2"/>
          </w:tcPr>
          <w:p w:rsidR="009D46E6" w:rsidRPr="00DB1559" w:rsidRDefault="009D46E6" w:rsidP="00866283">
            <w:pPr>
              <w:spacing w:after="0" w:line="240" w:lineRule="auto"/>
              <w:jc w:val="center"/>
              <w:rPr>
                <w:rFonts w:cs="Tahoma"/>
                <w:bCs/>
                <w:color w:val="008CCD"/>
                <w:sz w:val="16"/>
                <w:szCs w:val="16"/>
              </w:rPr>
            </w:pPr>
            <w:r w:rsidRPr="00DB1559">
              <w:rPr>
                <w:rFonts w:cs="Tahoma"/>
                <w:bCs/>
                <w:color w:val="008CCD"/>
                <w:sz w:val="16"/>
                <w:szCs w:val="16"/>
              </w:rPr>
              <w:t>Certifikované výdaje</w:t>
            </w:r>
          </w:p>
        </w:tc>
      </w:tr>
      <w:tr w:rsidR="009D46E6" w:rsidRPr="00DB1559" w:rsidTr="00866283">
        <w:trPr>
          <w:trHeight w:val="226"/>
          <w:jc w:val="center"/>
        </w:trPr>
        <w:tc>
          <w:tcPr>
            <w:tcW w:w="1134" w:type="dxa"/>
            <w:vMerge/>
            <w:tcBorders>
              <w:bottom w:val="single" w:sz="4" w:space="0" w:color="404040"/>
            </w:tcBorders>
            <w:vAlign w:val="center"/>
          </w:tcPr>
          <w:p w:rsidR="009D46E6" w:rsidRPr="00DB1559" w:rsidRDefault="009D46E6" w:rsidP="00866283">
            <w:pPr>
              <w:spacing w:after="0" w:line="240" w:lineRule="auto"/>
              <w:jc w:val="center"/>
              <w:rPr>
                <w:rFonts w:cs="Tahoma"/>
                <w:bCs/>
                <w:color w:val="008CCD"/>
                <w:sz w:val="16"/>
                <w:szCs w:val="16"/>
              </w:rPr>
            </w:pPr>
          </w:p>
        </w:tc>
        <w:tc>
          <w:tcPr>
            <w:tcW w:w="1020" w:type="dxa"/>
            <w:vMerge/>
            <w:tcBorders>
              <w:bottom w:val="single" w:sz="4" w:space="0" w:color="404040"/>
            </w:tcBorders>
            <w:vAlign w:val="center"/>
          </w:tcPr>
          <w:p w:rsidR="009D46E6" w:rsidRPr="00DB1559" w:rsidRDefault="009D46E6" w:rsidP="00866283">
            <w:pPr>
              <w:spacing w:after="0" w:line="240" w:lineRule="auto"/>
              <w:jc w:val="center"/>
              <w:rPr>
                <w:rFonts w:cs="Tahoma"/>
                <w:bCs/>
                <w:color w:val="008CCD"/>
                <w:sz w:val="16"/>
                <w:szCs w:val="16"/>
              </w:rPr>
            </w:pPr>
          </w:p>
        </w:tc>
        <w:tc>
          <w:tcPr>
            <w:tcW w:w="680"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Počet</w:t>
            </w:r>
          </w:p>
        </w:tc>
        <w:tc>
          <w:tcPr>
            <w:tcW w:w="1020"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[mil. Kč]</w:t>
            </w:r>
          </w:p>
        </w:tc>
        <w:tc>
          <w:tcPr>
            <w:tcW w:w="1021"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 alokace]</w:t>
            </w:r>
          </w:p>
        </w:tc>
        <w:tc>
          <w:tcPr>
            <w:tcW w:w="680"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Počet</w:t>
            </w:r>
          </w:p>
        </w:tc>
        <w:tc>
          <w:tcPr>
            <w:tcW w:w="1020"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[mil. Kč]</w:t>
            </w:r>
          </w:p>
        </w:tc>
        <w:tc>
          <w:tcPr>
            <w:tcW w:w="1021"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 alokace]</w:t>
            </w:r>
          </w:p>
        </w:tc>
        <w:tc>
          <w:tcPr>
            <w:tcW w:w="1020"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[mil. Kč]</w:t>
            </w:r>
          </w:p>
        </w:tc>
        <w:tc>
          <w:tcPr>
            <w:tcW w:w="1021"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 alokace]</w:t>
            </w:r>
          </w:p>
        </w:tc>
      </w:tr>
      <w:tr w:rsidR="009D46E6" w:rsidRPr="00DB1559" w:rsidTr="00866283">
        <w:trPr>
          <w:trHeight w:val="226"/>
          <w:jc w:val="center"/>
        </w:trPr>
        <w:tc>
          <w:tcPr>
            <w:tcW w:w="1134" w:type="dxa"/>
            <w:tcBorders>
              <w:top w:val="single" w:sz="4" w:space="0" w:color="404040"/>
            </w:tcBorders>
            <w:vAlign w:val="center"/>
          </w:tcPr>
          <w:p w:rsidR="009D46E6" w:rsidRPr="00DB1559" w:rsidRDefault="009D46E6" w:rsidP="00866283">
            <w:pPr>
              <w:spacing w:after="0" w:line="240" w:lineRule="auto"/>
              <w:jc w:val="left"/>
              <w:rPr>
                <w:rFonts w:cs="Tahoma"/>
                <w:color w:val="9B9BA0"/>
                <w:sz w:val="16"/>
                <w:szCs w:val="16"/>
              </w:rPr>
            </w:pPr>
            <w:r w:rsidRPr="00DB1559">
              <w:rPr>
                <w:rFonts w:cs="Tahoma"/>
                <w:bCs/>
                <w:color w:val="9B9BA0"/>
                <w:sz w:val="16"/>
                <w:szCs w:val="16"/>
              </w:rPr>
              <w:t>PO4</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25 616,1</w:t>
            </w:r>
          </w:p>
        </w:tc>
        <w:tc>
          <w:tcPr>
            <w:tcW w:w="680"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3 764</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62 086,8</w:t>
            </w:r>
          </w:p>
        </w:tc>
        <w:tc>
          <w:tcPr>
            <w:tcW w:w="1021"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242,4</w:t>
            </w:r>
          </w:p>
        </w:tc>
        <w:tc>
          <w:tcPr>
            <w:tcW w:w="680"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1 727</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24 505,7</w:t>
            </w:r>
          </w:p>
        </w:tc>
        <w:tc>
          <w:tcPr>
            <w:tcW w:w="1021"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95,7</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6 332,2</w:t>
            </w:r>
          </w:p>
        </w:tc>
        <w:tc>
          <w:tcPr>
            <w:tcW w:w="1021"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24,7</w:t>
            </w:r>
          </w:p>
        </w:tc>
      </w:tr>
      <w:tr w:rsidR="009D46E6" w:rsidRPr="00DB1559" w:rsidTr="00866283">
        <w:trPr>
          <w:trHeight w:val="226"/>
          <w:jc w:val="center"/>
        </w:trPr>
        <w:tc>
          <w:tcPr>
            <w:tcW w:w="1134" w:type="dxa"/>
            <w:vAlign w:val="center"/>
          </w:tcPr>
          <w:p w:rsidR="009D46E6" w:rsidRPr="00DB1559" w:rsidRDefault="009D46E6" w:rsidP="00866283">
            <w:pPr>
              <w:spacing w:after="0" w:line="240" w:lineRule="auto"/>
              <w:jc w:val="left"/>
              <w:rPr>
                <w:rFonts w:cs="Tahoma"/>
                <w:bCs/>
                <w:color w:val="C3003C"/>
                <w:sz w:val="16"/>
                <w:szCs w:val="16"/>
              </w:rPr>
            </w:pPr>
            <w:r w:rsidRPr="00DB1559">
              <w:rPr>
                <w:rFonts w:cs="Tahoma"/>
                <w:bCs/>
                <w:color w:val="C3003C"/>
                <w:sz w:val="16"/>
                <w:szCs w:val="16"/>
              </w:rPr>
              <w:t>PO4 - OP 4.1</w:t>
            </w:r>
          </w:p>
        </w:tc>
        <w:tc>
          <w:tcPr>
            <w:tcW w:w="1020" w:type="dxa"/>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16 892,1</w:t>
            </w:r>
          </w:p>
        </w:tc>
        <w:tc>
          <w:tcPr>
            <w:tcW w:w="680" w:type="dxa"/>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2 662</w:t>
            </w:r>
          </w:p>
        </w:tc>
        <w:tc>
          <w:tcPr>
            <w:tcW w:w="1020" w:type="dxa"/>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41 649,0</w:t>
            </w:r>
          </w:p>
        </w:tc>
        <w:tc>
          <w:tcPr>
            <w:tcW w:w="1021" w:type="dxa"/>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246,6</w:t>
            </w:r>
          </w:p>
        </w:tc>
        <w:tc>
          <w:tcPr>
            <w:tcW w:w="680" w:type="dxa"/>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1 234</w:t>
            </w:r>
          </w:p>
        </w:tc>
        <w:tc>
          <w:tcPr>
            <w:tcW w:w="1020" w:type="dxa"/>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16 986,9</w:t>
            </w:r>
          </w:p>
        </w:tc>
        <w:tc>
          <w:tcPr>
            <w:tcW w:w="1021" w:type="dxa"/>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100,6</w:t>
            </w:r>
          </w:p>
        </w:tc>
        <w:tc>
          <w:tcPr>
            <w:tcW w:w="1020" w:type="dxa"/>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4 363,9</w:t>
            </w:r>
          </w:p>
        </w:tc>
        <w:tc>
          <w:tcPr>
            <w:tcW w:w="1021" w:type="dxa"/>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25,8</w:t>
            </w:r>
          </w:p>
        </w:tc>
      </w:tr>
      <w:tr w:rsidR="009D46E6" w:rsidRPr="00DB1559" w:rsidTr="00866283">
        <w:trPr>
          <w:trHeight w:val="226"/>
          <w:jc w:val="center"/>
        </w:trPr>
        <w:tc>
          <w:tcPr>
            <w:tcW w:w="1134" w:type="dxa"/>
            <w:vAlign w:val="center"/>
          </w:tcPr>
          <w:p w:rsidR="009D46E6" w:rsidRPr="00DB1559" w:rsidRDefault="009D46E6" w:rsidP="00866283">
            <w:pPr>
              <w:spacing w:after="0" w:line="240" w:lineRule="auto"/>
              <w:jc w:val="left"/>
              <w:rPr>
                <w:rFonts w:cs="Tahoma"/>
                <w:bCs/>
                <w:color w:val="C3003C"/>
                <w:sz w:val="16"/>
                <w:szCs w:val="16"/>
              </w:rPr>
            </w:pPr>
            <w:r w:rsidRPr="00DB1559">
              <w:rPr>
                <w:rFonts w:cs="Tahoma"/>
                <w:bCs/>
                <w:color w:val="C3003C"/>
                <w:sz w:val="16"/>
                <w:szCs w:val="16"/>
              </w:rPr>
              <w:t>PO2 - OP 4.2</w:t>
            </w:r>
          </w:p>
        </w:tc>
        <w:tc>
          <w:tcPr>
            <w:tcW w:w="1020" w:type="dxa"/>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8 724,1</w:t>
            </w:r>
          </w:p>
        </w:tc>
        <w:tc>
          <w:tcPr>
            <w:tcW w:w="680" w:type="dxa"/>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1 102</w:t>
            </w:r>
          </w:p>
        </w:tc>
        <w:tc>
          <w:tcPr>
            <w:tcW w:w="1020" w:type="dxa"/>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20 437,7</w:t>
            </w:r>
          </w:p>
        </w:tc>
        <w:tc>
          <w:tcPr>
            <w:tcW w:w="1021" w:type="dxa"/>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234,3</w:t>
            </w:r>
          </w:p>
        </w:tc>
        <w:tc>
          <w:tcPr>
            <w:tcW w:w="680" w:type="dxa"/>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493</w:t>
            </w:r>
          </w:p>
        </w:tc>
        <w:tc>
          <w:tcPr>
            <w:tcW w:w="1020" w:type="dxa"/>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7 518,8</w:t>
            </w:r>
          </w:p>
        </w:tc>
        <w:tc>
          <w:tcPr>
            <w:tcW w:w="1021" w:type="dxa"/>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86,2</w:t>
            </w:r>
          </w:p>
        </w:tc>
        <w:tc>
          <w:tcPr>
            <w:tcW w:w="1020" w:type="dxa"/>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1 968,4</w:t>
            </w:r>
          </w:p>
        </w:tc>
        <w:tc>
          <w:tcPr>
            <w:tcW w:w="1021" w:type="dxa"/>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22,6</w:t>
            </w:r>
          </w:p>
        </w:tc>
      </w:tr>
      <w:tr w:rsidR="009D46E6" w:rsidRPr="00DB1559" w:rsidTr="00866283">
        <w:trPr>
          <w:trHeight w:val="226"/>
          <w:jc w:val="center"/>
        </w:trPr>
        <w:tc>
          <w:tcPr>
            <w:tcW w:w="1134" w:type="dxa"/>
            <w:vAlign w:val="center"/>
          </w:tcPr>
          <w:p w:rsidR="009D46E6" w:rsidRPr="00DB1559" w:rsidRDefault="009D46E6" w:rsidP="00866283">
            <w:pPr>
              <w:spacing w:after="0" w:line="240" w:lineRule="auto"/>
              <w:jc w:val="left"/>
              <w:rPr>
                <w:rFonts w:cs="Tahoma"/>
                <w:color w:val="9B9BA0"/>
                <w:sz w:val="16"/>
                <w:szCs w:val="16"/>
              </w:rPr>
            </w:pPr>
            <w:r w:rsidRPr="00DB1559">
              <w:rPr>
                <w:rFonts w:cs="Tahoma"/>
                <w:bCs/>
                <w:color w:val="9B9BA0"/>
                <w:sz w:val="16"/>
                <w:szCs w:val="16"/>
              </w:rPr>
              <w:t xml:space="preserve">PO5 </w:t>
            </w:r>
          </w:p>
        </w:tc>
        <w:tc>
          <w:tcPr>
            <w:tcW w:w="1020" w:type="dxa"/>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24 840,0</w:t>
            </w:r>
          </w:p>
        </w:tc>
        <w:tc>
          <w:tcPr>
            <w:tcW w:w="680" w:type="dxa"/>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2 377</w:t>
            </w:r>
          </w:p>
        </w:tc>
        <w:tc>
          <w:tcPr>
            <w:tcW w:w="1020" w:type="dxa"/>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42 383,6</w:t>
            </w:r>
          </w:p>
        </w:tc>
        <w:tc>
          <w:tcPr>
            <w:tcW w:w="1021" w:type="dxa"/>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170,6</w:t>
            </w:r>
          </w:p>
        </w:tc>
        <w:tc>
          <w:tcPr>
            <w:tcW w:w="680" w:type="dxa"/>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1 640</w:t>
            </w:r>
          </w:p>
        </w:tc>
        <w:tc>
          <w:tcPr>
            <w:tcW w:w="1020" w:type="dxa"/>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25 516,1</w:t>
            </w:r>
          </w:p>
        </w:tc>
        <w:tc>
          <w:tcPr>
            <w:tcW w:w="1021" w:type="dxa"/>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102,7</w:t>
            </w:r>
          </w:p>
        </w:tc>
        <w:tc>
          <w:tcPr>
            <w:tcW w:w="1020" w:type="dxa"/>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7 356,1</w:t>
            </w:r>
          </w:p>
        </w:tc>
        <w:tc>
          <w:tcPr>
            <w:tcW w:w="1021" w:type="dxa"/>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29,6</w:t>
            </w:r>
          </w:p>
        </w:tc>
      </w:tr>
      <w:tr w:rsidR="009D46E6" w:rsidRPr="00DB1559" w:rsidTr="00866283">
        <w:trPr>
          <w:trHeight w:val="226"/>
          <w:jc w:val="center"/>
        </w:trPr>
        <w:tc>
          <w:tcPr>
            <w:tcW w:w="1134" w:type="dxa"/>
            <w:tcBorders>
              <w:bottom w:val="single" w:sz="4" w:space="0" w:color="404040"/>
            </w:tcBorders>
            <w:vAlign w:val="center"/>
          </w:tcPr>
          <w:p w:rsidR="009D46E6" w:rsidRPr="00DB1559" w:rsidRDefault="009D46E6" w:rsidP="00866283">
            <w:pPr>
              <w:spacing w:after="0" w:line="240" w:lineRule="auto"/>
              <w:jc w:val="left"/>
              <w:rPr>
                <w:rFonts w:cs="Tahoma"/>
                <w:bCs/>
                <w:color w:val="C3003C"/>
                <w:sz w:val="16"/>
                <w:szCs w:val="16"/>
              </w:rPr>
            </w:pPr>
            <w:r w:rsidRPr="00DB1559">
              <w:rPr>
                <w:rFonts w:cs="Tahoma"/>
                <w:bCs/>
                <w:color w:val="C3003C"/>
                <w:sz w:val="16"/>
                <w:szCs w:val="16"/>
              </w:rPr>
              <w:t>PO5 - OP 5.1</w:t>
            </w:r>
          </w:p>
        </w:tc>
        <w:tc>
          <w:tcPr>
            <w:tcW w:w="1020" w:type="dxa"/>
            <w:tcBorders>
              <w:bottom w:val="single" w:sz="4" w:space="0" w:color="404040"/>
            </w:tcBorders>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8 236,5</w:t>
            </w:r>
          </w:p>
        </w:tc>
        <w:tc>
          <w:tcPr>
            <w:tcW w:w="680" w:type="dxa"/>
            <w:tcBorders>
              <w:bottom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292</w:t>
            </w:r>
          </w:p>
        </w:tc>
        <w:tc>
          <w:tcPr>
            <w:tcW w:w="1020" w:type="dxa"/>
            <w:tcBorders>
              <w:bottom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19 006,7</w:t>
            </w:r>
          </w:p>
        </w:tc>
        <w:tc>
          <w:tcPr>
            <w:tcW w:w="1021" w:type="dxa"/>
            <w:tcBorders>
              <w:bottom w:val="single" w:sz="4" w:space="0" w:color="404040"/>
            </w:tcBorders>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230,8</w:t>
            </w:r>
          </w:p>
        </w:tc>
        <w:tc>
          <w:tcPr>
            <w:tcW w:w="680" w:type="dxa"/>
            <w:tcBorders>
              <w:bottom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146</w:t>
            </w:r>
          </w:p>
        </w:tc>
        <w:tc>
          <w:tcPr>
            <w:tcW w:w="1020" w:type="dxa"/>
            <w:tcBorders>
              <w:bottom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9 176,4</w:t>
            </w:r>
          </w:p>
        </w:tc>
        <w:tc>
          <w:tcPr>
            <w:tcW w:w="1021" w:type="dxa"/>
            <w:tcBorders>
              <w:bottom w:val="single" w:sz="4" w:space="0" w:color="404040"/>
            </w:tcBorders>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111,4</w:t>
            </w:r>
          </w:p>
        </w:tc>
        <w:tc>
          <w:tcPr>
            <w:tcW w:w="1020" w:type="dxa"/>
            <w:tcBorders>
              <w:bottom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1 332,1</w:t>
            </w:r>
          </w:p>
        </w:tc>
        <w:tc>
          <w:tcPr>
            <w:tcW w:w="1021" w:type="dxa"/>
            <w:tcBorders>
              <w:bottom w:val="single" w:sz="4" w:space="0" w:color="404040"/>
            </w:tcBorders>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16,2</w:t>
            </w:r>
          </w:p>
        </w:tc>
      </w:tr>
      <w:tr w:rsidR="009D46E6" w:rsidRPr="00DB1559" w:rsidTr="00866283">
        <w:trPr>
          <w:trHeight w:val="226"/>
          <w:jc w:val="center"/>
        </w:trPr>
        <w:tc>
          <w:tcPr>
            <w:tcW w:w="1134" w:type="dxa"/>
            <w:tcBorders>
              <w:top w:val="single" w:sz="4" w:space="0" w:color="404040"/>
            </w:tcBorders>
            <w:vAlign w:val="center"/>
          </w:tcPr>
          <w:p w:rsidR="009D46E6" w:rsidRPr="00DB1559" w:rsidRDefault="009D46E6" w:rsidP="00866283">
            <w:pPr>
              <w:spacing w:after="0" w:line="240" w:lineRule="auto"/>
              <w:jc w:val="left"/>
              <w:rPr>
                <w:rFonts w:cs="Tahoma"/>
                <w:color w:val="9B9BA0"/>
                <w:sz w:val="16"/>
                <w:szCs w:val="16"/>
              </w:rPr>
            </w:pPr>
            <w:r w:rsidRPr="00DB1559">
              <w:rPr>
                <w:rFonts w:cs="Tahoma"/>
                <w:bCs/>
                <w:color w:val="9B9BA0"/>
                <w:sz w:val="16"/>
                <w:szCs w:val="16"/>
              </w:rPr>
              <w:t xml:space="preserve">OP celkem </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93 724,6</w:t>
            </w:r>
          </w:p>
        </w:tc>
        <w:tc>
          <w:tcPr>
            <w:tcW w:w="680"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16 404</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170 323,3</w:t>
            </w:r>
          </w:p>
        </w:tc>
        <w:tc>
          <w:tcPr>
            <w:tcW w:w="1021"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181,7</w:t>
            </w:r>
          </w:p>
        </w:tc>
        <w:tc>
          <w:tcPr>
            <w:tcW w:w="680"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9 355</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87 714,8</w:t>
            </w:r>
          </w:p>
        </w:tc>
        <w:tc>
          <w:tcPr>
            <w:tcW w:w="1021"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93,6</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29 633,1</w:t>
            </w:r>
          </w:p>
        </w:tc>
        <w:tc>
          <w:tcPr>
            <w:tcW w:w="1021"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31,6</w:t>
            </w:r>
          </w:p>
        </w:tc>
      </w:tr>
    </w:tbl>
    <w:p w:rsidR="009D46E6" w:rsidRDefault="009D46E6" w:rsidP="00866283">
      <w:pPr>
        <w:pStyle w:val="Zdroj"/>
      </w:pPr>
      <w:r w:rsidRPr="00D43170">
        <w:t xml:space="preserve">Zdroj: </w:t>
      </w:r>
      <w:r>
        <w:t>Monitorovací zpráva za květen 2013 - MMR 2013 [</w:t>
      </w:r>
      <w:hyperlink r:id="rId252" w:history="1">
        <w:r w:rsidRPr="00E60CB6">
          <w:rPr>
            <w:rStyle w:val="Hyperlink"/>
            <w:rFonts w:cs="MetaPro-Normal"/>
          </w:rPr>
          <w:t>http://www.strukturalni-fondy.cz/cs/Informace-o-cerpani</w:t>
        </w:r>
      </w:hyperlink>
      <w:r>
        <w:t>]</w:t>
      </w:r>
    </w:p>
    <w:p w:rsidR="009D46E6" w:rsidRDefault="009D46E6" w:rsidP="00866283"/>
    <w:p w:rsidR="009D46E6" w:rsidRPr="00BD5EC7" w:rsidRDefault="009D46E6" w:rsidP="00750D9B">
      <w:pPr>
        <w:pStyle w:val="Caption"/>
      </w:pPr>
      <w:bookmarkStart w:id="255" w:name="_Toc369092099"/>
      <w:r>
        <w:t xml:space="preserve">Graf </w:t>
      </w:r>
      <w:fldSimple w:instr=" STYLEREF 1 \s ">
        <w:r>
          <w:rPr>
            <w:noProof/>
          </w:rPr>
          <w:t>F</w:t>
        </w:r>
      </w:fldSimple>
      <w:r>
        <w:t>.</w:t>
      </w:r>
      <w:fldSimple w:instr=" SEQ Graf \* ARABIC \s 1 ">
        <w:r>
          <w:rPr>
            <w:noProof/>
          </w:rPr>
          <w:t>11</w:t>
        </w:r>
      </w:fldSimple>
      <w:r w:rsidRPr="00BD5EC7">
        <w:t xml:space="preserve">: </w:t>
      </w:r>
      <w:r>
        <w:t>(Proplacená) podpora OPPI</w:t>
      </w:r>
      <w:r w:rsidRPr="00A653FC">
        <w:t xml:space="preserve"> </w:t>
      </w:r>
      <w:r>
        <w:t>dle</w:t>
      </w:r>
      <w:r w:rsidRPr="00A653FC">
        <w:t xml:space="preserve"> </w:t>
      </w:r>
      <w:r>
        <w:t>sídla příjemce</w:t>
      </w:r>
      <w:r w:rsidRPr="00A653FC">
        <w:t xml:space="preserve"> (</w:t>
      </w:r>
      <w:r>
        <w:t>obce</w:t>
      </w:r>
      <w:r w:rsidRPr="00A653FC">
        <w:t xml:space="preserve"> Č</w:t>
      </w:r>
      <w:r>
        <w:t>R</w:t>
      </w:r>
      <w:r w:rsidRPr="00A653FC">
        <w:t>; 200</w:t>
      </w:r>
      <w:r>
        <w:t>8</w:t>
      </w:r>
      <w:r w:rsidRPr="00A653FC">
        <w:t>-2013</w:t>
      </w:r>
      <w:r>
        <w:t>, mld. Kč</w:t>
      </w:r>
      <w:r w:rsidRPr="00A653FC">
        <w:t>)</w:t>
      </w:r>
      <w:bookmarkEnd w:id="255"/>
    </w:p>
    <w:p w:rsidR="009D46E6" w:rsidRDefault="009D46E6" w:rsidP="001D7F37">
      <w:pPr>
        <w:pStyle w:val="Objekt"/>
      </w:pPr>
      <w:r w:rsidRPr="001D1D98">
        <w:pict>
          <v:shape id="Obrázek 380" o:spid="_x0000_i1248" type="#_x0000_t75" style="width:481.8pt;height:312.6pt;visibility:visible">
            <v:imagedata r:id="rId253" o:title=""/>
          </v:shape>
        </w:pict>
      </w:r>
    </w:p>
    <w:p w:rsidR="009D46E6" w:rsidRDefault="009D46E6" w:rsidP="00866283">
      <w:pPr>
        <w:pStyle w:val="Zdroj"/>
      </w:pPr>
      <w:r>
        <w:t>Pozn.: Grafy jsou zobrazeny pouze u obcí s vysokými hodnotami - vlevo výše podpory, vpravo proplacená částka. Podpora na obyvatele přepočtena na obyvatele v produktivním věku (14-65 let). Mezní hodnota je arbitrární.</w:t>
      </w:r>
    </w:p>
    <w:p w:rsidR="009D46E6" w:rsidRPr="00BD5EC7" w:rsidRDefault="009D46E6" w:rsidP="00866283">
      <w:pPr>
        <w:pStyle w:val="Zdroj"/>
      </w:pPr>
      <w:r w:rsidRPr="00BD5EC7">
        <w:t xml:space="preserve">Zdroj: </w:t>
      </w:r>
      <w:r>
        <w:t>Příslušné řídící orgány; vlastní zpracování</w:t>
      </w:r>
    </w:p>
    <w:p w:rsidR="009D46E6" w:rsidRPr="00370C91" w:rsidRDefault="009D46E6" w:rsidP="00866283"/>
    <w:p w:rsidR="009D46E6" w:rsidRPr="00EE155B" w:rsidRDefault="009D46E6" w:rsidP="00EE155B">
      <w:pPr>
        <w:spacing w:before="240"/>
        <w:rPr>
          <w:b/>
        </w:rPr>
      </w:pPr>
      <w:r w:rsidRPr="00EE155B">
        <w:rPr>
          <w:b/>
        </w:rPr>
        <w:t>OP Praha - Konkurenceschopnost (OPPK)</w:t>
      </w:r>
    </w:p>
    <w:p w:rsidR="009D46E6" w:rsidRDefault="009D46E6" w:rsidP="00866283">
      <w:r>
        <w:t>Aktivity realizované v rámci OP</w:t>
      </w:r>
      <w:r w:rsidRPr="00D407FB">
        <w:t>PK</w:t>
      </w:r>
      <w:r>
        <w:t xml:space="preserve"> (a OPPA)</w:t>
      </w:r>
      <w:r w:rsidRPr="00D407FB">
        <w:t xml:space="preserve"> jsou doplňkové k aktivitám realizovaným OP</w:t>
      </w:r>
      <w:r>
        <w:t xml:space="preserve"> v cíli Konvergence</w:t>
      </w:r>
      <w:r w:rsidRPr="00D407FB">
        <w:t xml:space="preserve">, </w:t>
      </w:r>
      <w:r>
        <w:t>pro které není hl. m. Praha způsobilý region. Strategická vize OPPK je naplňovaná prostřednictvím čtyř prioritních os - ve vztahu k VaVaI je zásadní PO3 Inovace a podnikání, resp. první ze tří jejích oblastí podpory - 3.1 Rozvoj inovačního prostředí a partnerství mezi základnou VaV a praxí. Oblast podpory se zaměřuje na projekty rozvíjející inovační infrastrukturu a reaguje na nedostatečné propojení výzkumné základny s praxí vytvářením partnerských vazeb.</w:t>
      </w:r>
    </w:p>
    <w:p w:rsidR="009D46E6" w:rsidRDefault="009D46E6" w:rsidP="00866283">
      <w:r>
        <w:t>Na rozdíl od OP VaVpI jsou infrastrukturní projekty v OPPK zaměřeny v zásadě výhradně na pořízení nebo modernizaci přístrojového vybavení pro VaV, v některých případech zahrnují rovněž související stavební práce. Výsledkem je tak např. modernizace laboratoře nebo soustředění dříve roztříštěných funkcí do jednoho komplexního centra. Charakter uvedených projektů OPPK je spíše doplňkový. Přes výrazně nižší objem dostupných prostředků ani v OPPK nejsou alokace plně vyčerpané a podíl certifikovaných výdajů v oblasti podpory 3.1 zůstává sotva čtvrtinový.</w:t>
      </w:r>
    </w:p>
    <w:p w:rsidR="009D46E6" w:rsidRDefault="009D46E6" w:rsidP="00866283">
      <w:r>
        <w:t>Do oblasti podpory 3.1 byly realokovány prostředky ve výši 185 mil. Kč ve snaze kompenzovat vysoký převis poptávky. Hlavními příjemci v oblasti podpory 3.1 jsou veřejné výzkumné instituce, vysoké školy. Menší zastoupení mají také podnikatelské subjekty, které obecně předkládají menší projekty. Je zřetelné, že absorpční kapacita v této oblasti na území Prahy nebyla zdaleka vyčerpána. Výstupy projektů nezakládají v dostatečné míře následné aktivity (pracovní místa ve VaV, společné projekty), přestože rozsah modernizovaných kapacit pro VaV by měl naplnit cíle programu. Vyšší využití potenciálu VaV zůstává v tomto ohledu poněkud diskutabilní</w:t>
      </w:r>
      <w:r>
        <w:rPr>
          <w:rStyle w:val="FootnoteReference"/>
          <w:rFonts w:cs="MetaPro-Normal"/>
        </w:rPr>
        <w:footnoteReference w:id="64"/>
      </w:r>
      <w:r>
        <w:t>.</w:t>
      </w:r>
    </w:p>
    <w:p w:rsidR="009D46E6" w:rsidRPr="00BC1D05" w:rsidRDefault="009D46E6" w:rsidP="00750D9B">
      <w:pPr>
        <w:pStyle w:val="Caption"/>
      </w:pPr>
      <w:bookmarkStart w:id="256" w:name="_Toc369091950"/>
      <w:r>
        <w:t xml:space="preserve">Tabulka </w:t>
      </w:r>
      <w:fldSimple w:instr=" STYLEREF 1 \s ">
        <w:r>
          <w:rPr>
            <w:noProof/>
          </w:rPr>
          <w:t>F</w:t>
        </w:r>
      </w:fldSimple>
      <w:r>
        <w:t>.</w:t>
      </w:r>
      <w:fldSimple w:instr=" SEQ Tabulka \* ARABIC \s 1 ">
        <w:r>
          <w:rPr>
            <w:noProof/>
          </w:rPr>
          <w:t>10</w:t>
        </w:r>
      </w:fldSimple>
      <w:r w:rsidRPr="00BC1D05">
        <w:t xml:space="preserve">: </w:t>
      </w:r>
      <w:r>
        <w:t>Základní charakteristiky OPPK</w:t>
      </w:r>
      <w:bookmarkEnd w:id="256"/>
    </w:p>
    <w:tbl>
      <w:tblPr>
        <w:tblW w:w="9638"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28" w:type="dxa"/>
          <w:left w:w="57" w:type="dxa"/>
          <w:bottom w:w="28" w:type="dxa"/>
          <w:right w:w="57" w:type="dxa"/>
        </w:tblCellMar>
        <w:tblLook w:val="00A0"/>
      </w:tblPr>
      <w:tblGrid>
        <w:gridCol w:w="1134"/>
        <w:gridCol w:w="6236"/>
        <w:gridCol w:w="1134"/>
        <w:gridCol w:w="1134"/>
      </w:tblGrid>
      <w:tr w:rsidR="009D46E6" w:rsidRPr="00DB1559" w:rsidTr="00DB1559">
        <w:trPr>
          <w:trHeight w:val="283"/>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Globální cíl/ fond/alokace</w:t>
            </w:r>
          </w:p>
        </w:tc>
        <w:tc>
          <w:tcPr>
            <w:tcW w:w="6236"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Zvýšení konkurenceschopnosti Prahy jako dynamické metropole prostřednictvím odstranění rozvojových bariér, zkvalitněním městského prostředí a rozvinutím inovačního potenciálu města</w:t>
            </w:r>
          </w:p>
        </w:tc>
        <w:tc>
          <w:tcPr>
            <w:tcW w:w="1134" w:type="dxa"/>
            <w:vAlign w:val="center"/>
          </w:tcPr>
          <w:p w:rsidR="009D46E6" w:rsidRPr="00DB1559" w:rsidRDefault="009D46E6" w:rsidP="00DB1559">
            <w:pPr>
              <w:spacing w:after="0" w:line="240" w:lineRule="auto"/>
              <w:jc w:val="right"/>
              <w:rPr>
                <w:rFonts w:cs="Tahoma"/>
                <w:sz w:val="16"/>
                <w:szCs w:val="16"/>
              </w:rPr>
            </w:pPr>
            <w:r w:rsidRPr="00DB1559">
              <w:rPr>
                <w:rFonts w:cs="Tahoma"/>
                <w:sz w:val="16"/>
                <w:szCs w:val="16"/>
              </w:rPr>
              <w:t>ERDF</w:t>
            </w:r>
          </w:p>
        </w:tc>
        <w:tc>
          <w:tcPr>
            <w:tcW w:w="1134" w:type="dxa"/>
            <w:vAlign w:val="center"/>
          </w:tcPr>
          <w:p w:rsidR="009D46E6" w:rsidRPr="00DB1559" w:rsidRDefault="009D46E6" w:rsidP="00DB1559">
            <w:pPr>
              <w:spacing w:after="0" w:line="240" w:lineRule="auto"/>
              <w:jc w:val="right"/>
              <w:rPr>
                <w:rFonts w:cs="Tahoma"/>
                <w:sz w:val="16"/>
                <w:szCs w:val="16"/>
              </w:rPr>
            </w:pPr>
            <w:r w:rsidRPr="00DB1559">
              <w:rPr>
                <w:rFonts w:cs="Tahoma"/>
                <w:sz w:val="16"/>
                <w:szCs w:val="16"/>
              </w:rPr>
              <w:t>7,2 mld. Kč</w:t>
            </w:r>
          </w:p>
        </w:tc>
      </w:tr>
      <w:tr w:rsidR="009D46E6" w:rsidRPr="00DB1559" w:rsidTr="00DB1559">
        <w:trPr>
          <w:trHeight w:val="283"/>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Prioritní osy/ alokace</w:t>
            </w:r>
          </w:p>
        </w:tc>
        <w:tc>
          <w:tcPr>
            <w:tcW w:w="7370" w:type="dxa"/>
            <w:gridSpan w:val="2"/>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PO1 Dopravní dostupnost a rozvoj ICT</w:t>
            </w:r>
          </w:p>
          <w:p w:rsidR="009D46E6" w:rsidRPr="00DB1559" w:rsidRDefault="009D46E6" w:rsidP="00DB1559">
            <w:pPr>
              <w:spacing w:after="0" w:line="240" w:lineRule="auto"/>
              <w:jc w:val="left"/>
              <w:rPr>
                <w:rFonts w:cs="Tahoma"/>
                <w:sz w:val="16"/>
                <w:szCs w:val="16"/>
              </w:rPr>
            </w:pPr>
            <w:r w:rsidRPr="00DB1559">
              <w:rPr>
                <w:rFonts w:cs="Tahoma"/>
                <w:sz w:val="16"/>
                <w:szCs w:val="16"/>
              </w:rPr>
              <w:t>PO2 Životní prostředí</w:t>
            </w:r>
          </w:p>
          <w:p w:rsidR="009D46E6" w:rsidRPr="00DB1559" w:rsidRDefault="009D46E6" w:rsidP="00DB1559">
            <w:pPr>
              <w:spacing w:after="0" w:line="240" w:lineRule="auto"/>
              <w:jc w:val="left"/>
              <w:rPr>
                <w:rFonts w:cs="Tahoma"/>
                <w:color w:val="C3003C"/>
                <w:sz w:val="16"/>
                <w:szCs w:val="16"/>
              </w:rPr>
            </w:pPr>
            <w:r w:rsidRPr="00DB1559">
              <w:rPr>
                <w:rFonts w:cs="Tahoma"/>
                <w:color w:val="C3003C"/>
                <w:sz w:val="16"/>
                <w:szCs w:val="16"/>
              </w:rPr>
              <w:t>PO3 Inovace a podnikání</w:t>
            </w:r>
          </w:p>
          <w:p w:rsidR="009D46E6" w:rsidRPr="00DB1559" w:rsidRDefault="009D46E6" w:rsidP="00DB1559">
            <w:pPr>
              <w:spacing w:after="0" w:line="240" w:lineRule="auto"/>
              <w:jc w:val="left"/>
              <w:rPr>
                <w:rFonts w:cs="Tahoma"/>
                <w:sz w:val="16"/>
                <w:szCs w:val="16"/>
              </w:rPr>
            </w:pPr>
            <w:r w:rsidRPr="00DB1559">
              <w:rPr>
                <w:rFonts w:cs="Tahoma"/>
                <w:sz w:val="16"/>
                <w:szCs w:val="16"/>
              </w:rPr>
              <w:t>PO4 Technická pomoc</w:t>
            </w:r>
          </w:p>
        </w:tc>
        <w:tc>
          <w:tcPr>
            <w:tcW w:w="1134" w:type="dxa"/>
            <w:vAlign w:val="center"/>
          </w:tcPr>
          <w:p w:rsidR="009D46E6" w:rsidRPr="00DB1559" w:rsidRDefault="009D46E6" w:rsidP="00DB1559">
            <w:pPr>
              <w:spacing w:after="0" w:line="240" w:lineRule="auto"/>
              <w:jc w:val="right"/>
              <w:rPr>
                <w:rFonts w:cs="Tahoma"/>
                <w:sz w:val="16"/>
                <w:szCs w:val="16"/>
              </w:rPr>
            </w:pPr>
            <w:r w:rsidRPr="00DB1559">
              <w:rPr>
                <w:rFonts w:cs="Tahoma"/>
                <w:sz w:val="16"/>
                <w:szCs w:val="16"/>
              </w:rPr>
              <w:t>2,5 mld. Kč</w:t>
            </w:r>
          </w:p>
          <w:p w:rsidR="009D46E6" w:rsidRPr="00DB1559" w:rsidRDefault="009D46E6" w:rsidP="00DB1559">
            <w:pPr>
              <w:spacing w:after="0" w:line="240" w:lineRule="auto"/>
              <w:jc w:val="right"/>
              <w:rPr>
                <w:rFonts w:cs="Tahoma"/>
                <w:sz w:val="16"/>
                <w:szCs w:val="16"/>
              </w:rPr>
            </w:pPr>
            <w:r w:rsidRPr="00DB1559">
              <w:rPr>
                <w:rFonts w:cs="Tahoma"/>
                <w:sz w:val="16"/>
                <w:szCs w:val="16"/>
              </w:rPr>
              <w:t>2,1 mld. Kč</w:t>
            </w:r>
          </w:p>
          <w:p w:rsidR="009D46E6" w:rsidRPr="00DB1559" w:rsidRDefault="009D46E6" w:rsidP="00DB1559">
            <w:pPr>
              <w:spacing w:after="0" w:line="240" w:lineRule="auto"/>
              <w:jc w:val="right"/>
              <w:rPr>
                <w:rFonts w:cs="Tahoma"/>
                <w:color w:val="C3003C"/>
                <w:sz w:val="16"/>
                <w:szCs w:val="16"/>
              </w:rPr>
            </w:pPr>
            <w:r w:rsidRPr="00DB1559">
              <w:rPr>
                <w:rFonts w:cs="Tahoma"/>
                <w:color w:val="C3003C"/>
                <w:sz w:val="16"/>
                <w:szCs w:val="16"/>
              </w:rPr>
              <w:t>2,4 mld. Kč</w:t>
            </w:r>
          </w:p>
          <w:p w:rsidR="009D46E6" w:rsidRPr="00DB1559" w:rsidRDefault="009D46E6" w:rsidP="00DB1559">
            <w:pPr>
              <w:spacing w:after="0" w:line="240" w:lineRule="auto"/>
              <w:jc w:val="right"/>
              <w:rPr>
                <w:rFonts w:cs="Tahoma"/>
                <w:sz w:val="16"/>
                <w:szCs w:val="16"/>
              </w:rPr>
            </w:pPr>
            <w:r w:rsidRPr="00DB1559">
              <w:rPr>
                <w:rFonts w:cs="Tahoma"/>
                <w:sz w:val="16"/>
                <w:szCs w:val="16"/>
              </w:rPr>
              <w:t>0,2 mld. Kč</w:t>
            </w:r>
          </w:p>
        </w:tc>
      </w:tr>
      <w:tr w:rsidR="009D46E6" w:rsidRPr="00DB1559" w:rsidTr="00DB1559">
        <w:trPr>
          <w:trHeight w:val="283"/>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color w:val="C3003C"/>
                <w:sz w:val="16"/>
                <w:szCs w:val="16"/>
              </w:rPr>
              <w:t>Zaměření</w:t>
            </w:r>
          </w:p>
        </w:tc>
        <w:tc>
          <w:tcPr>
            <w:tcW w:w="850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Podpora efektivního využití inovačního potenciálu Prahy prostřednictvím rozvoje inovačního prostředí a partnerství mezi základnou VaV a praxí</w:t>
            </w:r>
          </w:p>
        </w:tc>
      </w:tr>
      <w:tr w:rsidR="009D46E6" w:rsidRPr="00DB1559" w:rsidTr="00DB1559">
        <w:trPr>
          <w:trHeight w:val="227"/>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color w:val="C3003C"/>
                <w:sz w:val="16"/>
                <w:szCs w:val="16"/>
              </w:rPr>
              <w:t>Char. podpory</w:t>
            </w:r>
          </w:p>
        </w:tc>
        <w:tc>
          <w:tcPr>
            <w:tcW w:w="850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Investice do infrastruktury a podmínek pro spolupráci aplikační a akademické sféry</w:t>
            </w:r>
          </w:p>
        </w:tc>
      </w:tr>
      <w:tr w:rsidR="009D46E6" w:rsidRPr="00DB1559" w:rsidTr="00DB1559">
        <w:trPr>
          <w:trHeight w:val="227"/>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Způs. regiony</w:t>
            </w:r>
          </w:p>
        </w:tc>
        <w:tc>
          <w:tcPr>
            <w:tcW w:w="850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Hl. m. Praha</w:t>
            </w:r>
          </w:p>
        </w:tc>
      </w:tr>
      <w:tr w:rsidR="009D46E6" w:rsidRPr="00DB1559" w:rsidTr="00DB1559">
        <w:trPr>
          <w:trHeight w:val="227"/>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Řídící orgán</w:t>
            </w:r>
          </w:p>
        </w:tc>
        <w:tc>
          <w:tcPr>
            <w:tcW w:w="850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Magistrát hl. m. Prahy [</w:t>
            </w:r>
            <w:hyperlink r:id="rId254" w:history="1">
              <w:r w:rsidRPr="00DB1559">
                <w:rPr>
                  <w:rStyle w:val="Hyperlink"/>
                  <w:rFonts w:cs="Tahoma"/>
                  <w:sz w:val="16"/>
                  <w:szCs w:val="16"/>
                </w:rPr>
                <w:t>http://www.prahafondy.eu/cz/oppk.html</w:t>
              </w:r>
            </w:hyperlink>
            <w:r w:rsidRPr="00DB1559">
              <w:rPr>
                <w:rFonts w:cs="Tahoma"/>
                <w:sz w:val="16"/>
                <w:szCs w:val="16"/>
              </w:rPr>
              <w:t>]</w:t>
            </w:r>
          </w:p>
        </w:tc>
      </w:tr>
    </w:tbl>
    <w:p w:rsidR="009D46E6" w:rsidRDefault="009D46E6" w:rsidP="00866283">
      <w:pPr>
        <w:pStyle w:val="Zdroj"/>
      </w:pPr>
      <w:r>
        <w:t>Pozn.: Zvýrazněné = relevantní</w:t>
      </w:r>
    </w:p>
    <w:p w:rsidR="009D46E6" w:rsidRDefault="009D46E6" w:rsidP="00866283">
      <w:pPr>
        <w:pStyle w:val="Zdroj"/>
      </w:pPr>
      <w:r w:rsidRPr="00D43170">
        <w:t xml:space="preserve">Zdroj: </w:t>
      </w:r>
      <w:r>
        <w:t>Programová dokumentace OPPK [</w:t>
      </w:r>
      <w:hyperlink r:id="rId255" w:history="1">
        <w:r w:rsidRPr="004721FF">
          <w:rPr>
            <w:rStyle w:val="Hyperlink"/>
            <w:rFonts w:cs="MetaPro-Normal"/>
          </w:rPr>
          <w:t>http://www.prahafondy.eu/cz/oppk/dokumenty.html</w:t>
        </w:r>
      </w:hyperlink>
      <w:r>
        <w:t>]</w:t>
      </w:r>
    </w:p>
    <w:p w:rsidR="009D46E6" w:rsidRDefault="009D46E6" w:rsidP="00866283"/>
    <w:p w:rsidR="009D46E6" w:rsidRPr="00BC1D05" w:rsidRDefault="009D46E6" w:rsidP="00750D9B">
      <w:pPr>
        <w:pStyle w:val="Caption"/>
      </w:pPr>
      <w:bookmarkStart w:id="257" w:name="_Toc369091951"/>
      <w:r>
        <w:t xml:space="preserve">Tabulka </w:t>
      </w:r>
      <w:fldSimple w:instr=" STYLEREF 1 \s ">
        <w:r>
          <w:rPr>
            <w:noProof/>
          </w:rPr>
          <w:t>F</w:t>
        </w:r>
      </w:fldSimple>
      <w:r>
        <w:t>.</w:t>
      </w:r>
      <w:fldSimple w:instr=" SEQ Tabulka \* ARABIC \s 1 ">
        <w:r>
          <w:rPr>
            <w:noProof/>
          </w:rPr>
          <w:t>11</w:t>
        </w:r>
      </w:fldSimple>
      <w:r w:rsidRPr="00BC1D05">
        <w:t xml:space="preserve">: </w:t>
      </w:r>
      <w:r>
        <w:t>Stav čerpání OPPK</w:t>
      </w:r>
      <w:bookmarkEnd w:id="257"/>
    </w:p>
    <w:tbl>
      <w:tblPr>
        <w:tblW w:w="9637"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top w:w="28" w:type="dxa"/>
          <w:left w:w="57" w:type="dxa"/>
          <w:bottom w:w="28" w:type="dxa"/>
          <w:right w:w="57" w:type="dxa"/>
        </w:tblCellMar>
        <w:tblLook w:val="0000"/>
      </w:tblPr>
      <w:tblGrid>
        <w:gridCol w:w="1134"/>
        <w:gridCol w:w="1020"/>
        <w:gridCol w:w="680"/>
        <w:gridCol w:w="1020"/>
        <w:gridCol w:w="1021"/>
        <w:gridCol w:w="680"/>
        <w:gridCol w:w="1020"/>
        <w:gridCol w:w="1021"/>
        <w:gridCol w:w="1020"/>
        <w:gridCol w:w="1021"/>
      </w:tblGrid>
      <w:tr w:rsidR="009D46E6" w:rsidRPr="00DB1559" w:rsidTr="00866283">
        <w:trPr>
          <w:trHeight w:val="226"/>
          <w:jc w:val="center"/>
        </w:trPr>
        <w:tc>
          <w:tcPr>
            <w:tcW w:w="1134" w:type="dxa"/>
            <w:vMerge w:val="restart"/>
            <w:vAlign w:val="center"/>
          </w:tcPr>
          <w:p w:rsidR="009D46E6" w:rsidRPr="00DB1559" w:rsidRDefault="009D46E6" w:rsidP="00866283">
            <w:pPr>
              <w:spacing w:after="0" w:line="240" w:lineRule="auto"/>
              <w:jc w:val="center"/>
              <w:rPr>
                <w:rFonts w:cs="Tahoma"/>
                <w:bCs/>
                <w:color w:val="008CCD"/>
                <w:sz w:val="16"/>
                <w:szCs w:val="16"/>
              </w:rPr>
            </w:pPr>
            <w:r w:rsidRPr="00DB1559">
              <w:rPr>
                <w:rFonts w:cs="Tahoma"/>
                <w:bCs/>
                <w:color w:val="008CCD"/>
                <w:sz w:val="16"/>
                <w:szCs w:val="16"/>
              </w:rPr>
              <w:t>Sekce</w:t>
            </w:r>
          </w:p>
        </w:tc>
        <w:tc>
          <w:tcPr>
            <w:tcW w:w="1020" w:type="dxa"/>
            <w:vMerge w:val="restart"/>
            <w:vAlign w:val="center"/>
          </w:tcPr>
          <w:p w:rsidR="009D46E6" w:rsidRPr="00DB1559" w:rsidRDefault="009D46E6" w:rsidP="00866283">
            <w:pPr>
              <w:spacing w:after="0" w:line="240" w:lineRule="auto"/>
              <w:jc w:val="center"/>
              <w:rPr>
                <w:rFonts w:cs="Tahoma"/>
                <w:bCs/>
                <w:color w:val="008CCD"/>
                <w:sz w:val="16"/>
                <w:szCs w:val="16"/>
              </w:rPr>
            </w:pPr>
            <w:r w:rsidRPr="00DB1559">
              <w:rPr>
                <w:rFonts w:cs="Tahoma"/>
                <w:bCs/>
                <w:color w:val="008CCD"/>
                <w:sz w:val="16"/>
                <w:szCs w:val="16"/>
              </w:rPr>
              <w:t>Celková alokace</w:t>
            </w:r>
            <w:r w:rsidRPr="00DB1559">
              <w:rPr>
                <w:rFonts w:cs="Tahoma"/>
                <w:bCs/>
                <w:color w:val="008CCD"/>
                <w:sz w:val="16"/>
                <w:szCs w:val="16"/>
              </w:rPr>
              <w:br/>
              <w:t>[mil. Kč]</w:t>
            </w:r>
          </w:p>
        </w:tc>
        <w:tc>
          <w:tcPr>
            <w:tcW w:w="2721" w:type="dxa"/>
            <w:gridSpan w:val="3"/>
            <w:vAlign w:val="center"/>
          </w:tcPr>
          <w:p w:rsidR="009D46E6" w:rsidRPr="00DB1559" w:rsidRDefault="009D46E6" w:rsidP="00866283">
            <w:pPr>
              <w:spacing w:after="0" w:line="240" w:lineRule="auto"/>
              <w:jc w:val="center"/>
              <w:rPr>
                <w:rFonts w:cs="Tahoma"/>
                <w:bCs/>
                <w:color w:val="008CCD"/>
                <w:sz w:val="16"/>
                <w:szCs w:val="16"/>
              </w:rPr>
            </w:pPr>
            <w:r w:rsidRPr="00DB1559">
              <w:rPr>
                <w:rFonts w:cs="Tahoma"/>
                <w:bCs/>
                <w:color w:val="008CCD"/>
                <w:sz w:val="16"/>
                <w:szCs w:val="16"/>
              </w:rPr>
              <w:t>Podané žádosti</w:t>
            </w:r>
          </w:p>
        </w:tc>
        <w:tc>
          <w:tcPr>
            <w:tcW w:w="2721" w:type="dxa"/>
            <w:gridSpan w:val="3"/>
            <w:vAlign w:val="center"/>
          </w:tcPr>
          <w:p w:rsidR="009D46E6" w:rsidRPr="00DB1559" w:rsidRDefault="009D46E6" w:rsidP="00866283">
            <w:pPr>
              <w:spacing w:after="0" w:line="240" w:lineRule="auto"/>
              <w:jc w:val="center"/>
              <w:rPr>
                <w:rFonts w:cs="Tahoma"/>
                <w:bCs/>
                <w:color w:val="008CCD"/>
                <w:sz w:val="16"/>
                <w:szCs w:val="16"/>
              </w:rPr>
            </w:pPr>
            <w:r w:rsidRPr="00DB1559">
              <w:rPr>
                <w:rFonts w:cs="Tahoma"/>
                <w:bCs/>
                <w:color w:val="008CCD"/>
                <w:sz w:val="16"/>
                <w:szCs w:val="16"/>
              </w:rPr>
              <w:t>Projekty s vydaným rozhodnutím</w:t>
            </w:r>
          </w:p>
        </w:tc>
        <w:tc>
          <w:tcPr>
            <w:tcW w:w="2041" w:type="dxa"/>
            <w:gridSpan w:val="2"/>
          </w:tcPr>
          <w:p w:rsidR="009D46E6" w:rsidRPr="00DB1559" w:rsidRDefault="009D46E6" w:rsidP="00866283">
            <w:pPr>
              <w:spacing w:after="0" w:line="240" w:lineRule="auto"/>
              <w:jc w:val="center"/>
              <w:rPr>
                <w:rFonts w:cs="Tahoma"/>
                <w:bCs/>
                <w:color w:val="008CCD"/>
                <w:sz w:val="16"/>
                <w:szCs w:val="16"/>
              </w:rPr>
            </w:pPr>
            <w:r w:rsidRPr="00DB1559">
              <w:rPr>
                <w:rFonts w:cs="Tahoma"/>
                <w:bCs/>
                <w:color w:val="008CCD"/>
                <w:sz w:val="16"/>
                <w:szCs w:val="16"/>
              </w:rPr>
              <w:t>Certifikované výdaje</w:t>
            </w:r>
          </w:p>
        </w:tc>
      </w:tr>
      <w:tr w:rsidR="009D46E6" w:rsidRPr="00DB1559" w:rsidTr="00866283">
        <w:trPr>
          <w:trHeight w:val="226"/>
          <w:jc w:val="center"/>
        </w:trPr>
        <w:tc>
          <w:tcPr>
            <w:tcW w:w="1134" w:type="dxa"/>
            <w:vMerge/>
            <w:tcBorders>
              <w:bottom w:val="single" w:sz="4" w:space="0" w:color="404040"/>
            </w:tcBorders>
            <w:vAlign w:val="center"/>
          </w:tcPr>
          <w:p w:rsidR="009D46E6" w:rsidRPr="00DB1559" w:rsidRDefault="009D46E6" w:rsidP="00866283">
            <w:pPr>
              <w:spacing w:after="0" w:line="240" w:lineRule="auto"/>
              <w:jc w:val="center"/>
              <w:rPr>
                <w:rFonts w:cs="Tahoma"/>
                <w:bCs/>
                <w:color w:val="008CCD"/>
                <w:sz w:val="16"/>
                <w:szCs w:val="16"/>
              </w:rPr>
            </w:pPr>
          </w:p>
        </w:tc>
        <w:tc>
          <w:tcPr>
            <w:tcW w:w="1020" w:type="dxa"/>
            <w:vMerge/>
            <w:tcBorders>
              <w:bottom w:val="single" w:sz="4" w:space="0" w:color="404040"/>
            </w:tcBorders>
            <w:vAlign w:val="center"/>
          </w:tcPr>
          <w:p w:rsidR="009D46E6" w:rsidRPr="00DB1559" w:rsidRDefault="009D46E6" w:rsidP="00866283">
            <w:pPr>
              <w:spacing w:after="0" w:line="240" w:lineRule="auto"/>
              <w:jc w:val="center"/>
              <w:rPr>
                <w:rFonts w:cs="Tahoma"/>
                <w:bCs/>
                <w:color w:val="008CCD"/>
                <w:sz w:val="16"/>
                <w:szCs w:val="16"/>
              </w:rPr>
            </w:pPr>
          </w:p>
        </w:tc>
        <w:tc>
          <w:tcPr>
            <w:tcW w:w="680"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Počet</w:t>
            </w:r>
          </w:p>
        </w:tc>
        <w:tc>
          <w:tcPr>
            <w:tcW w:w="1020"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[mil. Kč]</w:t>
            </w:r>
          </w:p>
        </w:tc>
        <w:tc>
          <w:tcPr>
            <w:tcW w:w="1021"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 alokace]</w:t>
            </w:r>
          </w:p>
        </w:tc>
        <w:tc>
          <w:tcPr>
            <w:tcW w:w="680"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Počet</w:t>
            </w:r>
          </w:p>
        </w:tc>
        <w:tc>
          <w:tcPr>
            <w:tcW w:w="1020"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[mil. Kč]</w:t>
            </w:r>
          </w:p>
        </w:tc>
        <w:tc>
          <w:tcPr>
            <w:tcW w:w="1021"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 alokace]</w:t>
            </w:r>
          </w:p>
        </w:tc>
        <w:tc>
          <w:tcPr>
            <w:tcW w:w="1020"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[mil. Kč]</w:t>
            </w:r>
          </w:p>
        </w:tc>
        <w:tc>
          <w:tcPr>
            <w:tcW w:w="1021"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 alokace]</w:t>
            </w:r>
          </w:p>
        </w:tc>
      </w:tr>
      <w:tr w:rsidR="009D46E6" w:rsidRPr="00DB1559" w:rsidTr="00866283">
        <w:trPr>
          <w:trHeight w:val="226"/>
          <w:jc w:val="center"/>
        </w:trPr>
        <w:tc>
          <w:tcPr>
            <w:tcW w:w="1134" w:type="dxa"/>
            <w:tcBorders>
              <w:top w:val="single" w:sz="4" w:space="0" w:color="404040"/>
            </w:tcBorders>
            <w:vAlign w:val="center"/>
          </w:tcPr>
          <w:p w:rsidR="009D46E6" w:rsidRPr="00DB1559" w:rsidRDefault="009D46E6" w:rsidP="00866283">
            <w:pPr>
              <w:spacing w:after="0" w:line="240" w:lineRule="auto"/>
              <w:jc w:val="left"/>
              <w:rPr>
                <w:rFonts w:cs="Tahoma"/>
                <w:color w:val="9B9BA0"/>
                <w:sz w:val="16"/>
                <w:szCs w:val="16"/>
              </w:rPr>
            </w:pPr>
            <w:r w:rsidRPr="00DB1559">
              <w:rPr>
                <w:rFonts w:cs="Tahoma"/>
                <w:bCs/>
                <w:color w:val="9B9BA0"/>
                <w:sz w:val="16"/>
                <w:szCs w:val="16"/>
              </w:rPr>
              <w:t>PO3</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2 427,2</w:t>
            </w:r>
          </w:p>
        </w:tc>
        <w:tc>
          <w:tcPr>
            <w:tcW w:w="680"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691</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8 436,8</w:t>
            </w:r>
          </w:p>
        </w:tc>
        <w:tc>
          <w:tcPr>
            <w:tcW w:w="1021"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347,6</w:t>
            </w:r>
          </w:p>
        </w:tc>
        <w:tc>
          <w:tcPr>
            <w:tcW w:w="680"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137</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2 048,2</w:t>
            </w:r>
          </w:p>
        </w:tc>
        <w:tc>
          <w:tcPr>
            <w:tcW w:w="1021"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84,4</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506,3</w:t>
            </w:r>
          </w:p>
        </w:tc>
        <w:tc>
          <w:tcPr>
            <w:tcW w:w="1021"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20,9</w:t>
            </w:r>
          </w:p>
        </w:tc>
      </w:tr>
      <w:tr w:rsidR="009D46E6" w:rsidRPr="00DB1559" w:rsidTr="00866283">
        <w:trPr>
          <w:trHeight w:val="226"/>
          <w:jc w:val="center"/>
        </w:trPr>
        <w:tc>
          <w:tcPr>
            <w:tcW w:w="1134" w:type="dxa"/>
            <w:tcBorders>
              <w:bottom w:val="single" w:sz="4" w:space="0" w:color="404040"/>
            </w:tcBorders>
            <w:vAlign w:val="center"/>
          </w:tcPr>
          <w:p w:rsidR="009D46E6" w:rsidRPr="00DB1559" w:rsidRDefault="009D46E6" w:rsidP="00866283">
            <w:pPr>
              <w:spacing w:after="0" w:line="240" w:lineRule="auto"/>
              <w:jc w:val="left"/>
              <w:rPr>
                <w:rFonts w:cs="Tahoma"/>
                <w:bCs/>
                <w:color w:val="C3003C"/>
                <w:sz w:val="16"/>
                <w:szCs w:val="16"/>
              </w:rPr>
            </w:pPr>
            <w:r w:rsidRPr="00DB1559">
              <w:rPr>
                <w:rFonts w:cs="Tahoma"/>
                <w:bCs/>
                <w:color w:val="C3003C"/>
                <w:sz w:val="16"/>
                <w:szCs w:val="16"/>
              </w:rPr>
              <w:t>PO3 - OP 3.1</w:t>
            </w:r>
          </w:p>
        </w:tc>
        <w:tc>
          <w:tcPr>
            <w:tcW w:w="1020" w:type="dxa"/>
            <w:tcBorders>
              <w:bottom w:val="single" w:sz="4" w:space="0" w:color="404040"/>
            </w:tcBorders>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1 843,2</w:t>
            </w:r>
          </w:p>
        </w:tc>
        <w:tc>
          <w:tcPr>
            <w:tcW w:w="680" w:type="dxa"/>
            <w:tcBorders>
              <w:bottom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186</w:t>
            </w:r>
          </w:p>
        </w:tc>
        <w:tc>
          <w:tcPr>
            <w:tcW w:w="1020" w:type="dxa"/>
            <w:tcBorders>
              <w:bottom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6 167,8</w:t>
            </w:r>
          </w:p>
        </w:tc>
        <w:tc>
          <w:tcPr>
            <w:tcW w:w="1021" w:type="dxa"/>
            <w:tcBorders>
              <w:bottom w:val="single" w:sz="4" w:space="0" w:color="404040"/>
            </w:tcBorders>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334,6</w:t>
            </w:r>
          </w:p>
        </w:tc>
        <w:tc>
          <w:tcPr>
            <w:tcW w:w="680" w:type="dxa"/>
            <w:tcBorders>
              <w:bottom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40</w:t>
            </w:r>
          </w:p>
        </w:tc>
        <w:tc>
          <w:tcPr>
            <w:tcW w:w="1020" w:type="dxa"/>
            <w:tcBorders>
              <w:bottom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1 551,3</w:t>
            </w:r>
          </w:p>
        </w:tc>
        <w:tc>
          <w:tcPr>
            <w:tcW w:w="1021" w:type="dxa"/>
            <w:tcBorders>
              <w:bottom w:val="single" w:sz="4" w:space="0" w:color="404040"/>
            </w:tcBorders>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84,2</w:t>
            </w:r>
          </w:p>
        </w:tc>
        <w:tc>
          <w:tcPr>
            <w:tcW w:w="1020" w:type="dxa"/>
            <w:tcBorders>
              <w:bottom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441,1</w:t>
            </w:r>
          </w:p>
        </w:tc>
        <w:tc>
          <w:tcPr>
            <w:tcW w:w="1021" w:type="dxa"/>
            <w:tcBorders>
              <w:bottom w:val="single" w:sz="4" w:space="0" w:color="404040"/>
            </w:tcBorders>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23,9</w:t>
            </w:r>
          </w:p>
        </w:tc>
      </w:tr>
      <w:tr w:rsidR="009D46E6" w:rsidRPr="00DB1559" w:rsidTr="00866283">
        <w:trPr>
          <w:trHeight w:val="226"/>
          <w:jc w:val="center"/>
        </w:trPr>
        <w:tc>
          <w:tcPr>
            <w:tcW w:w="1134" w:type="dxa"/>
            <w:tcBorders>
              <w:top w:val="single" w:sz="4" w:space="0" w:color="404040"/>
            </w:tcBorders>
            <w:vAlign w:val="center"/>
          </w:tcPr>
          <w:p w:rsidR="009D46E6" w:rsidRPr="00DB1559" w:rsidRDefault="009D46E6" w:rsidP="00866283">
            <w:pPr>
              <w:spacing w:after="0" w:line="240" w:lineRule="auto"/>
              <w:jc w:val="left"/>
              <w:rPr>
                <w:rFonts w:cs="Tahoma"/>
                <w:color w:val="9B9BA0"/>
                <w:sz w:val="16"/>
                <w:szCs w:val="16"/>
              </w:rPr>
            </w:pPr>
            <w:r w:rsidRPr="00DB1559">
              <w:rPr>
                <w:rFonts w:cs="Tahoma"/>
                <w:bCs/>
                <w:color w:val="9B9BA0"/>
                <w:sz w:val="16"/>
                <w:szCs w:val="16"/>
              </w:rPr>
              <w:t xml:space="preserve">OP celkem </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7 211,9</w:t>
            </w:r>
          </w:p>
        </w:tc>
        <w:tc>
          <w:tcPr>
            <w:tcW w:w="680"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900</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16 443,1</w:t>
            </w:r>
          </w:p>
        </w:tc>
        <w:tc>
          <w:tcPr>
            <w:tcW w:w="1021"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228,0</w:t>
            </w:r>
          </w:p>
        </w:tc>
        <w:tc>
          <w:tcPr>
            <w:tcW w:w="680"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208</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6 336,9</w:t>
            </w:r>
          </w:p>
        </w:tc>
        <w:tc>
          <w:tcPr>
            <w:tcW w:w="1021"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87,9</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2 222,4</w:t>
            </w:r>
          </w:p>
        </w:tc>
        <w:tc>
          <w:tcPr>
            <w:tcW w:w="1021"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30,8</w:t>
            </w:r>
          </w:p>
        </w:tc>
      </w:tr>
    </w:tbl>
    <w:p w:rsidR="009D46E6" w:rsidRDefault="009D46E6" w:rsidP="00866283">
      <w:pPr>
        <w:pStyle w:val="Zdroj"/>
      </w:pPr>
      <w:r w:rsidRPr="00D43170">
        <w:t xml:space="preserve">Zdroj: </w:t>
      </w:r>
      <w:r>
        <w:t>Monitorovací zpráva za květen 2013 - MMR 2013 [</w:t>
      </w:r>
      <w:hyperlink r:id="rId256" w:history="1">
        <w:r w:rsidRPr="00E60CB6">
          <w:rPr>
            <w:rStyle w:val="Hyperlink"/>
            <w:rFonts w:cs="MetaPro-Normal"/>
          </w:rPr>
          <w:t>http://www.strukturalni-fondy.cz/cs/Informace-o-cerpani</w:t>
        </w:r>
      </w:hyperlink>
      <w:r>
        <w:t>]</w:t>
      </w:r>
    </w:p>
    <w:p w:rsidR="009D46E6" w:rsidRPr="00370C91" w:rsidRDefault="009D46E6" w:rsidP="00866283"/>
    <w:p w:rsidR="009D46E6" w:rsidRPr="00EE155B" w:rsidRDefault="009D46E6" w:rsidP="00EE155B">
      <w:pPr>
        <w:spacing w:before="240"/>
        <w:rPr>
          <w:b/>
        </w:rPr>
      </w:pPr>
      <w:r w:rsidRPr="00EE155B">
        <w:rPr>
          <w:b/>
        </w:rPr>
        <w:t>OP Praha - Adaptabilita (OPPA)</w:t>
      </w:r>
    </w:p>
    <w:p w:rsidR="009D46E6" w:rsidRDefault="009D46E6" w:rsidP="00866283">
      <w:r>
        <w:t>Strategie OPPA se větví do čtyř prioritních os, z nichž PO1 Podpora rozvoje znalostní ekonomiky je věnována zvýšení profesní mobility a adaptability zaměstnavatelů a růstu produktivity práce. Jedna ze tří podporovaných aktivit cílí na rozvoj lidských zdrojů a kapacit ve VaV (při zakládání center VaV, vzniku spin-off firem apod.), podporu spolupráce, transferu know-how a stáží.</w:t>
      </w:r>
    </w:p>
    <w:p w:rsidR="009D46E6" w:rsidRPr="00BC1D05" w:rsidRDefault="009D46E6" w:rsidP="00750D9B">
      <w:pPr>
        <w:pStyle w:val="Caption"/>
      </w:pPr>
      <w:bookmarkStart w:id="258" w:name="_Toc369091952"/>
      <w:r>
        <w:t xml:space="preserve">Tabulka </w:t>
      </w:r>
      <w:fldSimple w:instr=" STYLEREF 1 \s ">
        <w:r>
          <w:rPr>
            <w:noProof/>
          </w:rPr>
          <w:t>F</w:t>
        </w:r>
      </w:fldSimple>
      <w:r>
        <w:t>.</w:t>
      </w:r>
      <w:fldSimple w:instr=" SEQ Tabulka \* ARABIC \s 1 ">
        <w:r>
          <w:rPr>
            <w:noProof/>
          </w:rPr>
          <w:t>12</w:t>
        </w:r>
      </w:fldSimple>
      <w:r w:rsidRPr="00BC1D05">
        <w:t xml:space="preserve">: </w:t>
      </w:r>
      <w:r>
        <w:t>Základní charakteristiky OPPA</w:t>
      </w:r>
      <w:bookmarkEnd w:id="258"/>
    </w:p>
    <w:tbl>
      <w:tblPr>
        <w:tblW w:w="9638"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28" w:type="dxa"/>
          <w:left w:w="57" w:type="dxa"/>
          <w:bottom w:w="28" w:type="dxa"/>
          <w:right w:w="57" w:type="dxa"/>
        </w:tblCellMar>
        <w:tblLook w:val="00A0"/>
      </w:tblPr>
      <w:tblGrid>
        <w:gridCol w:w="1134"/>
        <w:gridCol w:w="6236"/>
        <w:gridCol w:w="1134"/>
        <w:gridCol w:w="1134"/>
      </w:tblGrid>
      <w:tr w:rsidR="009D46E6" w:rsidRPr="00DB1559" w:rsidTr="00DB1559">
        <w:trPr>
          <w:trHeight w:val="283"/>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Globální cíl/ fond/alokace</w:t>
            </w:r>
          </w:p>
        </w:tc>
        <w:tc>
          <w:tcPr>
            <w:tcW w:w="6236"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Zvýšení konkurenceschopnosti Prahy posílením adaptability a výkonnosti lidských zdrojů a zlepšením přístupu k zaměstnání pro všechny</w:t>
            </w:r>
          </w:p>
        </w:tc>
        <w:tc>
          <w:tcPr>
            <w:tcW w:w="1134" w:type="dxa"/>
            <w:vAlign w:val="center"/>
          </w:tcPr>
          <w:p w:rsidR="009D46E6" w:rsidRPr="00DB1559" w:rsidRDefault="009D46E6" w:rsidP="00DB1559">
            <w:pPr>
              <w:spacing w:after="0" w:line="240" w:lineRule="auto"/>
              <w:jc w:val="right"/>
              <w:rPr>
                <w:rFonts w:cs="Tahoma"/>
                <w:sz w:val="16"/>
                <w:szCs w:val="16"/>
              </w:rPr>
            </w:pPr>
            <w:r w:rsidRPr="00DB1559">
              <w:rPr>
                <w:rFonts w:cs="Tahoma"/>
                <w:sz w:val="16"/>
                <w:szCs w:val="16"/>
              </w:rPr>
              <w:t>ESF</w:t>
            </w:r>
          </w:p>
        </w:tc>
        <w:tc>
          <w:tcPr>
            <w:tcW w:w="1134" w:type="dxa"/>
            <w:vAlign w:val="center"/>
          </w:tcPr>
          <w:p w:rsidR="009D46E6" w:rsidRPr="00DB1559" w:rsidRDefault="009D46E6" w:rsidP="00DB1559">
            <w:pPr>
              <w:spacing w:after="0" w:line="240" w:lineRule="auto"/>
              <w:jc w:val="right"/>
              <w:rPr>
                <w:rFonts w:cs="Tahoma"/>
                <w:sz w:val="16"/>
                <w:szCs w:val="16"/>
              </w:rPr>
            </w:pPr>
            <w:r w:rsidRPr="00DB1559">
              <w:rPr>
                <w:rFonts w:cs="Tahoma"/>
                <w:sz w:val="16"/>
                <w:szCs w:val="16"/>
              </w:rPr>
              <w:t>3,4 mld. Kč</w:t>
            </w:r>
          </w:p>
        </w:tc>
      </w:tr>
      <w:tr w:rsidR="009D46E6" w:rsidRPr="00DB1559" w:rsidTr="00DB1559">
        <w:trPr>
          <w:trHeight w:val="283"/>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Prioritní osy/ alokace</w:t>
            </w:r>
          </w:p>
        </w:tc>
        <w:tc>
          <w:tcPr>
            <w:tcW w:w="7370" w:type="dxa"/>
            <w:gridSpan w:val="2"/>
            <w:vAlign w:val="center"/>
          </w:tcPr>
          <w:p w:rsidR="009D46E6" w:rsidRPr="00DB1559" w:rsidRDefault="009D46E6" w:rsidP="00DB1559">
            <w:pPr>
              <w:spacing w:after="0" w:line="240" w:lineRule="auto"/>
              <w:jc w:val="left"/>
              <w:rPr>
                <w:rFonts w:cs="Tahoma"/>
                <w:color w:val="C3003C"/>
                <w:sz w:val="16"/>
                <w:szCs w:val="16"/>
              </w:rPr>
            </w:pPr>
            <w:r w:rsidRPr="00DB1559">
              <w:rPr>
                <w:rFonts w:cs="Tahoma"/>
                <w:color w:val="C3003C"/>
                <w:sz w:val="16"/>
                <w:szCs w:val="16"/>
              </w:rPr>
              <w:t>PO1 Podpora rozvoje znalostní ekonomiky</w:t>
            </w:r>
          </w:p>
          <w:p w:rsidR="009D46E6" w:rsidRPr="00DB1559" w:rsidRDefault="009D46E6" w:rsidP="00DB1559">
            <w:pPr>
              <w:spacing w:after="0" w:line="240" w:lineRule="auto"/>
              <w:jc w:val="left"/>
              <w:rPr>
                <w:rFonts w:cs="Tahoma"/>
                <w:sz w:val="16"/>
                <w:szCs w:val="16"/>
              </w:rPr>
            </w:pPr>
            <w:r w:rsidRPr="00DB1559">
              <w:rPr>
                <w:rFonts w:cs="Tahoma"/>
                <w:sz w:val="16"/>
                <w:szCs w:val="16"/>
              </w:rPr>
              <w:t>PO2 Podpora vstupu na trh práce</w:t>
            </w:r>
          </w:p>
          <w:p w:rsidR="009D46E6" w:rsidRPr="00DB1559" w:rsidRDefault="009D46E6" w:rsidP="00DB1559">
            <w:pPr>
              <w:spacing w:after="0" w:line="240" w:lineRule="auto"/>
              <w:jc w:val="left"/>
              <w:rPr>
                <w:rFonts w:cs="Tahoma"/>
                <w:sz w:val="16"/>
                <w:szCs w:val="16"/>
              </w:rPr>
            </w:pPr>
            <w:r w:rsidRPr="00DB1559">
              <w:rPr>
                <w:rFonts w:cs="Tahoma"/>
                <w:sz w:val="16"/>
                <w:szCs w:val="16"/>
              </w:rPr>
              <w:t>PO3 Modernizace počátečního vzdělávání</w:t>
            </w:r>
          </w:p>
          <w:p w:rsidR="009D46E6" w:rsidRPr="00DB1559" w:rsidRDefault="009D46E6" w:rsidP="00DB1559">
            <w:pPr>
              <w:spacing w:after="0" w:line="240" w:lineRule="auto"/>
              <w:jc w:val="left"/>
              <w:rPr>
                <w:rFonts w:cs="Tahoma"/>
                <w:sz w:val="16"/>
                <w:szCs w:val="16"/>
              </w:rPr>
            </w:pPr>
            <w:r w:rsidRPr="00DB1559">
              <w:rPr>
                <w:rFonts w:cs="Tahoma"/>
                <w:sz w:val="16"/>
                <w:szCs w:val="16"/>
              </w:rPr>
              <w:t>PO4 Technická pomoc</w:t>
            </w:r>
          </w:p>
        </w:tc>
        <w:tc>
          <w:tcPr>
            <w:tcW w:w="1134" w:type="dxa"/>
            <w:vAlign w:val="center"/>
          </w:tcPr>
          <w:p w:rsidR="009D46E6" w:rsidRPr="00DB1559" w:rsidRDefault="009D46E6" w:rsidP="00DB1559">
            <w:pPr>
              <w:spacing w:after="0" w:line="240" w:lineRule="auto"/>
              <w:jc w:val="right"/>
              <w:rPr>
                <w:rFonts w:cs="Tahoma"/>
                <w:color w:val="C3003C"/>
                <w:sz w:val="16"/>
                <w:szCs w:val="16"/>
              </w:rPr>
            </w:pPr>
            <w:r w:rsidRPr="00DB1559">
              <w:rPr>
                <w:rFonts w:cs="Tahoma"/>
                <w:color w:val="C3003C"/>
                <w:sz w:val="16"/>
                <w:szCs w:val="16"/>
              </w:rPr>
              <w:t>1,2 mld. Kč</w:t>
            </w:r>
          </w:p>
          <w:p w:rsidR="009D46E6" w:rsidRPr="00DB1559" w:rsidRDefault="009D46E6" w:rsidP="00DB1559">
            <w:pPr>
              <w:spacing w:after="0" w:line="240" w:lineRule="auto"/>
              <w:jc w:val="right"/>
              <w:rPr>
                <w:rFonts w:cs="Tahoma"/>
                <w:sz w:val="16"/>
                <w:szCs w:val="16"/>
              </w:rPr>
            </w:pPr>
            <w:r w:rsidRPr="00DB1559">
              <w:rPr>
                <w:rFonts w:cs="Tahoma"/>
                <w:sz w:val="16"/>
                <w:szCs w:val="16"/>
              </w:rPr>
              <w:t>0,9 mld. Kč</w:t>
            </w:r>
          </w:p>
          <w:p w:rsidR="009D46E6" w:rsidRPr="00DB1559" w:rsidRDefault="009D46E6" w:rsidP="00DB1559">
            <w:pPr>
              <w:spacing w:after="0" w:line="240" w:lineRule="auto"/>
              <w:jc w:val="right"/>
              <w:rPr>
                <w:rFonts w:cs="Tahoma"/>
                <w:sz w:val="16"/>
                <w:szCs w:val="16"/>
              </w:rPr>
            </w:pPr>
            <w:r w:rsidRPr="00DB1559">
              <w:rPr>
                <w:rFonts w:cs="Tahoma"/>
                <w:sz w:val="16"/>
                <w:szCs w:val="16"/>
              </w:rPr>
              <w:t>1,1 mld. Kč</w:t>
            </w:r>
          </w:p>
          <w:p w:rsidR="009D46E6" w:rsidRPr="00DB1559" w:rsidRDefault="009D46E6" w:rsidP="00DB1559">
            <w:pPr>
              <w:spacing w:after="0" w:line="240" w:lineRule="auto"/>
              <w:jc w:val="right"/>
              <w:rPr>
                <w:rFonts w:cs="Tahoma"/>
                <w:sz w:val="16"/>
                <w:szCs w:val="16"/>
              </w:rPr>
            </w:pPr>
            <w:r w:rsidRPr="00DB1559">
              <w:rPr>
                <w:rFonts w:cs="Tahoma"/>
                <w:sz w:val="16"/>
                <w:szCs w:val="16"/>
              </w:rPr>
              <w:t>0,1 mld. Kč</w:t>
            </w:r>
          </w:p>
        </w:tc>
      </w:tr>
      <w:tr w:rsidR="009D46E6" w:rsidRPr="00DB1559" w:rsidTr="00DB1559">
        <w:trPr>
          <w:trHeight w:val="227"/>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color w:val="C3003C"/>
                <w:sz w:val="16"/>
                <w:szCs w:val="16"/>
              </w:rPr>
              <w:t>Zaměření</w:t>
            </w:r>
          </w:p>
        </w:tc>
        <w:tc>
          <w:tcPr>
            <w:tcW w:w="850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Podpora zvyšování profesní mobility a adaptability pracovníků směřující k růstu produktivity práce</w:t>
            </w:r>
          </w:p>
        </w:tc>
      </w:tr>
      <w:tr w:rsidR="009D46E6" w:rsidRPr="00DB1559" w:rsidTr="00DB1559">
        <w:trPr>
          <w:trHeight w:val="227"/>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color w:val="C3003C"/>
                <w:sz w:val="16"/>
                <w:szCs w:val="16"/>
              </w:rPr>
              <w:t>Char. podpory</w:t>
            </w:r>
          </w:p>
        </w:tc>
        <w:tc>
          <w:tcPr>
            <w:tcW w:w="850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Investice do lidských zdrojů</w:t>
            </w:r>
          </w:p>
        </w:tc>
      </w:tr>
      <w:tr w:rsidR="009D46E6" w:rsidRPr="00DB1559" w:rsidTr="00DB1559">
        <w:trPr>
          <w:trHeight w:val="227"/>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Způs. regiony</w:t>
            </w:r>
          </w:p>
        </w:tc>
        <w:tc>
          <w:tcPr>
            <w:tcW w:w="850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Hl. m. Praha</w:t>
            </w:r>
          </w:p>
        </w:tc>
      </w:tr>
      <w:tr w:rsidR="009D46E6" w:rsidRPr="00DB1559" w:rsidTr="00DB1559">
        <w:trPr>
          <w:trHeight w:val="227"/>
          <w:jc w:val="center"/>
        </w:trPr>
        <w:tc>
          <w:tcPr>
            <w:tcW w:w="1134" w:type="dxa"/>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Řídící orgán</w:t>
            </w:r>
          </w:p>
        </w:tc>
        <w:tc>
          <w:tcPr>
            <w:tcW w:w="8504" w:type="dxa"/>
            <w:gridSpan w:val="3"/>
            <w:vAlign w:val="center"/>
          </w:tcPr>
          <w:p w:rsidR="009D46E6" w:rsidRPr="00DB1559" w:rsidRDefault="009D46E6" w:rsidP="00DB1559">
            <w:pPr>
              <w:spacing w:after="0" w:line="240" w:lineRule="auto"/>
              <w:jc w:val="left"/>
              <w:rPr>
                <w:rFonts w:cs="Tahoma"/>
                <w:sz w:val="16"/>
                <w:szCs w:val="16"/>
              </w:rPr>
            </w:pPr>
            <w:r w:rsidRPr="00DB1559">
              <w:rPr>
                <w:rFonts w:cs="Tahoma"/>
                <w:sz w:val="16"/>
                <w:szCs w:val="16"/>
              </w:rPr>
              <w:t>Magistrát hl. m. Prahy [</w:t>
            </w:r>
            <w:hyperlink r:id="rId257" w:history="1">
              <w:r w:rsidRPr="00DB1559">
                <w:rPr>
                  <w:rStyle w:val="Hyperlink"/>
                  <w:rFonts w:cs="Tahoma"/>
                  <w:sz w:val="16"/>
                  <w:szCs w:val="16"/>
                </w:rPr>
                <w:t>http://www.prahafondy.eu/cz/oppa.html</w:t>
              </w:r>
            </w:hyperlink>
            <w:r w:rsidRPr="00DB1559">
              <w:rPr>
                <w:rFonts w:cs="Tahoma"/>
                <w:sz w:val="16"/>
                <w:szCs w:val="16"/>
              </w:rPr>
              <w:t>]</w:t>
            </w:r>
          </w:p>
        </w:tc>
      </w:tr>
    </w:tbl>
    <w:p w:rsidR="009D46E6" w:rsidRDefault="009D46E6" w:rsidP="00866283">
      <w:pPr>
        <w:pStyle w:val="Zdroj"/>
      </w:pPr>
      <w:r>
        <w:t>Pozn.: Zvýrazněné = relevantní</w:t>
      </w:r>
    </w:p>
    <w:p w:rsidR="009D46E6" w:rsidRDefault="009D46E6" w:rsidP="00866283">
      <w:pPr>
        <w:pStyle w:val="Zdroj"/>
      </w:pPr>
      <w:r w:rsidRPr="00D43170">
        <w:t xml:space="preserve">Zdroj: </w:t>
      </w:r>
      <w:r>
        <w:t>Programová dokumentace OPPK [</w:t>
      </w:r>
      <w:hyperlink r:id="rId258" w:history="1">
        <w:r w:rsidRPr="00E60CB6">
          <w:rPr>
            <w:rStyle w:val="Hyperlink"/>
            <w:rFonts w:cs="MetaPro-Normal"/>
          </w:rPr>
          <w:t>http://www.prahafondy.eu/cz/oppa/dokumenty.html]</w:t>
        </w:r>
      </w:hyperlink>
    </w:p>
    <w:p w:rsidR="009D46E6" w:rsidRDefault="009D46E6" w:rsidP="00866283">
      <w:pPr>
        <w:spacing w:before="200" w:after="200" w:line="276" w:lineRule="auto"/>
        <w:jc w:val="left"/>
      </w:pPr>
      <w:r>
        <w:br w:type="page"/>
      </w:r>
    </w:p>
    <w:p w:rsidR="009D46E6" w:rsidRDefault="009D46E6" w:rsidP="00866283">
      <w:r w:rsidRPr="00D04801">
        <w:t>V PO1 bylo ve čtyřech výzvách podpořeno celkem 316 projektů s výrazně rozdílným zájmem o jednotlivé aktivity. Nejnižší zájem z hlediska počtu podaných projektů byl o aktivitu 4 Rozvoj lidských zdrojů ve vědě a výzkumu (pouze 5 % z PO1), přitom z hlediska typu příjemce byla vymezena dostatečně široce. Požadovaná dotace 26 schválených projektů tvořila v rámci PO1 pouze osm procent. Důvodem byla vedle nízkého zájmu také nedostačená připravenost projektů na začátku období.</w:t>
      </w:r>
    </w:p>
    <w:p w:rsidR="009D46E6" w:rsidRDefault="009D46E6" w:rsidP="00866283">
      <w:r>
        <w:t>Na základě výsledků auditu bylo v dubnu 2013 pozastaveno předkládání žádostí o platbu pro OPPA do doby, než budou vyřešeny vzniklé nesrovnalosti.</w:t>
      </w:r>
    </w:p>
    <w:p w:rsidR="009D46E6" w:rsidRPr="00BC1D05" w:rsidRDefault="009D46E6" w:rsidP="00750D9B">
      <w:pPr>
        <w:pStyle w:val="Caption"/>
      </w:pPr>
      <w:bookmarkStart w:id="259" w:name="_Toc369091953"/>
      <w:r>
        <w:t xml:space="preserve">Tabulka </w:t>
      </w:r>
      <w:fldSimple w:instr=" STYLEREF 1 \s ">
        <w:r>
          <w:rPr>
            <w:noProof/>
          </w:rPr>
          <w:t>F</w:t>
        </w:r>
      </w:fldSimple>
      <w:r>
        <w:t>.</w:t>
      </w:r>
      <w:fldSimple w:instr=" SEQ Tabulka \* ARABIC \s 1 ">
        <w:r>
          <w:rPr>
            <w:noProof/>
          </w:rPr>
          <w:t>13</w:t>
        </w:r>
      </w:fldSimple>
      <w:r w:rsidRPr="00BC1D05">
        <w:t xml:space="preserve">: </w:t>
      </w:r>
      <w:r>
        <w:t>Stav čerpání OPPA</w:t>
      </w:r>
      <w:bookmarkEnd w:id="259"/>
    </w:p>
    <w:tbl>
      <w:tblPr>
        <w:tblW w:w="9637"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top w:w="28" w:type="dxa"/>
          <w:left w:w="57" w:type="dxa"/>
          <w:bottom w:w="28" w:type="dxa"/>
          <w:right w:w="57" w:type="dxa"/>
        </w:tblCellMar>
        <w:tblLook w:val="0000"/>
      </w:tblPr>
      <w:tblGrid>
        <w:gridCol w:w="1134"/>
        <w:gridCol w:w="1020"/>
        <w:gridCol w:w="680"/>
        <w:gridCol w:w="1020"/>
        <w:gridCol w:w="1021"/>
        <w:gridCol w:w="680"/>
        <w:gridCol w:w="1020"/>
        <w:gridCol w:w="1021"/>
        <w:gridCol w:w="1020"/>
        <w:gridCol w:w="1021"/>
      </w:tblGrid>
      <w:tr w:rsidR="009D46E6" w:rsidRPr="00DB1559" w:rsidTr="00866283">
        <w:trPr>
          <w:trHeight w:val="226"/>
          <w:jc w:val="center"/>
        </w:trPr>
        <w:tc>
          <w:tcPr>
            <w:tcW w:w="1134" w:type="dxa"/>
            <w:vMerge w:val="restart"/>
            <w:vAlign w:val="center"/>
          </w:tcPr>
          <w:p w:rsidR="009D46E6" w:rsidRPr="00DB1559" w:rsidRDefault="009D46E6" w:rsidP="00866283">
            <w:pPr>
              <w:spacing w:after="0" w:line="240" w:lineRule="auto"/>
              <w:jc w:val="center"/>
              <w:rPr>
                <w:rFonts w:cs="Tahoma"/>
                <w:bCs/>
                <w:color w:val="008CCD"/>
                <w:sz w:val="16"/>
                <w:szCs w:val="16"/>
              </w:rPr>
            </w:pPr>
            <w:r w:rsidRPr="00DB1559">
              <w:rPr>
                <w:rFonts w:cs="Tahoma"/>
                <w:bCs/>
                <w:color w:val="008CCD"/>
                <w:sz w:val="16"/>
                <w:szCs w:val="16"/>
              </w:rPr>
              <w:t>Sekce</w:t>
            </w:r>
          </w:p>
        </w:tc>
        <w:tc>
          <w:tcPr>
            <w:tcW w:w="1020" w:type="dxa"/>
            <w:vMerge w:val="restart"/>
            <w:vAlign w:val="center"/>
          </w:tcPr>
          <w:p w:rsidR="009D46E6" w:rsidRPr="00DB1559" w:rsidRDefault="009D46E6" w:rsidP="00866283">
            <w:pPr>
              <w:spacing w:after="0" w:line="240" w:lineRule="auto"/>
              <w:jc w:val="center"/>
              <w:rPr>
                <w:rFonts w:cs="Tahoma"/>
                <w:bCs/>
                <w:color w:val="008CCD"/>
                <w:sz w:val="16"/>
                <w:szCs w:val="16"/>
              </w:rPr>
            </w:pPr>
            <w:r w:rsidRPr="00DB1559">
              <w:rPr>
                <w:rFonts w:cs="Tahoma"/>
                <w:bCs/>
                <w:color w:val="008CCD"/>
                <w:sz w:val="16"/>
                <w:szCs w:val="16"/>
              </w:rPr>
              <w:t>Celková alokace</w:t>
            </w:r>
            <w:r w:rsidRPr="00DB1559">
              <w:rPr>
                <w:rFonts w:cs="Tahoma"/>
                <w:bCs/>
                <w:color w:val="008CCD"/>
                <w:sz w:val="16"/>
                <w:szCs w:val="16"/>
              </w:rPr>
              <w:br/>
              <w:t>[mil. Kč]</w:t>
            </w:r>
          </w:p>
        </w:tc>
        <w:tc>
          <w:tcPr>
            <w:tcW w:w="2721" w:type="dxa"/>
            <w:gridSpan w:val="3"/>
            <w:vAlign w:val="center"/>
          </w:tcPr>
          <w:p w:rsidR="009D46E6" w:rsidRPr="00DB1559" w:rsidRDefault="009D46E6" w:rsidP="00866283">
            <w:pPr>
              <w:spacing w:after="0" w:line="240" w:lineRule="auto"/>
              <w:jc w:val="center"/>
              <w:rPr>
                <w:rFonts w:cs="Tahoma"/>
                <w:bCs/>
                <w:color w:val="008CCD"/>
                <w:sz w:val="16"/>
                <w:szCs w:val="16"/>
              </w:rPr>
            </w:pPr>
            <w:r w:rsidRPr="00DB1559">
              <w:rPr>
                <w:rFonts w:cs="Tahoma"/>
                <w:bCs/>
                <w:color w:val="008CCD"/>
                <w:sz w:val="16"/>
                <w:szCs w:val="16"/>
              </w:rPr>
              <w:t>Podané žádosti</w:t>
            </w:r>
          </w:p>
        </w:tc>
        <w:tc>
          <w:tcPr>
            <w:tcW w:w="2721" w:type="dxa"/>
            <w:gridSpan w:val="3"/>
            <w:vAlign w:val="center"/>
          </w:tcPr>
          <w:p w:rsidR="009D46E6" w:rsidRPr="00DB1559" w:rsidRDefault="009D46E6" w:rsidP="00866283">
            <w:pPr>
              <w:spacing w:after="0" w:line="240" w:lineRule="auto"/>
              <w:jc w:val="center"/>
              <w:rPr>
                <w:rFonts w:cs="Tahoma"/>
                <w:bCs/>
                <w:color w:val="008CCD"/>
                <w:sz w:val="16"/>
                <w:szCs w:val="16"/>
              </w:rPr>
            </w:pPr>
            <w:r w:rsidRPr="00DB1559">
              <w:rPr>
                <w:rFonts w:cs="Tahoma"/>
                <w:bCs/>
                <w:color w:val="008CCD"/>
                <w:sz w:val="16"/>
                <w:szCs w:val="16"/>
              </w:rPr>
              <w:t>Projekty s vydaným rozhodnutím</w:t>
            </w:r>
          </w:p>
        </w:tc>
        <w:tc>
          <w:tcPr>
            <w:tcW w:w="2041" w:type="dxa"/>
            <w:gridSpan w:val="2"/>
          </w:tcPr>
          <w:p w:rsidR="009D46E6" w:rsidRPr="00DB1559" w:rsidRDefault="009D46E6" w:rsidP="00866283">
            <w:pPr>
              <w:spacing w:after="0" w:line="240" w:lineRule="auto"/>
              <w:jc w:val="center"/>
              <w:rPr>
                <w:rFonts w:cs="Tahoma"/>
                <w:bCs/>
                <w:color w:val="008CCD"/>
                <w:sz w:val="16"/>
                <w:szCs w:val="16"/>
              </w:rPr>
            </w:pPr>
            <w:r w:rsidRPr="00DB1559">
              <w:rPr>
                <w:rFonts w:cs="Tahoma"/>
                <w:bCs/>
                <w:color w:val="008CCD"/>
                <w:sz w:val="16"/>
                <w:szCs w:val="16"/>
              </w:rPr>
              <w:t>Certifikované výdaje</w:t>
            </w:r>
          </w:p>
        </w:tc>
      </w:tr>
      <w:tr w:rsidR="009D46E6" w:rsidRPr="00DB1559" w:rsidTr="00866283">
        <w:trPr>
          <w:trHeight w:val="226"/>
          <w:jc w:val="center"/>
        </w:trPr>
        <w:tc>
          <w:tcPr>
            <w:tcW w:w="1134" w:type="dxa"/>
            <w:vMerge/>
            <w:tcBorders>
              <w:bottom w:val="single" w:sz="4" w:space="0" w:color="404040"/>
            </w:tcBorders>
            <w:vAlign w:val="center"/>
          </w:tcPr>
          <w:p w:rsidR="009D46E6" w:rsidRPr="00DB1559" w:rsidRDefault="009D46E6" w:rsidP="00866283">
            <w:pPr>
              <w:spacing w:after="0" w:line="240" w:lineRule="auto"/>
              <w:jc w:val="center"/>
              <w:rPr>
                <w:rFonts w:cs="Tahoma"/>
                <w:bCs/>
                <w:color w:val="008CCD"/>
                <w:sz w:val="16"/>
                <w:szCs w:val="16"/>
              </w:rPr>
            </w:pPr>
          </w:p>
        </w:tc>
        <w:tc>
          <w:tcPr>
            <w:tcW w:w="1020" w:type="dxa"/>
            <w:vMerge/>
            <w:tcBorders>
              <w:bottom w:val="single" w:sz="4" w:space="0" w:color="404040"/>
            </w:tcBorders>
            <w:vAlign w:val="center"/>
          </w:tcPr>
          <w:p w:rsidR="009D46E6" w:rsidRPr="00DB1559" w:rsidRDefault="009D46E6" w:rsidP="00866283">
            <w:pPr>
              <w:spacing w:after="0" w:line="240" w:lineRule="auto"/>
              <w:jc w:val="center"/>
              <w:rPr>
                <w:rFonts w:cs="Tahoma"/>
                <w:bCs/>
                <w:color w:val="008CCD"/>
                <w:sz w:val="16"/>
                <w:szCs w:val="16"/>
              </w:rPr>
            </w:pPr>
          </w:p>
        </w:tc>
        <w:tc>
          <w:tcPr>
            <w:tcW w:w="680"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Počet</w:t>
            </w:r>
          </w:p>
        </w:tc>
        <w:tc>
          <w:tcPr>
            <w:tcW w:w="1020"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[mil. Kč]</w:t>
            </w:r>
          </w:p>
        </w:tc>
        <w:tc>
          <w:tcPr>
            <w:tcW w:w="1021"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 alokace]</w:t>
            </w:r>
          </w:p>
        </w:tc>
        <w:tc>
          <w:tcPr>
            <w:tcW w:w="680"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Počet</w:t>
            </w:r>
          </w:p>
        </w:tc>
        <w:tc>
          <w:tcPr>
            <w:tcW w:w="1020"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[mil. Kč]</w:t>
            </w:r>
          </w:p>
        </w:tc>
        <w:tc>
          <w:tcPr>
            <w:tcW w:w="1021"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 alokace]</w:t>
            </w:r>
          </w:p>
        </w:tc>
        <w:tc>
          <w:tcPr>
            <w:tcW w:w="1020"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[mil. Kč]</w:t>
            </w:r>
          </w:p>
        </w:tc>
        <w:tc>
          <w:tcPr>
            <w:tcW w:w="1021" w:type="dxa"/>
            <w:tcBorders>
              <w:bottom w:val="single" w:sz="4" w:space="0" w:color="404040"/>
            </w:tcBorders>
            <w:vAlign w:val="center"/>
          </w:tcPr>
          <w:p w:rsidR="009D46E6" w:rsidRPr="00DB1559" w:rsidRDefault="009D46E6" w:rsidP="00866283">
            <w:pPr>
              <w:spacing w:after="0" w:line="240" w:lineRule="auto"/>
              <w:jc w:val="center"/>
              <w:rPr>
                <w:rFonts w:cs="Tahoma"/>
                <w:bCs/>
                <w:color w:val="9B9BA0"/>
                <w:sz w:val="16"/>
                <w:szCs w:val="16"/>
              </w:rPr>
            </w:pPr>
            <w:r w:rsidRPr="00DB1559">
              <w:rPr>
                <w:rFonts w:cs="Tahoma"/>
                <w:bCs/>
                <w:color w:val="9B9BA0"/>
                <w:sz w:val="16"/>
                <w:szCs w:val="16"/>
              </w:rPr>
              <w:t>Objem</w:t>
            </w:r>
            <w:r w:rsidRPr="00DB1559">
              <w:rPr>
                <w:rFonts w:cs="Tahoma"/>
                <w:bCs/>
                <w:color w:val="9B9BA0"/>
                <w:sz w:val="16"/>
                <w:szCs w:val="16"/>
              </w:rPr>
              <w:br/>
              <w:t>[% alokace]</w:t>
            </w:r>
          </w:p>
        </w:tc>
      </w:tr>
      <w:tr w:rsidR="009D46E6" w:rsidRPr="00DB1559" w:rsidTr="00866283">
        <w:trPr>
          <w:trHeight w:val="226"/>
          <w:jc w:val="center"/>
        </w:trPr>
        <w:tc>
          <w:tcPr>
            <w:tcW w:w="1134" w:type="dxa"/>
            <w:tcBorders>
              <w:top w:val="single" w:sz="4" w:space="0" w:color="404040"/>
              <w:bottom w:val="single" w:sz="4" w:space="0" w:color="404040"/>
            </w:tcBorders>
            <w:vAlign w:val="center"/>
          </w:tcPr>
          <w:p w:rsidR="009D46E6" w:rsidRPr="00DB1559" w:rsidRDefault="009D46E6" w:rsidP="00866283">
            <w:pPr>
              <w:spacing w:after="0" w:line="240" w:lineRule="auto"/>
              <w:jc w:val="left"/>
              <w:rPr>
                <w:rFonts w:cs="Tahoma"/>
                <w:bCs/>
                <w:color w:val="C3003C"/>
                <w:sz w:val="16"/>
                <w:szCs w:val="16"/>
              </w:rPr>
            </w:pPr>
            <w:r w:rsidRPr="00DB1559">
              <w:rPr>
                <w:rFonts w:cs="Tahoma"/>
                <w:bCs/>
                <w:color w:val="C3003C"/>
                <w:sz w:val="16"/>
                <w:szCs w:val="16"/>
              </w:rPr>
              <w:t>PO1</w:t>
            </w:r>
          </w:p>
        </w:tc>
        <w:tc>
          <w:tcPr>
            <w:tcW w:w="1020" w:type="dxa"/>
            <w:tcBorders>
              <w:top w:val="single" w:sz="4" w:space="0" w:color="404040"/>
              <w:bottom w:val="single" w:sz="4" w:space="0" w:color="404040"/>
            </w:tcBorders>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1 236,5</w:t>
            </w:r>
          </w:p>
        </w:tc>
        <w:tc>
          <w:tcPr>
            <w:tcW w:w="680" w:type="dxa"/>
            <w:tcBorders>
              <w:top w:val="single" w:sz="4" w:space="0" w:color="404040"/>
              <w:bottom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1 599</w:t>
            </w:r>
          </w:p>
        </w:tc>
        <w:tc>
          <w:tcPr>
            <w:tcW w:w="1020" w:type="dxa"/>
            <w:tcBorders>
              <w:top w:val="single" w:sz="4" w:space="0" w:color="404040"/>
              <w:bottom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6 544,9</w:t>
            </w:r>
          </w:p>
        </w:tc>
        <w:tc>
          <w:tcPr>
            <w:tcW w:w="1021" w:type="dxa"/>
            <w:tcBorders>
              <w:top w:val="single" w:sz="4" w:space="0" w:color="404040"/>
              <w:bottom w:val="single" w:sz="4" w:space="0" w:color="404040"/>
            </w:tcBorders>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529,3</w:t>
            </w:r>
          </w:p>
        </w:tc>
        <w:tc>
          <w:tcPr>
            <w:tcW w:w="680" w:type="dxa"/>
            <w:tcBorders>
              <w:top w:val="single" w:sz="4" w:space="0" w:color="404040"/>
              <w:bottom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319</w:t>
            </w:r>
          </w:p>
        </w:tc>
        <w:tc>
          <w:tcPr>
            <w:tcW w:w="1020" w:type="dxa"/>
            <w:tcBorders>
              <w:top w:val="single" w:sz="4" w:space="0" w:color="404040"/>
              <w:bottom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1 069,8</w:t>
            </w:r>
          </w:p>
        </w:tc>
        <w:tc>
          <w:tcPr>
            <w:tcW w:w="1021" w:type="dxa"/>
            <w:tcBorders>
              <w:top w:val="single" w:sz="4" w:space="0" w:color="404040"/>
              <w:bottom w:val="single" w:sz="4" w:space="0" w:color="404040"/>
            </w:tcBorders>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86,5</w:t>
            </w:r>
          </w:p>
        </w:tc>
        <w:tc>
          <w:tcPr>
            <w:tcW w:w="1020" w:type="dxa"/>
            <w:tcBorders>
              <w:top w:val="single" w:sz="4" w:space="0" w:color="404040"/>
              <w:bottom w:val="single" w:sz="4" w:space="0" w:color="404040"/>
            </w:tcBorders>
            <w:vAlign w:val="center"/>
          </w:tcPr>
          <w:p w:rsidR="009D46E6" w:rsidRPr="00DB1559" w:rsidRDefault="009D46E6" w:rsidP="00866283">
            <w:pPr>
              <w:spacing w:after="0" w:line="240" w:lineRule="auto"/>
              <w:jc w:val="right"/>
              <w:rPr>
                <w:rFonts w:cs="Tahoma"/>
                <w:color w:val="C3003C"/>
                <w:sz w:val="16"/>
                <w:szCs w:val="16"/>
              </w:rPr>
            </w:pPr>
            <w:r w:rsidRPr="00DB1559">
              <w:rPr>
                <w:rFonts w:cs="Tahoma"/>
                <w:color w:val="C3003C"/>
                <w:sz w:val="16"/>
                <w:szCs w:val="16"/>
              </w:rPr>
              <w:t>678,1</w:t>
            </w:r>
          </w:p>
        </w:tc>
        <w:tc>
          <w:tcPr>
            <w:tcW w:w="1021" w:type="dxa"/>
            <w:tcBorders>
              <w:top w:val="single" w:sz="4" w:space="0" w:color="404040"/>
              <w:bottom w:val="single" w:sz="4" w:space="0" w:color="404040"/>
            </w:tcBorders>
            <w:vAlign w:val="center"/>
          </w:tcPr>
          <w:p w:rsidR="009D46E6" w:rsidRPr="00DB1559" w:rsidRDefault="009D46E6" w:rsidP="00866283">
            <w:pPr>
              <w:spacing w:after="0" w:line="240" w:lineRule="auto"/>
              <w:jc w:val="right"/>
              <w:rPr>
                <w:rFonts w:cs="Tahoma"/>
                <w:bCs/>
                <w:color w:val="C3003C"/>
                <w:sz w:val="16"/>
                <w:szCs w:val="16"/>
              </w:rPr>
            </w:pPr>
            <w:r w:rsidRPr="00DB1559">
              <w:rPr>
                <w:rFonts w:cs="Tahoma"/>
                <w:bCs/>
                <w:color w:val="C3003C"/>
                <w:sz w:val="16"/>
                <w:szCs w:val="16"/>
              </w:rPr>
              <w:t>54,8</w:t>
            </w:r>
          </w:p>
        </w:tc>
      </w:tr>
      <w:tr w:rsidR="009D46E6" w:rsidRPr="00DB1559" w:rsidTr="00866283">
        <w:trPr>
          <w:trHeight w:val="226"/>
          <w:jc w:val="center"/>
        </w:trPr>
        <w:tc>
          <w:tcPr>
            <w:tcW w:w="1134" w:type="dxa"/>
            <w:tcBorders>
              <w:top w:val="single" w:sz="4" w:space="0" w:color="404040"/>
            </w:tcBorders>
            <w:vAlign w:val="center"/>
          </w:tcPr>
          <w:p w:rsidR="009D46E6" w:rsidRPr="00DB1559" w:rsidRDefault="009D46E6" w:rsidP="00866283">
            <w:pPr>
              <w:spacing w:after="0" w:line="240" w:lineRule="auto"/>
              <w:jc w:val="left"/>
              <w:rPr>
                <w:rFonts w:cs="Tahoma"/>
                <w:color w:val="9B9BA0"/>
                <w:sz w:val="16"/>
                <w:szCs w:val="16"/>
              </w:rPr>
            </w:pPr>
            <w:r w:rsidRPr="00DB1559">
              <w:rPr>
                <w:rFonts w:cs="Tahoma"/>
                <w:bCs/>
                <w:color w:val="9B9BA0"/>
                <w:sz w:val="16"/>
                <w:szCs w:val="16"/>
              </w:rPr>
              <w:t xml:space="preserve">OP celkem </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3 397,0</w:t>
            </w:r>
          </w:p>
        </w:tc>
        <w:tc>
          <w:tcPr>
            <w:tcW w:w="680"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3 439</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16 327,0</w:t>
            </w:r>
          </w:p>
        </w:tc>
        <w:tc>
          <w:tcPr>
            <w:tcW w:w="1021"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480,6</w:t>
            </w:r>
          </w:p>
        </w:tc>
        <w:tc>
          <w:tcPr>
            <w:tcW w:w="680" w:type="dxa"/>
            <w:tcBorders>
              <w:top w:val="single" w:sz="4" w:space="0" w:color="404040"/>
            </w:tcBorders>
            <w:vAlign w:val="center"/>
          </w:tcPr>
          <w:p w:rsidR="009D46E6" w:rsidRPr="00DB1559" w:rsidRDefault="009D46E6" w:rsidP="00866283">
            <w:pPr>
              <w:spacing w:after="0" w:line="240" w:lineRule="auto"/>
              <w:jc w:val="right"/>
              <w:rPr>
                <w:rFonts w:cs="Tahoma"/>
                <w:color w:val="9B9BA0"/>
                <w:sz w:val="16"/>
                <w:szCs w:val="16"/>
              </w:rPr>
            </w:pPr>
            <w:r w:rsidRPr="00DB1559">
              <w:rPr>
                <w:rFonts w:cs="Tahoma"/>
                <w:color w:val="9B9BA0"/>
                <w:sz w:val="16"/>
                <w:szCs w:val="16"/>
              </w:rPr>
              <w:t>648</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2 812,9</w:t>
            </w:r>
          </w:p>
        </w:tc>
        <w:tc>
          <w:tcPr>
            <w:tcW w:w="1021"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82,8</w:t>
            </w:r>
          </w:p>
        </w:tc>
        <w:tc>
          <w:tcPr>
            <w:tcW w:w="1020"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1 534,2</w:t>
            </w:r>
          </w:p>
        </w:tc>
        <w:tc>
          <w:tcPr>
            <w:tcW w:w="1021" w:type="dxa"/>
            <w:tcBorders>
              <w:top w:val="single" w:sz="4" w:space="0" w:color="404040"/>
            </w:tcBorders>
            <w:vAlign w:val="center"/>
          </w:tcPr>
          <w:p w:rsidR="009D46E6" w:rsidRPr="00DB1559" w:rsidRDefault="009D46E6" w:rsidP="00866283">
            <w:pPr>
              <w:spacing w:after="0" w:line="240" w:lineRule="auto"/>
              <w:jc w:val="right"/>
              <w:rPr>
                <w:rFonts w:cs="Tahoma"/>
                <w:bCs/>
                <w:color w:val="9B9BA0"/>
                <w:sz w:val="16"/>
                <w:szCs w:val="16"/>
              </w:rPr>
            </w:pPr>
            <w:r w:rsidRPr="00DB1559">
              <w:rPr>
                <w:rFonts w:cs="Tahoma"/>
                <w:bCs/>
                <w:color w:val="9B9BA0"/>
                <w:sz w:val="16"/>
                <w:szCs w:val="16"/>
              </w:rPr>
              <w:t>45,2</w:t>
            </w:r>
          </w:p>
        </w:tc>
      </w:tr>
    </w:tbl>
    <w:p w:rsidR="009D46E6" w:rsidRDefault="009D46E6" w:rsidP="00866283">
      <w:pPr>
        <w:pStyle w:val="Zdroj"/>
      </w:pPr>
      <w:r w:rsidRPr="00D43170">
        <w:t xml:space="preserve">Zdroj: </w:t>
      </w:r>
      <w:r>
        <w:t>Monitorovací zpráva za květen 2013 - MMR 2013 [</w:t>
      </w:r>
      <w:hyperlink r:id="rId259" w:history="1">
        <w:r w:rsidRPr="00E60CB6">
          <w:rPr>
            <w:rStyle w:val="Hyperlink"/>
            <w:rFonts w:cs="MetaPro-Normal"/>
          </w:rPr>
          <w:t>http://www.strukturalni-fondy.cz/cs/Informace-o-cerpani</w:t>
        </w:r>
      </w:hyperlink>
      <w:r>
        <w:t>]</w:t>
      </w:r>
    </w:p>
    <w:p w:rsidR="009D46E6" w:rsidRDefault="009D46E6" w:rsidP="00866283"/>
    <w:p w:rsidR="009D46E6" w:rsidRDefault="009D46E6" w:rsidP="00866283">
      <w:pPr>
        <w:pStyle w:val="Heading2"/>
      </w:pPr>
      <w:bookmarkStart w:id="260" w:name="_Toc369091913"/>
      <w:r>
        <w:t>Financování, udržitelnost</w:t>
      </w:r>
      <w:r w:rsidRPr="004A7419">
        <w:t xml:space="preserve"> a zaměření </w:t>
      </w:r>
      <w:r>
        <w:t>VaV center OP VaVpI</w:t>
      </w:r>
      <w:bookmarkEnd w:id="260"/>
    </w:p>
    <w:p w:rsidR="009D46E6" w:rsidRDefault="009D46E6" w:rsidP="00866283">
      <w:r>
        <w:t>SF představují mimořádnou příležitost k rozvoji výzkumných infrastruktur, mohou pokrývat investiční a počáteční provozní výdaje (neinvestiční výdaje spojené s implementací projektu, tzv. start-up grant). Využití SF je ovšem spojeno s některými výzvami při aplikačním procesu i realizaci samotných grantů (striktní časové limity, přísnější pravidla pro veřejné zakázky apod.).</w:t>
      </w:r>
    </w:p>
    <w:p w:rsidR="009D46E6" w:rsidRDefault="009D46E6" w:rsidP="00866283">
      <w:r>
        <w:t xml:space="preserve">OP VaVpI tvoří zcela dominantní kanál pro financování rozvoje výzkumných infrastruktur - evropských center excelence a regionálních VaV center (viz výše). Jedním z klíčových faktorů pro strategii OP VaVpI je požadavek finanční udržitelnosti nově vzniklých kapacit i po jeho ukončení. Odkazuje na dokumenty schválené vládou ČR a očekává, že téměř veškerý nárůst výdajů na VaV v období realizace bude směřován k zajištění intervence OP VaVpI – v době přípravy programu však panovala zcela jiná ekonomická situace a předpokladem soustavného růstu veřejných výdajů na VaV. </w:t>
      </w:r>
    </w:p>
    <w:p w:rsidR="009D46E6" w:rsidRDefault="009D46E6" w:rsidP="00866283">
      <w:r>
        <w:t xml:space="preserve">V </w:t>
      </w:r>
      <w:r w:rsidRPr="006D0E9F">
        <w:t>důsledku značného objemu prostředků směřovaného do nových VaV center dojde k významnému překreslení výzkumné mapy Česka</w:t>
      </w:r>
      <w:r>
        <w:t xml:space="preserve"> (seznam VaV center je uveden v přílohové tabulce).</w:t>
      </w:r>
      <w:r w:rsidRPr="006D0E9F">
        <w:t xml:space="preserve"> Většina projektů se soustředí na budování infrastruktury (zařízení a budov), čímž vzniká nevyrovnanost mezi výzkumnými programy a zařízením. Cíle programů jsou definovány příliš obecně, stejně jako nastavení vnitřních procesů</w:t>
      </w:r>
      <w:r>
        <w:rPr>
          <w:rStyle w:val="FootnoteReference"/>
          <w:rFonts w:cs="MetaPro-Normal"/>
        </w:rPr>
        <w:footnoteReference w:id="65"/>
      </w:r>
      <w:r w:rsidRPr="006D0E9F">
        <w:t>. Hrozí tak situace, že současné koncepty řízení VaV, lidské zdroje i výzkumná témata se bez kvalitativní změny přenesou do nových prostor</w:t>
      </w:r>
      <w:r>
        <w:rPr>
          <w:rStyle w:val="FootnoteReference"/>
          <w:rFonts w:cs="MetaPro-Normal"/>
        </w:rPr>
        <w:footnoteReference w:id="66"/>
      </w:r>
      <w:r w:rsidRPr="006D0E9F">
        <w:t>.</w:t>
      </w:r>
    </w:p>
    <w:p w:rsidR="009D46E6" w:rsidRDefault="009D46E6" w:rsidP="00866283">
      <w:r>
        <w:t>Masivní rozvoj VaV center s sebou nese vysoké nároky na lidské a přirozeně i finanční zdroje, které zajistí činnost těchto infrastruktur a jejich dlouhodobou udržitelnost. Podpora směřovaná do rozvoje VaV center by měla přirozeně iniciovat růst (kvantitativní a kvalitativní) výzkumné činnosti.</w:t>
      </w:r>
    </w:p>
    <w:p w:rsidR="009D46E6" w:rsidRDefault="009D46E6" w:rsidP="00866283">
      <w:r>
        <w:t xml:space="preserve">Následující srovnání proto </w:t>
      </w:r>
      <w:r w:rsidRPr="009B1133">
        <w:t xml:space="preserve">vychází z předpokladu, že cílem vznikajících </w:t>
      </w:r>
      <w:r>
        <w:t xml:space="preserve">center </w:t>
      </w:r>
      <w:r w:rsidRPr="009B1133">
        <w:t>je rozšíření výzkumných kapacit</w:t>
      </w:r>
      <w:r>
        <w:t>,</w:t>
      </w:r>
      <w:r w:rsidRPr="009B1133">
        <w:t xml:space="preserve"> a budou proto obsazena skutečně novými zaměstnanci</w:t>
      </w:r>
      <w:r>
        <w:rPr>
          <w:rStyle w:val="FootnoteReference"/>
          <w:rFonts w:cs="MetaPro-Normal"/>
        </w:rPr>
        <w:footnoteReference w:id="67"/>
      </w:r>
      <w:r w:rsidRPr="009B1133">
        <w:t xml:space="preserve">. Ukazuje tak </w:t>
      </w:r>
      <w:r>
        <w:t>krajní případ</w:t>
      </w:r>
      <w:r w:rsidRPr="009B1133">
        <w:t>, neboť nově vytvořené pracovní místo, jak ho definují dokumenty OP VaVpI, může být zaplněno zaměstnancem, který se pouze formálně přesune ze stávající instituce pod hlavičku vzniklého centra.</w:t>
      </w:r>
    </w:p>
    <w:p w:rsidR="009D46E6" w:rsidRDefault="009D46E6" w:rsidP="00866283">
      <w:r>
        <w:t>Bezmála 87 % kapacit nových VaV center je soustředěno ve vládním a vysokoškolském sektoru (tab. F.14). V těchto sektorech musí proto dojít ke změně stávajících trendů vývoje zaměstnanosti, neboť objem pracovních míst vzniklých v centrech mezi roky 2010 a 2014 je téměř trojnásobný vzhledem k růstu zaměstnanosti v předcházejících čtyřech letech. V dalším čtyřletém období se již očekává pozvolnější plnění kapacit nových center, které by stávající růstový trend dokázal téměř přesně saturovat.</w:t>
      </w:r>
    </w:p>
    <w:p w:rsidR="009D46E6" w:rsidRDefault="009D46E6" w:rsidP="00866283">
      <w:r>
        <w:br w:type="page"/>
      </w:r>
    </w:p>
    <w:p w:rsidR="009D46E6" w:rsidRPr="00BC1D05" w:rsidRDefault="009D46E6" w:rsidP="00750D9B">
      <w:pPr>
        <w:pStyle w:val="Caption"/>
      </w:pPr>
      <w:bookmarkStart w:id="261" w:name="_Toc369091954"/>
      <w:r>
        <w:t xml:space="preserve">Tabulka </w:t>
      </w:r>
      <w:fldSimple w:instr=" STYLEREF 1 \s ">
        <w:r>
          <w:rPr>
            <w:noProof/>
          </w:rPr>
          <w:t>F</w:t>
        </w:r>
      </w:fldSimple>
      <w:r>
        <w:t>.</w:t>
      </w:r>
      <w:fldSimple w:instr=" SEQ Tabulka \* ARABIC \s 1 ">
        <w:r>
          <w:rPr>
            <w:noProof/>
          </w:rPr>
          <w:t>14</w:t>
        </w:r>
      </w:fldSimple>
      <w:r w:rsidRPr="00BC1D05">
        <w:t xml:space="preserve">: </w:t>
      </w:r>
      <w:r>
        <w:t>Počty zaměstnanců ve VaV v ČR (z toho v centrech) dle sektorů</w:t>
      </w:r>
      <w:bookmarkEnd w:id="261"/>
    </w:p>
    <w:tbl>
      <w:tblPr>
        <w:tblW w:w="9638" w:type="dxa"/>
        <w:jc w:val="center"/>
        <w:tblInd w:w="5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70" w:type="dxa"/>
          <w:right w:w="70" w:type="dxa"/>
        </w:tblCellMar>
        <w:tblLook w:val="0000"/>
      </w:tblPr>
      <w:tblGrid>
        <w:gridCol w:w="2551"/>
        <w:gridCol w:w="1417"/>
        <w:gridCol w:w="1417"/>
        <w:gridCol w:w="1418"/>
        <w:gridCol w:w="1417"/>
        <w:gridCol w:w="1418"/>
      </w:tblGrid>
      <w:tr w:rsidR="009D46E6" w:rsidRPr="00DB1559" w:rsidTr="00866283">
        <w:trPr>
          <w:trHeight w:val="227"/>
          <w:jc w:val="center"/>
        </w:trPr>
        <w:tc>
          <w:tcPr>
            <w:tcW w:w="2551" w:type="dxa"/>
            <w:vMerge w:val="restart"/>
            <w:noWrap/>
            <w:vAlign w:val="center"/>
          </w:tcPr>
          <w:p w:rsidR="009D46E6" w:rsidRPr="00933879" w:rsidRDefault="009D46E6" w:rsidP="00866283">
            <w:pPr>
              <w:spacing w:after="0" w:line="240" w:lineRule="auto"/>
              <w:jc w:val="center"/>
              <w:rPr>
                <w:rFonts w:cs="Tahoma"/>
                <w:color w:val="008CCD"/>
                <w:sz w:val="16"/>
                <w:szCs w:val="16"/>
                <w:lang w:eastAsia="cs-CZ"/>
              </w:rPr>
            </w:pPr>
            <w:r w:rsidRPr="00933879">
              <w:rPr>
                <w:rFonts w:cs="Tahoma"/>
                <w:color w:val="008CCD"/>
                <w:sz w:val="16"/>
                <w:szCs w:val="16"/>
                <w:lang w:eastAsia="cs-CZ"/>
              </w:rPr>
              <w:t>Sektor</w:t>
            </w:r>
          </w:p>
        </w:tc>
        <w:tc>
          <w:tcPr>
            <w:tcW w:w="4252" w:type="dxa"/>
            <w:gridSpan w:val="3"/>
            <w:noWrap/>
            <w:vAlign w:val="center"/>
          </w:tcPr>
          <w:p w:rsidR="009D46E6" w:rsidRPr="00933879" w:rsidRDefault="009D46E6" w:rsidP="00866283">
            <w:pPr>
              <w:spacing w:after="0" w:line="240" w:lineRule="auto"/>
              <w:jc w:val="center"/>
              <w:rPr>
                <w:rFonts w:cs="Tahoma"/>
                <w:color w:val="008CCD"/>
                <w:sz w:val="16"/>
                <w:szCs w:val="16"/>
                <w:lang w:eastAsia="cs-CZ"/>
              </w:rPr>
            </w:pPr>
            <w:r w:rsidRPr="00933879">
              <w:rPr>
                <w:rFonts w:cs="Tahoma"/>
                <w:color w:val="008CCD"/>
                <w:sz w:val="16"/>
                <w:szCs w:val="16"/>
                <w:lang w:eastAsia="cs-CZ"/>
              </w:rPr>
              <w:t>Zaměstnanci ve VaV</w:t>
            </w:r>
            <w:r>
              <w:rPr>
                <w:rFonts w:cs="Tahoma"/>
                <w:color w:val="008CCD"/>
                <w:sz w:val="16"/>
                <w:szCs w:val="16"/>
                <w:lang w:eastAsia="cs-CZ"/>
              </w:rPr>
              <w:t xml:space="preserve"> celkem</w:t>
            </w:r>
          </w:p>
        </w:tc>
        <w:tc>
          <w:tcPr>
            <w:tcW w:w="2835" w:type="dxa"/>
            <w:gridSpan w:val="2"/>
            <w:noWrap/>
            <w:vAlign w:val="center"/>
          </w:tcPr>
          <w:p w:rsidR="009D46E6" w:rsidRPr="00933879" w:rsidRDefault="009D46E6" w:rsidP="00866283">
            <w:pPr>
              <w:spacing w:after="0" w:line="240" w:lineRule="auto"/>
              <w:jc w:val="center"/>
              <w:rPr>
                <w:rFonts w:cs="Tahoma"/>
                <w:color w:val="008CCD"/>
                <w:sz w:val="16"/>
                <w:szCs w:val="16"/>
                <w:lang w:eastAsia="cs-CZ"/>
              </w:rPr>
            </w:pPr>
            <w:r>
              <w:rPr>
                <w:rFonts w:cs="Tahoma"/>
                <w:color w:val="008CCD"/>
                <w:sz w:val="16"/>
                <w:szCs w:val="16"/>
                <w:lang w:eastAsia="cs-CZ"/>
              </w:rPr>
              <w:t>Zaměstnanci VaV center</w:t>
            </w:r>
          </w:p>
        </w:tc>
      </w:tr>
      <w:tr w:rsidR="009D46E6" w:rsidRPr="00DB1559" w:rsidTr="00866283">
        <w:trPr>
          <w:trHeight w:val="227"/>
          <w:jc w:val="center"/>
        </w:trPr>
        <w:tc>
          <w:tcPr>
            <w:tcW w:w="2551" w:type="dxa"/>
            <w:vMerge/>
            <w:tcBorders>
              <w:bottom w:val="single" w:sz="4" w:space="0" w:color="404040"/>
            </w:tcBorders>
            <w:vAlign w:val="center"/>
          </w:tcPr>
          <w:p w:rsidR="009D46E6" w:rsidRPr="00933879" w:rsidRDefault="009D46E6" w:rsidP="00866283">
            <w:pPr>
              <w:spacing w:after="0" w:line="240" w:lineRule="auto"/>
              <w:jc w:val="center"/>
              <w:rPr>
                <w:rFonts w:cs="Tahoma"/>
                <w:color w:val="9B9BA0"/>
                <w:sz w:val="16"/>
                <w:szCs w:val="16"/>
                <w:lang w:eastAsia="cs-CZ"/>
              </w:rPr>
            </w:pPr>
          </w:p>
        </w:tc>
        <w:tc>
          <w:tcPr>
            <w:tcW w:w="1417" w:type="dxa"/>
            <w:tcBorders>
              <w:bottom w:val="single" w:sz="4" w:space="0" w:color="404040"/>
            </w:tcBorders>
            <w:noWrap/>
            <w:vAlign w:val="center"/>
          </w:tcPr>
          <w:p w:rsidR="009D46E6" w:rsidRPr="00933879" w:rsidRDefault="009D46E6" w:rsidP="00866283">
            <w:pPr>
              <w:spacing w:after="0" w:line="240" w:lineRule="auto"/>
              <w:jc w:val="center"/>
              <w:rPr>
                <w:rFonts w:cs="Tahoma"/>
                <w:color w:val="9B9BA0"/>
                <w:sz w:val="16"/>
                <w:szCs w:val="16"/>
                <w:lang w:eastAsia="cs-CZ"/>
              </w:rPr>
            </w:pPr>
            <w:r w:rsidRPr="00933879">
              <w:rPr>
                <w:rFonts w:cs="Tahoma"/>
                <w:color w:val="9B9BA0"/>
                <w:sz w:val="16"/>
                <w:szCs w:val="16"/>
                <w:lang w:eastAsia="cs-CZ"/>
              </w:rPr>
              <w:t>2006</w:t>
            </w:r>
          </w:p>
        </w:tc>
        <w:tc>
          <w:tcPr>
            <w:tcW w:w="1417" w:type="dxa"/>
            <w:tcBorders>
              <w:bottom w:val="single" w:sz="4" w:space="0" w:color="404040"/>
            </w:tcBorders>
            <w:noWrap/>
            <w:vAlign w:val="center"/>
          </w:tcPr>
          <w:p w:rsidR="009D46E6" w:rsidRPr="00933879" w:rsidRDefault="009D46E6" w:rsidP="00866283">
            <w:pPr>
              <w:spacing w:after="0" w:line="240" w:lineRule="auto"/>
              <w:jc w:val="center"/>
              <w:rPr>
                <w:rFonts w:cs="Tahoma"/>
                <w:color w:val="9B9BA0"/>
                <w:sz w:val="16"/>
                <w:szCs w:val="16"/>
                <w:lang w:eastAsia="cs-CZ"/>
              </w:rPr>
            </w:pPr>
            <w:r w:rsidRPr="00933879">
              <w:rPr>
                <w:rFonts w:cs="Tahoma"/>
                <w:color w:val="9B9BA0"/>
                <w:sz w:val="16"/>
                <w:szCs w:val="16"/>
                <w:lang w:eastAsia="cs-CZ"/>
              </w:rPr>
              <w:t>2010</w:t>
            </w:r>
          </w:p>
        </w:tc>
        <w:tc>
          <w:tcPr>
            <w:tcW w:w="1418" w:type="dxa"/>
            <w:tcBorders>
              <w:bottom w:val="single" w:sz="4" w:space="0" w:color="404040"/>
            </w:tcBorders>
            <w:noWrap/>
            <w:vAlign w:val="center"/>
          </w:tcPr>
          <w:p w:rsidR="009D46E6" w:rsidRPr="00933879" w:rsidRDefault="009D46E6" w:rsidP="00866283">
            <w:pPr>
              <w:spacing w:after="0" w:line="240" w:lineRule="auto"/>
              <w:jc w:val="center"/>
              <w:rPr>
                <w:rFonts w:cs="Tahoma"/>
                <w:color w:val="9B9BA0"/>
                <w:sz w:val="16"/>
                <w:szCs w:val="16"/>
                <w:lang w:eastAsia="cs-CZ"/>
              </w:rPr>
            </w:pPr>
            <w:r>
              <w:rPr>
                <w:rFonts w:cs="Tahoma"/>
                <w:color w:val="9B9BA0"/>
                <w:sz w:val="16"/>
                <w:szCs w:val="16"/>
                <w:lang w:eastAsia="cs-CZ"/>
              </w:rPr>
              <w:t>Změna</w:t>
            </w:r>
            <w:r>
              <w:rPr>
                <w:rFonts w:cs="Tahoma"/>
                <w:color w:val="9B9BA0"/>
                <w:sz w:val="16"/>
                <w:szCs w:val="16"/>
                <w:lang w:eastAsia="cs-CZ"/>
              </w:rPr>
              <w:br/>
            </w:r>
            <w:r w:rsidRPr="00933879">
              <w:rPr>
                <w:rFonts w:cs="Tahoma"/>
                <w:color w:val="9B9BA0"/>
                <w:sz w:val="16"/>
                <w:szCs w:val="16"/>
                <w:lang w:eastAsia="cs-CZ"/>
              </w:rPr>
              <w:t>2006-2010</w:t>
            </w:r>
          </w:p>
        </w:tc>
        <w:tc>
          <w:tcPr>
            <w:tcW w:w="1417" w:type="dxa"/>
            <w:tcBorders>
              <w:bottom w:val="single" w:sz="4" w:space="0" w:color="404040"/>
            </w:tcBorders>
            <w:noWrap/>
            <w:vAlign w:val="center"/>
          </w:tcPr>
          <w:p w:rsidR="009D46E6" w:rsidRPr="00933879" w:rsidRDefault="009D46E6" w:rsidP="00866283">
            <w:pPr>
              <w:spacing w:after="0" w:line="240" w:lineRule="auto"/>
              <w:jc w:val="center"/>
              <w:rPr>
                <w:rFonts w:cs="Tahoma"/>
                <w:color w:val="9B9BA0"/>
                <w:sz w:val="16"/>
                <w:szCs w:val="16"/>
                <w:lang w:eastAsia="cs-CZ"/>
              </w:rPr>
            </w:pPr>
            <w:r w:rsidRPr="00933879">
              <w:rPr>
                <w:rFonts w:cs="Tahoma"/>
                <w:color w:val="9B9BA0"/>
                <w:sz w:val="16"/>
                <w:szCs w:val="16"/>
                <w:lang w:eastAsia="cs-CZ"/>
              </w:rPr>
              <w:t>Změna</w:t>
            </w:r>
            <w:r>
              <w:rPr>
                <w:rFonts w:cs="Tahoma"/>
                <w:color w:val="9B9BA0"/>
                <w:sz w:val="16"/>
                <w:szCs w:val="16"/>
                <w:lang w:eastAsia="cs-CZ"/>
              </w:rPr>
              <w:br/>
            </w:r>
            <w:r w:rsidRPr="00933879">
              <w:rPr>
                <w:rFonts w:cs="Tahoma"/>
                <w:color w:val="9B9BA0"/>
                <w:sz w:val="16"/>
                <w:szCs w:val="16"/>
                <w:lang w:eastAsia="cs-CZ"/>
              </w:rPr>
              <w:t>2010-2014</w:t>
            </w:r>
          </w:p>
        </w:tc>
        <w:tc>
          <w:tcPr>
            <w:tcW w:w="1418" w:type="dxa"/>
            <w:tcBorders>
              <w:bottom w:val="single" w:sz="4" w:space="0" w:color="404040"/>
            </w:tcBorders>
            <w:noWrap/>
            <w:vAlign w:val="center"/>
          </w:tcPr>
          <w:p w:rsidR="009D46E6" w:rsidRPr="00933879" w:rsidRDefault="009D46E6" w:rsidP="00866283">
            <w:pPr>
              <w:spacing w:after="0" w:line="240" w:lineRule="auto"/>
              <w:jc w:val="center"/>
              <w:rPr>
                <w:rFonts w:cs="Tahoma"/>
                <w:color w:val="9B9BA0"/>
                <w:sz w:val="16"/>
                <w:szCs w:val="16"/>
                <w:lang w:eastAsia="cs-CZ"/>
              </w:rPr>
            </w:pPr>
            <w:r>
              <w:rPr>
                <w:rFonts w:cs="Tahoma"/>
                <w:color w:val="9B9BA0"/>
                <w:sz w:val="16"/>
                <w:szCs w:val="16"/>
                <w:lang w:eastAsia="cs-CZ"/>
              </w:rPr>
              <w:t>Změna</w:t>
            </w:r>
            <w:r>
              <w:rPr>
                <w:rFonts w:cs="Tahoma"/>
                <w:color w:val="9B9BA0"/>
                <w:sz w:val="16"/>
                <w:szCs w:val="16"/>
                <w:lang w:eastAsia="cs-CZ"/>
              </w:rPr>
              <w:br/>
            </w:r>
            <w:r w:rsidRPr="00933879">
              <w:rPr>
                <w:rFonts w:cs="Tahoma"/>
                <w:color w:val="9B9BA0"/>
                <w:sz w:val="16"/>
                <w:szCs w:val="16"/>
                <w:lang w:eastAsia="cs-CZ"/>
              </w:rPr>
              <w:t>2010-2018</w:t>
            </w:r>
          </w:p>
        </w:tc>
      </w:tr>
      <w:tr w:rsidR="009D46E6" w:rsidRPr="00DB1559" w:rsidTr="00866283">
        <w:trPr>
          <w:trHeight w:val="227"/>
          <w:jc w:val="center"/>
        </w:trPr>
        <w:tc>
          <w:tcPr>
            <w:tcW w:w="2551" w:type="dxa"/>
            <w:tcBorders>
              <w:top w:val="single" w:sz="4" w:space="0" w:color="404040"/>
            </w:tcBorders>
            <w:noWrap/>
            <w:vAlign w:val="center"/>
          </w:tcPr>
          <w:p w:rsidR="009D46E6" w:rsidRPr="00933879" w:rsidRDefault="009D46E6" w:rsidP="00866283">
            <w:pPr>
              <w:spacing w:after="0" w:line="240" w:lineRule="auto"/>
              <w:jc w:val="left"/>
              <w:rPr>
                <w:rFonts w:cs="Tahoma"/>
                <w:sz w:val="16"/>
                <w:szCs w:val="16"/>
                <w:lang w:eastAsia="cs-CZ"/>
              </w:rPr>
            </w:pPr>
            <w:r w:rsidRPr="00933879">
              <w:rPr>
                <w:rFonts w:cs="Tahoma"/>
                <w:sz w:val="16"/>
                <w:szCs w:val="16"/>
                <w:lang w:eastAsia="cs-CZ"/>
              </w:rPr>
              <w:t>Podnikatelský</w:t>
            </w:r>
          </w:p>
        </w:tc>
        <w:tc>
          <w:tcPr>
            <w:tcW w:w="1417" w:type="dxa"/>
            <w:tcBorders>
              <w:top w:val="single" w:sz="4" w:space="0" w:color="404040"/>
            </w:tcBorders>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23 713</w:t>
            </w:r>
          </w:p>
        </w:tc>
        <w:tc>
          <w:tcPr>
            <w:tcW w:w="1417" w:type="dxa"/>
            <w:tcBorders>
              <w:top w:val="single" w:sz="4" w:space="0" w:color="404040"/>
            </w:tcBorders>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26 290</w:t>
            </w:r>
          </w:p>
        </w:tc>
        <w:tc>
          <w:tcPr>
            <w:tcW w:w="1418" w:type="dxa"/>
            <w:tcBorders>
              <w:top w:val="single" w:sz="4" w:space="0" w:color="404040"/>
            </w:tcBorders>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3 285</w:t>
            </w:r>
          </w:p>
        </w:tc>
        <w:tc>
          <w:tcPr>
            <w:tcW w:w="1417" w:type="dxa"/>
            <w:tcBorders>
              <w:top w:val="single" w:sz="4" w:space="0" w:color="404040"/>
            </w:tcBorders>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492</w:t>
            </w:r>
          </w:p>
        </w:tc>
        <w:tc>
          <w:tcPr>
            <w:tcW w:w="1418" w:type="dxa"/>
            <w:tcBorders>
              <w:top w:val="single" w:sz="4" w:space="0" w:color="404040"/>
            </w:tcBorders>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625</w:t>
            </w:r>
          </w:p>
        </w:tc>
      </w:tr>
      <w:tr w:rsidR="009D46E6" w:rsidRPr="00DB1559" w:rsidTr="00866283">
        <w:trPr>
          <w:trHeight w:val="227"/>
          <w:jc w:val="center"/>
        </w:trPr>
        <w:tc>
          <w:tcPr>
            <w:tcW w:w="2551" w:type="dxa"/>
            <w:noWrap/>
            <w:vAlign w:val="center"/>
          </w:tcPr>
          <w:p w:rsidR="009D46E6" w:rsidRPr="00933879" w:rsidRDefault="009D46E6" w:rsidP="00866283">
            <w:pPr>
              <w:spacing w:after="0" w:line="240" w:lineRule="auto"/>
              <w:jc w:val="left"/>
              <w:rPr>
                <w:rFonts w:cs="Tahoma"/>
                <w:sz w:val="16"/>
                <w:szCs w:val="16"/>
                <w:lang w:eastAsia="cs-CZ"/>
              </w:rPr>
            </w:pPr>
            <w:r w:rsidRPr="00933879">
              <w:rPr>
                <w:rFonts w:cs="Tahoma"/>
                <w:sz w:val="16"/>
                <w:szCs w:val="16"/>
                <w:lang w:eastAsia="cs-CZ"/>
              </w:rPr>
              <w:t>Vládní</w:t>
            </w:r>
          </w:p>
        </w:tc>
        <w:tc>
          <w:tcPr>
            <w:tcW w:w="1417" w:type="dxa"/>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11 086</w:t>
            </w:r>
          </w:p>
        </w:tc>
        <w:tc>
          <w:tcPr>
            <w:tcW w:w="1417" w:type="dxa"/>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10 926</w:t>
            </w:r>
          </w:p>
        </w:tc>
        <w:tc>
          <w:tcPr>
            <w:tcW w:w="1418" w:type="dxa"/>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-160</w:t>
            </w:r>
          </w:p>
        </w:tc>
        <w:tc>
          <w:tcPr>
            <w:tcW w:w="1417" w:type="dxa"/>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739</w:t>
            </w:r>
          </w:p>
        </w:tc>
        <w:tc>
          <w:tcPr>
            <w:tcW w:w="1418" w:type="dxa"/>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1 398</w:t>
            </w:r>
          </w:p>
        </w:tc>
      </w:tr>
      <w:tr w:rsidR="009D46E6" w:rsidRPr="00DB1559" w:rsidTr="00866283">
        <w:trPr>
          <w:trHeight w:val="227"/>
          <w:jc w:val="center"/>
        </w:trPr>
        <w:tc>
          <w:tcPr>
            <w:tcW w:w="2551" w:type="dxa"/>
            <w:noWrap/>
            <w:vAlign w:val="center"/>
          </w:tcPr>
          <w:p w:rsidR="009D46E6" w:rsidRPr="00933879" w:rsidRDefault="009D46E6" w:rsidP="00866283">
            <w:pPr>
              <w:spacing w:after="0" w:line="240" w:lineRule="auto"/>
              <w:jc w:val="left"/>
              <w:rPr>
                <w:rFonts w:cs="Tahoma"/>
                <w:sz w:val="16"/>
                <w:szCs w:val="16"/>
                <w:lang w:eastAsia="cs-CZ"/>
              </w:rPr>
            </w:pPr>
            <w:r w:rsidRPr="00933879">
              <w:rPr>
                <w:rFonts w:cs="Tahoma"/>
                <w:sz w:val="16"/>
                <w:szCs w:val="16"/>
                <w:lang w:eastAsia="cs-CZ"/>
              </w:rPr>
              <w:t>Vysokoškolský</w:t>
            </w:r>
          </w:p>
        </w:tc>
        <w:tc>
          <w:tcPr>
            <w:tcW w:w="1417" w:type="dxa"/>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12 775</w:t>
            </w:r>
          </w:p>
        </w:tc>
        <w:tc>
          <w:tcPr>
            <w:tcW w:w="1417" w:type="dxa"/>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14 056</w:t>
            </w:r>
          </w:p>
        </w:tc>
        <w:tc>
          <w:tcPr>
            <w:tcW w:w="1418" w:type="dxa"/>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1 280</w:t>
            </w:r>
          </w:p>
        </w:tc>
        <w:tc>
          <w:tcPr>
            <w:tcW w:w="1417" w:type="dxa"/>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2 158</w:t>
            </w:r>
          </w:p>
        </w:tc>
        <w:tc>
          <w:tcPr>
            <w:tcW w:w="1418" w:type="dxa"/>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2 574</w:t>
            </w:r>
          </w:p>
        </w:tc>
      </w:tr>
      <w:tr w:rsidR="009D46E6" w:rsidRPr="00DB1559" w:rsidTr="00866283">
        <w:trPr>
          <w:trHeight w:val="227"/>
          <w:jc w:val="center"/>
        </w:trPr>
        <w:tc>
          <w:tcPr>
            <w:tcW w:w="2551" w:type="dxa"/>
            <w:tcBorders>
              <w:bottom w:val="single" w:sz="4" w:space="0" w:color="404040"/>
            </w:tcBorders>
            <w:noWrap/>
            <w:vAlign w:val="center"/>
          </w:tcPr>
          <w:p w:rsidR="009D46E6" w:rsidRPr="00933879" w:rsidRDefault="009D46E6" w:rsidP="00866283">
            <w:pPr>
              <w:spacing w:after="0" w:line="240" w:lineRule="auto"/>
              <w:jc w:val="left"/>
              <w:rPr>
                <w:rFonts w:cs="Tahoma"/>
                <w:color w:val="C3003C"/>
                <w:sz w:val="16"/>
                <w:szCs w:val="16"/>
                <w:lang w:eastAsia="cs-CZ"/>
              </w:rPr>
            </w:pPr>
            <w:r w:rsidRPr="00933879">
              <w:rPr>
                <w:rFonts w:cs="Tahoma"/>
                <w:color w:val="C3003C"/>
                <w:sz w:val="16"/>
                <w:szCs w:val="16"/>
                <w:lang w:eastAsia="cs-CZ"/>
              </w:rPr>
              <w:t>Vládní + VŠ</w:t>
            </w:r>
          </w:p>
        </w:tc>
        <w:tc>
          <w:tcPr>
            <w:tcW w:w="1417" w:type="dxa"/>
            <w:tcBorders>
              <w:bottom w:val="single" w:sz="4" w:space="0" w:color="404040"/>
            </w:tcBorders>
            <w:noWrap/>
            <w:vAlign w:val="center"/>
          </w:tcPr>
          <w:p w:rsidR="009D46E6" w:rsidRPr="00933879" w:rsidRDefault="009D46E6" w:rsidP="00866283">
            <w:pPr>
              <w:spacing w:after="0" w:line="240" w:lineRule="auto"/>
              <w:jc w:val="right"/>
              <w:rPr>
                <w:rFonts w:cs="Tahoma"/>
                <w:color w:val="C3003C"/>
                <w:sz w:val="16"/>
                <w:szCs w:val="16"/>
                <w:lang w:eastAsia="cs-CZ"/>
              </w:rPr>
            </w:pPr>
            <w:r w:rsidRPr="00933879">
              <w:rPr>
                <w:rFonts w:cs="Tahoma"/>
                <w:color w:val="C3003C"/>
                <w:sz w:val="16"/>
                <w:szCs w:val="16"/>
                <w:lang w:eastAsia="cs-CZ"/>
              </w:rPr>
              <w:t>23 862</w:t>
            </w:r>
          </w:p>
        </w:tc>
        <w:tc>
          <w:tcPr>
            <w:tcW w:w="1417" w:type="dxa"/>
            <w:tcBorders>
              <w:bottom w:val="single" w:sz="4" w:space="0" w:color="404040"/>
            </w:tcBorders>
            <w:noWrap/>
            <w:vAlign w:val="center"/>
          </w:tcPr>
          <w:p w:rsidR="009D46E6" w:rsidRPr="00933879" w:rsidRDefault="009D46E6" w:rsidP="00866283">
            <w:pPr>
              <w:spacing w:after="0" w:line="240" w:lineRule="auto"/>
              <w:jc w:val="right"/>
              <w:rPr>
                <w:rFonts w:cs="Tahoma"/>
                <w:color w:val="C3003C"/>
                <w:sz w:val="16"/>
                <w:szCs w:val="16"/>
                <w:lang w:eastAsia="cs-CZ"/>
              </w:rPr>
            </w:pPr>
            <w:r w:rsidRPr="00933879">
              <w:rPr>
                <w:rFonts w:cs="Tahoma"/>
                <w:color w:val="C3003C"/>
                <w:sz w:val="16"/>
                <w:szCs w:val="16"/>
                <w:lang w:eastAsia="cs-CZ"/>
              </w:rPr>
              <w:t>24 982</w:t>
            </w:r>
          </w:p>
        </w:tc>
        <w:tc>
          <w:tcPr>
            <w:tcW w:w="1418" w:type="dxa"/>
            <w:tcBorders>
              <w:bottom w:val="single" w:sz="4" w:space="0" w:color="404040"/>
            </w:tcBorders>
            <w:noWrap/>
            <w:vAlign w:val="center"/>
          </w:tcPr>
          <w:p w:rsidR="009D46E6" w:rsidRPr="00933879" w:rsidRDefault="009D46E6" w:rsidP="00866283">
            <w:pPr>
              <w:spacing w:after="0" w:line="240" w:lineRule="auto"/>
              <w:jc w:val="right"/>
              <w:rPr>
                <w:rFonts w:cs="Tahoma"/>
                <w:color w:val="C3003C"/>
                <w:sz w:val="16"/>
                <w:szCs w:val="16"/>
                <w:lang w:eastAsia="cs-CZ"/>
              </w:rPr>
            </w:pPr>
            <w:r w:rsidRPr="00933879">
              <w:rPr>
                <w:rFonts w:cs="Tahoma"/>
                <w:color w:val="C3003C"/>
                <w:sz w:val="16"/>
                <w:szCs w:val="16"/>
                <w:lang w:eastAsia="cs-CZ"/>
              </w:rPr>
              <w:t>1 120</w:t>
            </w:r>
          </w:p>
        </w:tc>
        <w:tc>
          <w:tcPr>
            <w:tcW w:w="1417" w:type="dxa"/>
            <w:tcBorders>
              <w:bottom w:val="single" w:sz="4" w:space="0" w:color="404040"/>
            </w:tcBorders>
            <w:noWrap/>
            <w:vAlign w:val="center"/>
          </w:tcPr>
          <w:p w:rsidR="009D46E6" w:rsidRPr="00933879" w:rsidRDefault="009D46E6" w:rsidP="00866283">
            <w:pPr>
              <w:spacing w:after="0" w:line="240" w:lineRule="auto"/>
              <w:jc w:val="right"/>
              <w:rPr>
                <w:rFonts w:cs="Tahoma"/>
                <w:color w:val="C3003C"/>
                <w:sz w:val="16"/>
                <w:szCs w:val="16"/>
                <w:lang w:eastAsia="cs-CZ"/>
              </w:rPr>
            </w:pPr>
            <w:r w:rsidRPr="00933879">
              <w:rPr>
                <w:rFonts w:cs="Tahoma"/>
                <w:color w:val="C3003C"/>
                <w:sz w:val="16"/>
                <w:szCs w:val="16"/>
                <w:lang w:eastAsia="cs-CZ"/>
              </w:rPr>
              <w:t>2 897</w:t>
            </w:r>
          </w:p>
        </w:tc>
        <w:tc>
          <w:tcPr>
            <w:tcW w:w="1418" w:type="dxa"/>
            <w:tcBorders>
              <w:bottom w:val="single" w:sz="4" w:space="0" w:color="404040"/>
            </w:tcBorders>
            <w:noWrap/>
            <w:vAlign w:val="center"/>
          </w:tcPr>
          <w:p w:rsidR="009D46E6" w:rsidRPr="00933879" w:rsidRDefault="009D46E6" w:rsidP="00866283">
            <w:pPr>
              <w:spacing w:after="0" w:line="240" w:lineRule="auto"/>
              <w:jc w:val="right"/>
              <w:rPr>
                <w:rFonts w:cs="Tahoma"/>
                <w:color w:val="C3003C"/>
                <w:sz w:val="16"/>
                <w:szCs w:val="16"/>
                <w:lang w:eastAsia="cs-CZ"/>
              </w:rPr>
            </w:pPr>
            <w:r w:rsidRPr="00933879">
              <w:rPr>
                <w:rFonts w:cs="Tahoma"/>
                <w:color w:val="C3003C"/>
                <w:sz w:val="16"/>
                <w:szCs w:val="16"/>
                <w:lang w:eastAsia="cs-CZ"/>
              </w:rPr>
              <w:t>3 972</w:t>
            </w:r>
          </w:p>
        </w:tc>
      </w:tr>
      <w:tr w:rsidR="009D46E6" w:rsidRPr="00DB1559" w:rsidTr="00866283">
        <w:trPr>
          <w:trHeight w:val="227"/>
          <w:jc w:val="center"/>
        </w:trPr>
        <w:tc>
          <w:tcPr>
            <w:tcW w:w="2551" w:type="dxa"/>
            <w:tcBorders>
              <w:top w:val="single" w:sz="4" w:space="0" w:color="404040"/>
            </w:tcBorders>
            <w:noWrap/>
            <w:vAlign w:val="center"/>
          </w:tcPr>
          <w:p w:rsidR="009D46E6" w:rsidRPr="00933879" w:rsidRDefault="009D46E6" w:rsidP="00866283">
            <w:pPr>
              <w:spacing w:after="0" w:line="240" w:lineRule="auto"/>
              <w:jc w:val="left"/>
              <w:rPr>
                <w:rFonts w:cs="Tahoma"/>
                <w:sz w:val="16"/>
                <w:szCs w:val="16"/>
                <w:lang w:eastAsia="cs-CZ"/>
              </w:rPr>
            </w:pPr>
            <w:r w:rsidRPr="00933879">
              <w:rPr>
                <w:rFonts w:cs="Tahoma"/>
                <w:sz w:val="16"/>
                <w:szCs w:val="16"/>
                <w:lang w:eastAsia="cs-CZ"/>
              </w:rPr>
              <w:t>Celkem</w:t>
            </w:r>
          </w:p>
        </w:tc>
        <w:tc>
          <w:tcPr>
            <w:tcW w:w="1417" w:type="dxa"/>
            <w:tcBorders>
              <w:top w:val="single" w:sz="4" w:space="0" w:color="404040"/>
            </w:tcBorders>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47 729</w:t>
            </w:r>
          </w:p>
        </w:tc>
        <w:tc>
          <w:tcPr>
            <w:tcW w:w="1417" w:type="dxa"/>
            <w:tcBorders>
              <w:top w:val="single" w:sz="4" w:space="0" w:color="404040"/>
            </w:tcBorders>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52 290</w:t>
            </w:r>
          </w:p>
        </w:tc>
        <w:tc>
          <w:tcPr>
            <w:tcW w:w="1418" w:type="dxa"/>
            <w:tcBorders>
              <w:top w:val="single" w:sz="4" w:space="0" w:color="404040"/>
            </w:tcBorders>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4 561</w:t>
            </w:r>
          </w:p>
        </w:tc>
        <w:tc>
          <w:tcPr>
            <w:tcW w:w="1417" w:type="dxa"/>
            <w:tcBorders>
              <w:top w:val="single" w:sz="4" w:space="0" w:color="404040"/>
            </w:tcBorders>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3 389</w:t>
            </w:r>
          </w:p>
        </w:tc>
        <w:tc>
          <w:tcPr>
            <w:tcW w:w="1418" w:type="dxa"/>
            <w:tcBorders>
              <w:top w:val="single" w:sz="4" w:space="0" w:color="404040"/>
            </w:tcBorders>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4 597</w:t>
            </w:r>
          </w:p>
        </w:tc>
      </w:tr>
    </w:tbl>
    <w:p w:rsidR="009D46E6" w:rsidRDefault="009D46E6" w:rsidP="00866283">
      <w:pPr>
        <w:pStyle w:val="Zdroj"/>
      </w:pPr>
      <w:r w:rsidRPr="00D43170">
        <w:t>Zdroj:</w:t>
      </w:r>
      <w:r w:rsidRPr="00933879">
        <w:t xml:space="preserve"> ČSÚ; </w:t>
      </w:r>
      <w:r>
        <w:t xml:space="preserve">MŠMT; </w:t>
      </w:r>
      <w:r w:rsidRPr="00933879">
        <w:t>vlastní výpočty</w:t>
      </w:r>
    </w:p>
    <w:p w:rsidR="009D46E6" w:rsidRDefault="009D46E6" w:rsidP="00866283"/>
    <w:p w:rsidR="009D46E6" w:rsidRDefault="009D46E6" w:rsidP="00866283">
      <w:r>
        <w:t>Obdobná situace panuje i při rozdělení center dle vědních oblastí (tab. F.15). Ve dvou nejsilněji zastoupených - přírodních a technických vědách - je soustředěno 87 % vzniklé zaměstnanosti. Protože technické obory vykazují v posledních letech největší nárůst zaměstnanosti, za udržení stávajících trendů by noví pracovníci byli schopni pokrýt kapacity vznikajících výzkumných center. Totéž ale neplatí pro přírodní vědy, kde nové kapacity center trojnásobně přesahují růst zaměstnanosti mezi roky 2006 a 2010. V tabulce nejsou záměrně uvedeny hodnoty sociálních a humanitních věd - takto zaměřené vzniklo pouze jediné centrum, které je z hlediska celkové trendů v zaměstnanosti naprosto marginální.</w:t>
      </w:r>
    </w:p>
    <w:p w:rsidR="009D46E6" w:rsidRPr="00BC1D05" w:rsidRDefault="009D46E6" w:rsidP="00750D9B">
      <w:pPr>
        <w:pStyle w:val="Caption"/>
      </w:pPr>
      <w:bookmarkStart w:id="262" w:name="_Toc369091955"/>
      <w:r>
        <w:t xml:space="preserve">Tabulka </w:t>
      </w:r>
      <w:fldSimple w:instr=" STYLEREF 1 \s ">
        <w:r>
          <w:rPr>
            <w:noProof/>
          </w:rPr>
          <w:t>F</w:t>
        </w:r>
      </w:fldSimple>
      <w:r>
        <w:t>.</w:t>
      </w:r>
      <w:fldSimple w:instr=" SEQ Tabulka \* ARABIC \s 1 ">
        <w:r>
          <w:rPr>
            <w:noProof/>
          </w:rPr>
          <w:t>15</w:t>
        </w:r>
      </w:fldSimple>
      <w:r w:rsidRPr="00BC1D05">
        <w:t xml:space="preserve">: </w:t>
      </w:r>
      <w:r w:rsidRPr="00471D9E">
        <w:t>Počty zaměstnanců ve VaV v ČR</w:t>
      </w:r>
      <w:r>
        <w:t xml:space="preserve"> (z toho v centrech) dle vědních oblastí</w:t>
      </w:r>
      <w:bookmarkEnd w:id="262"/>
    </w:p>
    <w:tbl>
      <w:tblPr>
        <w:tblW w:w="9638"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70" w:type="dxa"/>
          <w:right w:w="70" w:type="dxa"/>
        </w:tblCellMar>
        <w:tblLook w:val="0000"/>
      </w:tblPr>
      <w:tblGrid>
        <w:gridCol w:w="2551"/>
        <w:gridCol w:w="1417"/>
        <w:gridCol w:w="1417"/>
        <w:gridCol w:w="1418"/>
        <w:gridCol w:w="1417"/>
        <w:gridCol w:w="1418"/>
      </w:tblGrid>
      <w:tr w:rsidR="009D46E6" w:rsidRPr="00DB1559" w:rsidTr="00866283">
        <w:trPr>
          <w:trHeight w:val="227"/>
          <w:jc w:val="center"/>
        </w:trPr>
        <w:tc>
          <w:tcPr>
            <w:tcW w:w="2551" w:type="dxa"/>
            <w:vMerge w:val="restart"/>
            <w:noWrap/>
            <w:vAlign w:val="center"/>
          </w:tcPr>
          <w:p w:rsidR="009D46E6" w:rsidRPr="00933879" w:rsidRDefault="009D46E6" w:rsidP="00866283">
            <w:pPr>
              <w:spacing w:after="0" w:line="240" w:lineRule="auto"/>
              <w:jc w:val="center"/>
              <w:rPr>
                <w:rFonts w:cs="Tahoma"/>
                <w:color w:val="008CCD"/>
                <w:sz w:val="16"/>
                <w:szCs w:val="16"/>
                <w:lang w:eastAsia="cs-CZ"/>
              </w:rPr>
            </w:pPr>
            <w:r w:rsidRPr="00933879">
              <w:rPr>
                <w:rFonts w:cs="Tahoma"/>
                <w:color w:val="008CCD"/>
                <w:sz w:val="16"/>
                <w:szCs w:val="16"/>
                <w:lang w:eastAsia="cs-CZ"/>
              </w:rPr>
              <w:t>Vědní oblast</w:t>
            </w:r>
          </w:p>
        </w:tc>
        <w:tc>
          <w:tcPr>
            <w:tcW w:w="4252" w:type="dxa"/>
            <w:gridSpan w:val="3"/>
            <w:noWrap/>
            <w:vAlign w:val="center"/>
          </w:tcPr>
          <w:p w:rsidR="009D46E6" w:rsidRPr="00933879" w:rsidRDefault="009D46E6" w:rsidP="00866283">
            <w:pPr>
              <w:spacing w:after="0" w:line="240" w:lineRule="auto"/>
              <w:jc w:val="center"/>
              <w:rPr>
                <w:rFonts w:cs="Tahoma"/>
                <w:color w:val="008CCD"/>
                <w:sz w:val="16"/>
                <w:szCs w:val="16"/>
                <w:lang w:eastAsia="cs-CZ"/>
              </w:rPr>
            </w:pPr>
            <w:r w:rsidRPr="00933879">
              <w:rPr>
                <w:rFonts w:cs="Tahoma"/>
                <w:color w:val="008CCD"/>
                <w:sz w:val="16"/>
                <w:szCs w:val="16"/>
                <w:lang w:eastAsia="cs-CZ"/>
              </w:rPr>
              <w:t>Zaměstnanci ve VaV</w:t>
            </w:r>
            <w:r>
              <w:rPr>
                <w:rFonts w:cs="Tahoma"/>
                <w:color w:val="008CCD"/>
                <w:sz w:val="16"/>
                <w:szCs w:val="16"/>
                <w:lang w:eastAsia="cs-CZ"/>
              </w:rPr>
              <w:t xml:space="preserve"> celkem</w:t>
            </w:r>
          </w:p>
        </w:tc>
        <w:tc>
          <w:tcPr>
            <w:tcW w:w="2835" w:type="dxa"/>
            <w:gridSpan w:val="2"/>
            <w:noWrap/>
            <w:vAlign w:val="center"/>
          </w:tcPr>
          <w:p w:rsidR="009D46E6" w:rsidRPr="00933879" w:rsidRDefault="009D46E6" w:rsidP="00866283">
            <w:pPr>
              <w:spacing w:after="0" w:line="240" w:lineRule="auto"/>
              <w:jc w:val="center"/>
              <w:rPr>
                <w:rFonts w:cs="Tahoma"/>
                <w:color w:val="008CCD"/>
                <w:sz w:val="16"/>
                <w:szCs w:val="16"/>
                <w:lang w:eastAsia="cs-CZ"/>
              </w:rPr>
            </w:pPr>
            <w:r>
              <w:rPr>
                <w:rFonts w:cs="Tahoma"/>
                <w:color w:val="008CCD"/>
                <w:sz w:val="16"/>
                <w:szCs w:val="16"/>
                <w:lang w:eastAsia="cs-CZ"/>
              </w:rPr>
              <w:t>Zaměstnanci VaV center</w:t>
            </w:r>
          </w:p>
        </w:tc>
      </w:tr>
      <w:tr w:rsidR="009D46E6" w:rsidRPr="00DB1559" w:rsidTr="00866283">
        <w:trPr>
          <w:trHeight w:val="227"/>
          <w:jc w:val="center"/>
        </w:trPr>
        <w:tc>
          <w:tcPr>
            <w:tcW w:w="2551" w:type="dxa"/>
            <w:vMerge/>
            <w:tcBorders>
              <w:bottom w:val="single" w:sz="4" w:space="0" w:color="404040"/>
            </w:tcBorders>
            <w:vAlign w:val="center"/>
          </w:tcPr>
          <w:p w:rsidR="009D46E6" w:rsidRPr="00933879" w:rsidRDefault="009D46E6" w:rsidP="00866283">
            <w:pPr>
              <w:spacing w:after="0" w:line="240" w:lineRule="auto"/>
              <w:jc w:val="center"/>
              <w:rPr>
                <w:rFonts w:cs="Tahoma"/>
                <w:color w:val="000000"/>
                <w:sz w:val="16"/>
                <w:szCs w:val="16"/>
                <w:lang w:eastAsia="cs-CZ"/>
              </w:rPr>
            </w:pPr>
          </w:p>
        </w:tc>
        <w:tc>
          <w:tcPr>
            <w:tcW w:w="1417" w:type="dxa"/>
            <w:tcBorders>
              <w:bottom w:val="single" w:sz="4" w:space="0" w:color="404040"/>
            </w:tcBorders>
            <w:noWrap/>
            <w:vAlign w:val="center"/>
          </w:tcPr>
          <w:p w:rsidR="009D46E6" w:rsidRPr="00933879" w:rsidRDefault="009D46E6" w:rsidP="00866283">
            <w:pPr>
              <w:spacing w:after="0" w:line="240" w:lineRule="auto"/>
              <w:jc w:val="center"/>
              <w:rPr>
                <w:rFonts w:cs="Tahoma"/>
                <w:color w:val="9B9BA0"/>
                <w:sz w:val="16"/>
                <w:szCs w:val="16"/>
                <w:lang w:eastAsia="cs-CZ"/>
              </w:rPr>
            </w:pPr>
            <w:r w:rsidRPr="00933879">
              <w:rPr>
                <w:rFonts w:cs="Tahoma"/>
                <w:color w:val="9B9BA0"/>
                <w:sz w:val="16"/>
                <w:szCs w:val="16"/>
                <w:lang w:eastAsia="cs-CZ"/>
              </w:rPr>
              <w:t>2006</w:t>
            </w:r>
          </w:p>
        </w:tc>
        <w:tc>
          <w:tcPr>
            <w:tcW w:w="1417" w:type="dxa"/>
            <w:tcBorders>
              <w:bottom w:val="single" w:sz="4" w:space="0" w:color="404040"/>
            </w:tcBorders>
            <w:noWrap/>
            <w:vAlign w:val="center"/>
          </w:tcPr>
          <w:p w:rsidR="009D46E6" w:rsidRPr="00933879" w:rsidRDefault="009D46E6" w:rsidP="00866283">
            <w:pPr>
              <w:spacing w:after="0" w:line="240" w:lineRule="auto"/>
              <w:jc w:val="center"/>
              <w:rPr>
                <w:rFonts w:cs="Tahoma"/>
                <w:color w:val="9B9BA0"/>
                <w:sz w:val="16"/>
                <w:szCs w:val="16"/>
                <w:lang w:eastAsia="cs-CZ"/>
              </w:rPr>
            </w:pPr>
            <w:r w:rsidRPr="00933879">
              <w:rPr>
                <w:rFonts w:cs="Tahoma"/>
                <w:color w:val="9B9BA0"/>
                <w:sz w:val="16"/>
                <w:szCs w:val="16"/>
                <w:lang w:eastAsia="cs-CZ"/>
              </w:rPr>
              <w:t>2010</w:t>
            </w:r>
          </w:p>
        </w:tc>
        <w:tc>
          <w:tcPr>
            <w:tcW w:w="1418" w:type="dxa"/>
            <w:tcBorders>
              <w:bottom w:val="single" w:sz="4" w:space="0" w:color="404040"/>
            </w:tcBorders>
            <w:noWrap/>
            <w:vAlign w:val="center"/>
          </w:tcPr>
          <w:p w:rsidR="009D46E6" w:rsidRPr="00933879" w:rsidRDefault="009D46E6" w:rsidP="00866283">
            <w:pPr>
              <w:spacing w:after="0" w:line="240" w:lineRule="auto"/>
              <w:jc w:val="center"/>
              <w:rPr>
                <w:rFonts w:cs="Tahoma"/>
                <w:color w:val="9B9BA0"/>
                <w:sz w:val="16"/>
                <w:szCs w:val="16"/>
                <w:lang w:eastAsia="cs-CZ"/>
              </w:rPr>
            </w:pPr>
            <w:r>
              <w:rPr>
                <w:rFonts w:cs="Tahoma"/>
                <w:color w:val="9B9BA0"/>
                <w:sz w:val="16"/>
                <w:szCs w:val="16"/>
                <w:lang w:eastAsia="cs-CZ"/>
              </w:rPr>
              <w:t>Změna</w:t>
            </w:r>
            <w:r>
              <w:rPr>
                <w:rFonts w:cs="Tahoma"/>
                <w:color w:val="9B9BA0"/>
                <w:sz w:val="16"/>
                <w:szCs w:val="16"/>
                <w:lang w:eastAsia="cs-CZ"/>
              </w:rPr>
              <w:br/>
            </w:r>
            <w:r w:rsidRPr="00933879">
              <w:rPr>
                <w:rFonts w:cs="Tahoma"/>
                <w:color w:val="9B9BA0"/>
                <w:sz w:val="16"/>
                <w:szCs w:val="16"/>
                <w:lang w:eastAsia="cs-CZ"/>
              </w:rPr>
              <w:t>2006-2010</w:t>
            </w:r>
          </w:p>
        </w:tc>
        <w:tc>
          <w:tcPr>
            <w:tcW w:w="1417" w:type="dxa"/>
            <w:tcBorders>
              <w:bottom w:val="single" w:sz="4" w:space="0" w:color="404040"/>
            </w:tcBorders>
            <w:noWrap/>
            <w:vAlign w:val="center"/>
          </w:tcPr>
          <w:p w:rsidR="009D46E6" w:rsidRPr="00933879" w:rsidRDefault="009D46E6" w:rsidP="00866283">
            <w:pPr>
              <w:spacing w:after="0" w:line="240" w:lineRule="auto"/>
              <w:jc w:val="center"/>
              <w:rPr>
                <w:rFonts w:cs="Tahoma"/>
                <w:color w:val="9B9BA0"/>
                <w:sz w:val="16"/>
                <w:szCs w:val="16"/>
                <w:lang w:eastAsia="cs-CZ"/>
              </w:rPr>
            </w:pPr>
            <w:r>
              <w:rPr>
                <w:rFonts w:cs="Tahoma"/>
                <w:color w:val="9B9BA0"/>
                <w:sz w:val="16"/>
                <w:szCs w:val="16"/>
                <w:lang w:eastAsia="cs-CZ"/>
              </w:rPr>
              <w:t>Změna</w:t>
            </w:r>
            <w:r>
              <w:rPr>
                <w:rFonts w:cs="Tahoma"/>
                <w:color w:val="9B9BA0"/>
                <w:sz w:val="16"/>
                <w:szCs w:val="16"/>
                <w:lang w:eastAsia="cs-CZ"/>
              </w:rPr>
              <w:br/>
            </w:r>
            <w:r w:rsidRPr="00933879">
              <w:rPr>
                <w:rFonts w:cs="Tahoma"/>
                <w:color w:val="9B9BA0"/>
                <w:sz w:val="16"/>
                <w:szCs w:val="16"/>
                <w:lang w:eastAsia="cs-CZ"/>
              </w:rPr>
              <w:t>2010-2014</w:t>
            </w:r>
          </w:p>
        </w:tc>
        <w:tc>
          <w:tcPr>
            <w:tcW w:w="1418" w:type="dxa"/>
            <w:tcBorders>
              <w:bottom w:val="single" w:sz="4" w:space="0" w:color="404040"/>
            </w:tcBorders>
            <w:noWrap/>
            <w:vAlign w:val="center"/>
          </w:tcPr>
          <w:p w:rsidR="009D46E6" w:rsidRPr="00933879" w:rsidRDefault="009D46E6" w:rsidP="00866283">
            <w:pPr>
              <w:spacing w:after="0" w:line="240" w:lineRule="auto"/>
              <w:jc w:val="center"/>
              <w:rPr>
                <w:rFonts w:cs="Tahoma"/>
                <w:color w:val="9B9BA0"/>
                <w:sz w:val="16"/>
                <w:szCs w:val="16"/>
                <w:lang w:eastAsia="cs-CZ"/>
              </w:rPr>
            </w:pPr>
            <w:r>
              <w:rPr>
                <w:rFonts w:cs="Tahoma"/>
                <w:color w:val="9B9BA0"/>
                <w:sz w:val="16"/>
                <w:szCs w:val="16"/>
                <w:lang w:eastAsia="cs-CZ"/>
              </w:rPr>
              <w:t>Změna</w:t>
            </w:r>
            <w:r>
              <w:rPr>
                <w:rFonts w:cs="Tahoma"/>
                <w:color w:val="9B9BA0"/>
                <w:sz w:val="16"/>
                <w:szCs w:val="16"/>
                <w:lang w:eastAsia="cs-CZ"/>
              </w:rPr>
              <w:br/>
            </w:r>
            <w:r w:rsidRPr="00933879">
              <w:rPr>
                <w:rFonts w:cs="Tahoma"/>
                <w:color w:val="9B9BA0"/>
                <w:sz w:val="16"/>
                <w:szCs w:val="16"/>
                <w:lang w:eastAsia="cs-CZ"/>
              </w:rPr>
              <w:t>2010-2018</w:t>
            </w:r>
          </w:p>
        </w:tc>
      </w:tr>
      <w:tr w:rsidR="009D46E6" w:rsidRPr="00DB1559" w:rsidTr="00866283">
        <w:trPr>
          <w:trHeight w:val="227"/>
          <w:jc w:val="center"/>
        </w:trPr>
        <w:tc>
          <w:tcPr>
            <w:tcW w:w="2551" w:type="dxa"/>
            <w:tcBorders>
              <w:top w:val="single" w:sz="4" w:space="0" w:color="404040"/>
            </w:tcBorders>
            <w:noWrap/>
            <w:vAlign w:val="center"/>
          </w:tcPr>
          <w:p w:rsidR="009D46E6" w:rsidRPr="00933879" w:rsidRDefault="009D46E6" w:rsidP="00866283">
            <w:pPr>
              <w:spacing w:after="0" w:line="240" w:lineRule="auto"/>
              <w:jc w:val="left"/>
              <w:rPr>
                <w:rFonts w:cs="Tahoma"/>
                <w:sz w:val="16"/>
                <w:szCs w:val="16"/>
                <w:lang w:eastAsia="cs-CZ"/>
              </w:rPr>
            </w:pPr>
            <w:r w:rsidRPr="00933879">
              <w:rPr>
                <w:rFonts w:cs="Tahoma"/>
                <w:sz w:val="16"/>
                <w:szCs w:val="16"/>
                <w:lang w:eastAsia="cs-CZ"/>
              </w:rPr>
              <w:t>Lékařské</w:t>
            </w:r>
          </w:p>
        </w:tc>
        <w:tc>
          <w:tcPr>
            <w:tcW w:w="1417" w:type="dxa"/>
            <w:tcBorders>
              <w:top w:val="single" w:sz="4" w:space="0" w:color="404040"/>
            </w:tcBorders>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4 008</w:t>
            </w:r>
          </w:p>
        </w:tc>
        <w:tc>
          <w:tcPr>
            <w:tcW w:w="1417" w:type="dxa"/>
            <w:tcBorders>
              <w:top w:val="single" w:sz="4" w:space="0" w:color="404040"/>
            </w:tcBorders>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4 456</w:t>
            </w:r>
          </w:p>
        </w:tc>
        <w:tc>
          <w:tcPr>
            <w:tcW w:w="1418" w:type="dxa"/>
            <w:tcBorders>
              <w:top w:val="single" w:sz="4" w:space="0" w:color="404040"/>
            </w:tcBorders>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449</w:t>
            </w:r>
          </w:p>
        </w:tc>
        <w:tc>
          <w:tcPr>
            <w:tcW w:w="1417" w:type="dxa"/>
            <w:tcBorders>
              <w:top w:val="single" w:sz="4" w:space="0" w:color="404040"/>
            </w:tcBorders>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185</w:t>
            </w:r>
          </w:p>
        </w:tc>
        <w:tc>
          <w:tcPr>
            <w:tcW w:w="1418" w:type="dxa"/>
            <w:tcBorders>
              <w:top w:val="single" w:sz="4" w:space="0" w:color="404040"/>
            </w:tcBorders>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460</w:t>
            </w:r>
          </w:p>
        </w:tc>
      </w:tr>
      <w:tr w:rsidR="009D46E6" w:rsidRPr="00DB1559" w:rsidTr="00866283">
        <w:trPr>
          <w:trHeight w:val="227"/>
          <w:jc w:val="center"/>
        </w:trPr>
        <w:tc>
          <w:tcPr>
            <w:tcW w:w="2551" w:type="dxa"/>
            <w:noWrap/>
            <w:vAlign w:val="center"/>
          </w:tcPr>
          <w:p w:rsidR="009D46E6" w:rsidRPr="00933879" w:rsidRDefault="009D46E6" w:rsidP="00866283">
            <w:pPr>
              <w:spacing w:after="0" w:line="240" w:lineRule="auto"/>
              <w:jc w:val="left"/>
              <w:rPr>
                <w:rFonts w:cs="Tahoma"/>
                <w:sz w:val="16"/>
                <w:szCs w:val="16"/>
                <w:lang w:eastAsia="cs-CZ"/>
              </w:rPr>
            </w:pPr>
            <w:r w:rsidRPr="00933879">
              <w:rPr>
                <w:rFonts w:cs="Tahoma"/>
                <w:sz w:val="16"/>
                <w:szCs w:val="16"/>
                <w:lang w:eastAsia="cs-CZ"/>
              </w:rPr>
              <w:t>Zemědělské</w:t>
            </w:r>
          </w:p>
        </w:tc>
        <w:tc>
          <w:tcPr>
            <w:tcW w:w="1417" w:type="dxa"/>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2 631</w:t>
            </w:r>
          </w:p>
        </w:tc>
        <w:tc>
          <w:tcPr>
            <w:tcW w:w="1417" w:type="dxa"/>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2 848</w:t>
            </w:r>
          </w:p>
        </w:tc>
        <w:tc>
          <w:tcPr>
            <w:tcW w:w="1418" w:type="dxa"/>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216</w:t>
            </w:r>
          </w:p>
        </w:tc>
        <w:tc>
          <w:tcPr>
            <w:tcW w:w="1417" w:type="dxa"/>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133</w:t>
            </w:r>
          </w:p>
        </w:tc>
        <w:tc>
          <w:tcPr>
            <w:tcW w:w="1418" w:type="dxa"/>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141</w:t>
            </w:r>
          </w:p>
        </w:tc>
      </w:tr>
      <w:tr w:rsidR="009D46E6" w:rsidRPr="00DB1559" w:rsidTr="00866283">
        <w:trPr>
          <w:trHeight w:val="227"/>
          <w:jc w:val="center"/>
        </w:trPr>
        <w:tc>
          <w:tcPr>
            <w:tcW w:w="2551" w:type="dxa"/>
            <w:noWrap/>
            <w:vAlign w:val="center"/>
          </w:tcPr>
          <w:p w:rsidR="009D46E6" w:rsidRPr="00933879" w:rsidRDefault="009D46E6" w:rsidP="00866283">
            <w:pPr>
              <w:spacing w:after="0" w:line="240" w:lineRule="auto"/>
              <w:jc w:val="left"/>
              <w:rPr>
                <w:rFonts w:cs="Tahoma"/>
                <w:sz w:val="16"/>
                <w:szCs w:val="16"/>
                <w:lang w:eastAsia="cs-CZ"/>
              </w:rPr>
            </w:pPr>
            <w:r w:rsidRPr="00933879">
              <w:rPr>
                <w:rFonts w:cs="Tahoma"/>
                <w:sz w:val="16"/>
                <w:szCs w:val="16"/>
                <w:lang w:eastAsia="cs-CZ"/>
              </w:rPr>
              <w:t>Přírodní</w:t>
            </w:r>
          </w:p>
        </w:tc>
        <w:tc>
          <w:tcPr>
            <w:tcW w:w="1417" w:type="dxa"/>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12 102</w:t>
            </w:r>
          </w:p>
        </w:tc>
        <w:tc>
          <w:tcPr>
            <w:tcW w:w="1417" w:type="dxa"/>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12 754</w:t>
            </w:r>
          </w:p>
        </w:tc>
        <w:tc>
          <w:tcPr>
            <w:tcW w:w="1418" w:type="dxa"/>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653</w:t>
            </w:r>
          </w:p>
        </w:tc>
        <w:tc>
          <w:tcPr>
            <w:tcW w:w="1417" w:type="dxa"/>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1 973</w:t>
            </w:r>
          </w:p>
        </w:tc>
        <w:tc>
          <w:tcPr>
            <w:tcW w:w="1418" w:type="dxa"/>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2 611</w:t>
            </w:r>
          </w:p>
        </w:tc>
      </w:tr>
      <w:tr w:rsidR="009D46E6" w:rsidRPr="00DB1559" w:rsidTr="00866283">
        <w:trPr>
          <w:trHeight w:val="227"/>
          <w:jc w:val="center"/>
        </w:trPr>
        <w:tc>
          <w:tcPr>
            <w:tcW w:w="2551" w:type="dxa"/>
            <w:noWrap/>
            <w:vAlign w:val="center"/>
          </w:tcPr>
          <w:p w:rsidR="009D46E6" w:rsidRPr="00933879" w:rsidRDefault="009D46E6" w:rsidP="00866283">
            <w:pPr>
              <w:spacing w:after="0" w:line="240" w:lineRule="auto"/>
              <w:jc w:val="left"/>
              <w:rPr>
                <w:rFonts w:cs="Tahoma"/>
                <w:sz w:val="16"/>
                <w:szCs w:val="16"/>
                <w:lang w:eastAsia="cs-CZ"/>
              </w:rPr>
            </w:pPr>
            <w:r w:rsidRPr="00933879">
              <w:rPr>
                <w:rFonts w:cs="Tahoma"/>
                <w:sz w:val="16"/>
                <w:szCs w:val="16"/>
                <w:lang w:eastAsia="cs-CZ"/>
              </w:rPr>
              <w:t>Technické</w:t>
            </w:r>
          </w:p>
        </w:tc>
        <w:tc>
          <w:tcPr>
            <w:tcW w:w="1417" w:type="dxa"/>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23 092</w:t>
            </w:r>
          </w:p>
        </w:tc>
        <w:tc>
          <w:tcPr>
            <w:tcW w:w="1417" w:type="dxa"/>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26 379</w:t>
            </w:r>
          </w:p>
        </w:tc>
        <w:tc>
          <w:tcPr>
            <w:tcW w:w="1418" w:type="dxa"/>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3 287</w:t>
            </w:r>
          </w:p>
        </w:tc>
        <w:tc>
          <w:tcPr>
            <w:tcW w:w="1417" w:type="dxa"/>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1 059</w:t>
            </w:r>
          </w:p>
        </w:tc>
        <w:tc>
          <w:tcPr>
            <w:tcW w:w="1418" w:type="dxa"/>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1 347</w:t>
            </w:r>
          </w:p>
        </w:tc>
      </w:tr>
      <w:tr w:rsidR="009D46E6" w:rsidRPr="00DB1559" w:rsidTr="00866283">
        <w:trPr>
          <w:trHeight w:val="227"/>
          <w:jc w:val="center"/>
        </w:trPr>
        <w:tc>
          <w:tcPr>
            <w:tcW w:w="2551" w:type="dxa"/>
            <w:tcBorders>
              <w:bottom w:val="single" w:sz="4" w:space="0" w:color="404040"/>
            </w:tcBorders>
            <w:noWrap/>
            <w:vAlign w:val="center"/>
          </w:tcPr>
          <w:p w:rsidR="009D46E6" w:rsidRPr="00933879" w:rsidRDefault="009D46E6" w:rsidP="00866283">
            <w:pPr>
              <w:spacing w:after="0" w:line="240" w:lineRule="auto"/>
              <w:jc w:val="left"/>
              <w:rPr>
                <w:rFonts w:cs="Tahoma"/>
                <w:color w:val="C3003C"/>
                <w:sz w:val="16"/>
                <w:szCs w:val="16"/>
                <w:lang w:eastAsia="cs-CZ"/>
              </w:rPr>
            </w:pPr>
            <w:r w:rsidRPr="00933879">
              <w:rPr>
                <w:rFonts w:cs="Tahoma"/>
                <w:color w:val="C3003C"/>
                <w:sz w:val="16"/>
                <w:szCs w:val="16"/>
                <w:lang w:eastAsia="cs-CZ"/>
              </w:rPr>
              <w:t>Přírodní + technické</w:t>
            </w:r>
          </w:p>
        </w:tc>
        <w:tc>
          <w:tcPr>
            <w:tcW w:w="1417" w:type="dxa"/>
            <w:tcBorders>
              <w:bottom w:val="single" w:sz="4" w:space="0" w:color="404040"/>
            </w:tcBorders>
            <w:noWrap/>
            <w:vAlign w:val="center"/>
          </w:tcPr>
          <w:p w:rsidR="009D46E6" w:rsidRPr="00933879" w:rsidRDefault="009D46E6" w:rsidP="00866283">
            <w:pPr>
              <w:spacing w:after="0" w:line="240" w:lineRule="auto"/>
              <w:jc w:val="right"/>
              <w:rPr>
                <w:rFonts w:cs="Tahoma"/>
                <w:color w:val="C3003C"/>
                <w:sz w:val="16"/>
                <w:szCs w:val="16"/>
                <w:lang w:eastAsia="cs-CZ"/>
              </w:rPr>
            </w:pPr>
            <w:r w:rsidRPr="00933879">
              <w:rPr>
                <w:rFonts w:cs="Tahoma"/>
                <w:color w:val="C3003C"/>
                <w:sz w:val="16"/>
                <w:szCs w:val="16"/>
                <w:lang w:eastAsia="cs-CZ"/>
              </w:rPr>
              <w:t>35 194</w:t>
            </w:r>
          </w:p>
        </w:tc>
        <w:tc>
          <w:tcPr>
            <w:tcW w:w="1417" w:type="dxa"/>
            <w:tcBorders>
              <w:bottom w:val="single" w:sz="4" w:space="0" w:color="404040"/>
            </w:tcBorders>
            <w:noWrap/>
            <w:vAlign w:val="center"/>
          </w:tcPr>
          <w:p w:rsidR="009D46E6" w:rsidRPr="00933879" w:rsidRDefault="009D46E6" w:rsidP="00866283">
            <w:pPr>
              <w:spacing w:after="0" w:line="240" w:lineRule="auto"/>
              <w:jc w:val="right"/>
              <w:rPr>
                <w:rFonts w:cs="Tahoma"/>
                <w:color w:val="C3003C"/>
                <w:sz w:val="16"/>
                <w:szCs w:val="16"/>
                <w:lang w:eastAsia="cs-CZ"/>
              </w:rPr>
            </w:pPr>
            <w:r w:rsidRPr="00933879">
              <w:rPr>
                <w:rFonts w:cs="Tahoma"/>
                <w:color w:val="C3003C"/>
                <w:sz w:val="16"/>
                <w:szCs w:val="16"/>
                <w:lang w:eastAsia="cs-CZ"/>
              </w:rPr>
              <w:t>39 133</w:t>
            </w:r>
          </w:p>
        </w:tc>
        <w:tc>
          <w:tcPr>
            <w:tcW w:w="1418" w:type="dxa"/>
            <w:tcBorders>
              <w:bottom w:val="single" w:sz="4" w:space="0" w:color="404040"/>
            </w:tcBorders>
            <w:noWrap/>
            <w:vAlign w:val="center"/>
          </w:tcPr>
          <w:p w:rsidR="009D46E6" w:rsidRPr="00933879" w:rsidRDefault="009D46E6" w:rsidP="00866283">
            <w:pPr>
              <w:spacing w:after="0" w:line="240" w:lineRule="auto"/>
              <w:jc w:val="right"/>
              <w:rPr>
                <w:rFonts w:cs="Tahoma"/>
                <w:color w:val="C3003C"/>
                <w:sz w:val="16"/>
                <w:szCs w:val="16"/>
                <w:lang w:eastAsia="cs-CZ"/>
              </w:rPr>
            </w:pPr>
            <w:r w:rsidRPr="00933879">
              <w:rPr>
                <w:rFonts w:cs="Tahoma"/>
                <w:color w:val="C3003C"/>
                <w:sz w:val="16"/>
                <w:szCs w:val="16"/>
                <w:lang w:eastAsia="cs-CZ"/>
              </w:rPr>
              <w:t>3 940</w:t>
            </w:r>
          </w:p>
        </w:tc>
        <w:tc>
          <w:tcPr>
            <w:tcW w:w="1417" w:type="dxa"/>
            <w:tcBorders>
              <w:bottom w:val="single" w:sz="4" w:space="0" w:color="404040"/>
            </w:tcBorders>
            <w:noWrap/>
            <w:vAlign w:val="center"/>
          </w:tcPr>
          <w:p w:rsidR="009D46E6" w:rsidRPr="00933879" w:rsidRDefault="009D46E6" w:rsidP="00866283">
            <w:pPr>
              <w:spacing w:after="0" w:line="240" w:lineRule="auto"/>
              <w:jc w:val="right"/>
              <w:rPr>
                <w:rFonts w:cs="Tahoma"/>
                <w:color w:val="C3003C"/>
                <w:sz w:val="16"/>
                <w:szCs w:val="16"/>
                <w:lang w:eastAsia="cs-CZ"/>
              </w:rPr>
            </w:pPr>
            <w:r w:rsidRPr="00933879">
              <w:rPr>
                <w:rFonts w:cs="Tahoma"/>
                <w:color w:val="C3003C"/>
                <w:sz w:val="16"/>
                <w:szCs w:val="16"/>
                <w:lang w:eastAsia="cs-CZ"/>
              </w:rPr>
              <w:t>3 033</w:t>
            </w:r>
          </w:p>
        </w:tc>
        <w:tc>
          <w:tcPr>
            <w:tcW w:w="1418" w:type="dxa"/>
            <w:tcBorders>
              <w:bottom w:val="single" w:sz="4" w:space="0" w:color="404040"/>
            </w:tcBorders>
            <w:noWrap/>
            <w:vAlign w:val="center"/>
          </w:tcPr>
          <w:p w:rsidR="009D46E6" w:rsidRPr="00933879" w:rsidRDefault="009D46E6" w:rsidP="00866283">
            <w:pPr>
              <w:spacing w:after="0" w:line="240" w:lineRule="auto"/>
              <w:jc w:val="right"/>
              <w:rPr>
                <w:rFonts w:cs="Tahoma"/>
                <w:color w:val="C3003C"/>
                <w:sz w:val="16"/>
                <w:szCs w:val="16"/>
                <w:lang w:eastAsia="cs-CZ"/>
              </w:rPr>
            </w:pPr>
            <w:r w:rsidRPr="00933879">
              <w:rPr>
                <w:rFonts w:cs="Tahoma"/>
                <w:color w:val="C3003C"/>
                <w:sz w:val="16"/>
                <w:szCs w:val="16"/>
                <w:lang w:eastAsia="cs-CZ"/>
              </w:rPr>
              <w:t>3 958</w:t>
            </w:r>
          </w:p>
        </w:tc>
      </w:tr>
      <w:tr w:rsidR="009D46E6" w:rsidRPr="00DB1559" w:rsidTr="00866283">
        <w:trPr>
          <w:trHeight w:val="227"/>
          <w:jc w:val="center"/>
        </w:trPr>
        <w:tc>
          <w:tcPr>
            <w:tcW w:w="2551" w:type="dxa"/>
            <w:tcBorders>
              <w:top w:val="single" w:sz="4" w:space="0" w:color="404040"/>
            </w:tcBorders>
            <w:noWrap/>
            <w:vAlign w:val="center"/>
          </w:tcPr>
          <w:p w:rsidR="009D46E6" w:rsidRPr="00933879" w:rsidRDefault="009D46E6" w:rsidP="00866283">
            <w:pPr>
              <w:spacing w:after="0" w:line="240" w:lineRule="auto"/>
              <w:jc w:val="left"/>
              <w:rPr>
                <w:rFonts w:cs="Tahoma"/>
                <w:sz w:val="16"/>
                <w:szCs w:val="16"/>
                <w:lang w:eastAsia="cs-CZ"/>
              </w:rPr>
            </w:pPr>
            <w:r w:rsidRPr="00933879">
              <w:rPr>
                <w:rFonts w:cs="Tahoma"/>
                <w:sz w:val="16"/>
                <w:szCs w:val="16"/>
                <w:lang w:eastAsia="cs-CZ"/>
              </w:rPr>
              <w:t>Celkem</w:t>
            </w:r>
          </w:p>
        </w:tc>
        <w:tc>
          <w:tcPr>
            <w:tcW w:w="1417" w:type="dxa"/>
            <w:tcBorders>
              <w:top w:val="single" w:sz="4" w:space="0" w:color="404040"/>
            </w:tcBorders>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47 729</w:t>
            </w:r>
          </w:p>
        </w:tc>
        <w:tc>
          <w:tcPr>
            <w:tcW w:w="1417" w:type="dxa"/>
            <w:tcBorders>
              <w:top w:val="single" w:sz="4" w:space="0" w:color="404040"/>
            </w:tcBorders>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52 290</w:t>
            </w:r>
          </w:p>
        </w:tc>
        <w:tc>
          <w:tcPr>
            <w:tcW w:w="1418" w:type="dxa"/>
            <w:tcBorders>
              <w:top w:val="single" w:sz="4" w:space="0" w:color="404040"/>
            </w:tcBorders>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4 561</w:t>
            </w:r>
          </w:p>
        </w:tc>
        <w:tc>
          <w:tcPr>
            <w:tcW w:w="1417" w:type="dxa"/>
            <w:tcBorders>
              <w:top w:val="single" w:sz="4" w:space="0" w:color="404040"/>
            </w:tcBorders>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3 389</w:t>
            </w:r>
          </w:p>
        </w:tc>
        <w:tc>
          <w:tcPr>
            <w:tcW w:w="1418" w:type="dxa"/>
            <w:tcBorders>
              <w:top w:val="single" w:sz="4" w:space="0" w:color="404040"/>
            </w:tcBorders>
            <w:noWrap/>
            <w:vAlign w:val="center"/>
          </w:tcPr>
          <w:p w:rsidR="009D46E6" w:rsidRPr="00933879" w:rsidRDefault="009D46E6" w:rsidP="00866283">
            <w:pPr>
              <w:spacing w:after="0" w:line="240" w:lineRule="auto"/>
              <w:jc w:val="right"/>
              <w:rPr>
                <w:rFonts w:cs="Tahoma"/>
                <w:sz w:val="16"/>
                <w:szCs w:val="16"/>
                <w:lang w:eastAsia="cs-CZ"/>
              </w:rPr>
            </w:pPr>
            <w:r w:rsidRPr="00933879">
              <w:rPr>
                <w:rFonts w:cs="Tahoma"/>
                <w:sz w:val="16"/>
                <w:szCs w:val="16"/>
                <w:lang w:eastAsia="cs-CZ"/>
              </w:rPr>
              <w:t>4 597</w:t>
            </w:r>
          </w:p>
        </w:tc>
      </w:tr>
    </w:tbl>
    <w:p w:rsidR="009D46E6" w:rsidRDefault="009D46E6" w:rsidP="00866283">
      <w:pPr>
        <w:pStyle w:val="Zdroj"/>
      </w:pPr>
      <w:r w:rsidRPr="00D43170">
        <w:t>Zdroj:</w:t>
      </w:r>
      <w:r w:rsidRPr="00933879">
        <w:t xml:space="preserve"> ČSÚ; </w:t>
      </w:r>
      <w:r>
        <w:t xml:space="preserve">MŠMT; </w:t>
      </w:r>
      <w:r w:rsidRPr="00933879">
        <w:t>vlastní výpočty</w:t>
      </w:r>
    </w:p>
    <w:p w:rsidR="009D46E6" w:rsidRPr="008A48A0" w:rsidRDefault="009D46E6" w:rsidP="00866283"/>
    <w:p w:rsidR="009D46E6" w:rsidRPr="008A48A0" w:rsidRDefault="009D46E6" w:rsidP="00866283">
      <w:r>
        <w:t>Další zvýraznění disproporcí mezi dřívějším vývojem zaměstnanosti a kapacitami vznikajících center se objevuje na regionální úrovni. I v případě, že uvažujeme reálné propojení Prahy a Středočeského kraje a vnímáme je jako jeden celek, dosavadní růst zaměstnanosti by v následujících letech nedokázal plně pokrýt potřeby nových center. Stejný problém, avšak mnohem výraznější se objevuje také v Plzeňském, Libereckém nebo Olomouckém kraji. Druhý extrém, kdy v regionu žádné nové výzkumné infrastruktury nevznikají, reprezentuje Karlovarsko a Pardubicko.</w:t>
      </w:r>
    </w:p>
    <w:p w:rsidR="009D46E6" w:rsidRPr="00BD5EC7" w:rsidRDefault="009D46E6" w:rsidP="00750D9B">
      <w:pPr>
        <w:pStyle w:val="Caption"/>
      </w:pPr>
      <w:bookmarkStart w:id="263" w:name="_Toc369092100"/>
      <w:r>
        <w:t xml:space="preserve">Graf </w:t>
      </w:r>
      <w:fldSimple w:instr=" STYLEREF 1 \s ">
        <w:r>
          <w:rPr>
            <w:noProof/>
          </w:rPr>
          <w:t>F</w:t>
        </w:r>
      </w:fldSimple>
      <w:r>
        <w:t>.</w:t>
      </w:r>
      <w:fldSimple w:instr=" SEQ Graf \* ARABIC \s 1 ">
        <w:r>
          <w:rPr>
            <w:noProof/>
          </w:rPr>
          <w:t>12</w:t>
        </w:r>
      </w:fldSimple>
      <w:r w:rsidRPr="00BD5EC7">
        <w:t xml:space="preserve">: </w:t>
      </w:r>
      <w:r w:rsidRPr="00471D9E">
        <w:t xml:space="preserve">Počty zaměstnanců ve VaV v </w:t>
      </w:r>
      <w:r>
        <w:t xml:space="preserve">krajích </w:t>
      </w:r>
      <w:r w:rsidRPr="00471D9E">
        <w:t>ČR (z toho</w:t>
      </w:r>
      <w:r>
        <w:t xml:space="preserve"> v centrech)</w:t>
      </w:r>
      <w:bookmarkEnd w:id="263"/>
    </w:p>
    <w:p w:rsidR="009D46E6" w:rsidRDefault="009D46E6" w:rsidP="001D7F37">
      <w:pPr>
        <w:pStyle w:val="Objekt"/>
      </w:pPr>
      <w:r w:rsidRPr="001D1D98">
        <w:pict>
          <v:shape id="Obrázek 381" o:spid="_x0000_i1249" type="#_x0000_t75" style="width:479.4pt;height:213pt;visibility:visible">
            <v:imagedata r:id="rId260" o:title=""/>
          </v:shape>
        </w:pict>
      </w:r>
    </w:p>
    <w:p w:rsidR="009D46E6" w:rsidRDefault="009D46E6" w:rsidP="00866283">
      <w:r w:rsidRPr="00471D9E">
        <w:rPr>
          <w:i/>
          <w:color w:val="595959"/>
          <w:sz w:val="16"/>
        </w:rPr>
        <w:t>Zdroj: ČSÚ; MŠMT; vlastní výpočty</w:t>
      </w:r>
    </w:p>
    <w:p w:rsidR="009D46E6" w:rsidRDefault="009D46E6" w:rsidP="00866283">
      <w:pPr>
        <w:spacing w:before="200" w:after="200" w:line="276" w:lineRule="auto"/>
        <w:jc w:val="left"/>
      </w:pPr>
      <w:r>
        <w:br w:type="page"/>
      </w:r>
    </w:p>
    <w:p w:rsidR="009D46E6" w:rsidRDefault="009D46E6" w:rsidP="00866283">
      <w:r>
        <w:t>Základní obrysy struktury financování VaV center se opírají o data obsažená v indikativních rozpočtech projektů a o zdroje financování příjemců podpory, jak je vykazují ve svých výročních zprávách. Ačkoliv OP VaVpI primárně nefinancuje samotnou VaV činnost, určitou výjimku představuje tzv. start-up grant, který mohou centra v prvních letech svého provozu čerpat na pokrytí nákladů na vlastní činnost i na zaměstnance.</w:t>
      </w:r>
    </w:p>
    <w:p w:rsidR="009D46E6" w:rsidRDefault="009D46E6" w:rsidP="00866283">
      <w:r>
        <w:t xml:space="preserve">Státní rozpočet tvoří prostřednictvím institucionální a účelové podpory hlavní zdroj příjmů center – 63, resp. 55 % u první a druhé prioritní osy. Institucionální podpora směřuje k centrům skrze mateřské organizace, účelovou podporu některé z nich - ty které jsou součástí Cestovní mapy velkých infrastruktur a schváleny vládou - získávají prostřednictvím programu pro Projekty velkých infrastruktur. Vysoké finanční nároky na provoz vznikajících center po ukončení OP VaVpI si vyžádaly vznik </w:t>
      </w:r>
      <w:r w:rsidRPr="00DE414E">
        <w:t>Národní</w:t>
      </w:r>
      <w:r>
        <w:t>ho</w:t>
      </w:r>
      <w:r w:rsidRPr="00DE414E">
        <w:t xml:space="preserve"> program</w:t>
      </w:r>
      <w:r>
        <w:t xml:space="preserve">u </w:t>
      </w:r>
      <w:r w:rsidRPr="00DE414E">
        <w:t>udržitelnosti I</w:t>
      </w:r>
      <w:r>
        <w:t>. Ten se po svém schválení posu</w:t>
      </w:r>
      <w:r w:rsidRPr="00DE414E">
        <w:t>nul do implementační fáze vyhlášením první veřejné soutěže.</w:t>
      </w:r>
      <w:r>
        <w:t xml:space="preserve"> Z 20</w:t>
      </w:r>
      <w:r w:rsidRPr="00DE414E">
        <w:t xml:space="preserve"> </w:t>
      </w:r>
      <w:r>
        <w:t>přijatých</w:t>
      </w:r>
      <w:r w:rsidRPr="00DE414E">
        <w:t xml:space="preserve"> návrh</w:t>
      </w:r>
      <w:r>
        <w:t>ů</w:t>
      </w:r>
      <w:r w:rsidRPr="00DE414E">
        <w:t xml:space="preserve"> projektů pro financování </w:t>
      </w:r>
      <w:r>
        <w:t>bude podpora poskytnuta 17 centrům v souhrnné výši 2,3 mld. Kč</w:t>
      </w:r>
      <w:r>
        <w:rPr>
          <w:rStyle w:val="FootnoteReference"/>
          <w:rFonts w:cs="MetaPro-Normal"/>
        </w:rPr>
        <w:footnoteReference w:id="68"/>
      </w:r>
      <w:r>
        <w:t>. P</w:t>
      </w:r>
      <w:r w:rsidRPr="00DE414E">
        <w:t>odpor</w:t>
      </w:r>
      <w:r>
        <w:t>a</w:t>
      </w:r>
      <w:r w:rsidRPr="00DE414E">
        <w:t xml:space="preserve"> může dosáhnout nejvýše 50 % nákladů na činnost centra souhrnně za celou dobu řešení projektu. Každý projekt podpořený z programu NPU I musí dále povinně prokazovat mezinárodní spolupráci a spolupráci s podniky, a to nejméně </w:t>
      </w:r>
      <w:r>
        <w:t xml:space="preserve">pěti projekty s dobou trvání alespoň jeden </w:t>
      </w:r>
      <w:r w:rsidRPr="00DE414E">
        <w:t>rok, s uplatněním společných výsledků.</w:t>
      </w:r>
    </w:p>
    <w:p w:rsidR="009D46E6" w:rsidRDefault="009D46E6" w:rsidP="00866283">
      <w:r>
        <w:t>Druhou skupinu zdrojů, která má zásadní úlohu v dlouhodobé udržitelnosti infrastruktur, tvoří prostředky získané ze smluvního výzkumu a mezinárodních grantů. Jejich role je důležitá, neboť v případě jejich výpadku proporcionálně narůstá tlak na zdroje státního rozpočtu, a pokud ty deficit saturovat nemohou, musí se to projevit na omezení činnosti daného VaV centra. Indikované hodnoty podílu smluvního výzkumu, v menší míře i podílu mezinárodních grantů, ukazují významný nepoměr mezi tím, čeho dosahovaly mateřské instituce v předchozích letech (údaje z výročních zpráv) a tím, co se očekává od vznikajících VaV center.</w:t>
      </w:r>
    </w:p>
    <w:p w:rsidR="009D46E6" w:rsidRPr="00BC1D05" w:rsidRDefault="009D46E6" w:rsidP="00750D9B">
      <w:pPr>
        <w:pStyle w:val="Caption"/>
      </w:pPr>
      <w:bookmarkStart w:id="264" w:name="_Toc369091956"/>
      <w:r>
        <w:t xml:space="preserve">Tabulka </w:t>
      </w:r>
      <w:fldSimple w:instr=" STYLEREF 1 \s ">
        <w:r>
          <w:rPr>
            <w:noProof/>
          </w:rPr>
          <w:t>F</w:t>
        </w:r>
      </w:fldSimple>
      <w:r>
        <w:t>.</w:t>
      </w:r>
      <w:fldSimple w:instr=" SEQ Tabulka \* ARABIC \s 1 ">
        <w:r>
          <w:rPr>
            <w:noProof/>
          </w:rPr>
          <w:t>16</w:t>
        </w:r>
      </w:fldSimple>
      <w:r w:rsidRPr="00BC1D05">
        <w:t xml:space="preserve">: </w:t>
      </w:r>
      <w:r>
        <w:t>Struktura financování VaV center (podíl na provozních příjmech)</w:t>
      </w:r>
      <w:bookmarkEnd w:id="264"/>
    </w:p>
    <w:tbl>
      <w:tblPr>
        <w:tblW w:w="9638"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70" w:type="dxa"/>
          <w:right w:w="70" w:type="dxa"/>
        </w:tblCellMar>
        <w:tblLook w:val="0000"/>
      </w:tblPr>
      <w:tblGrid>
        <w:gridCol w:w="3402"/>
        <w:gridCol w:w="3118"/>
        <w:gridCol w:w="3118"/>
      </w:tblGrid>
      <w:tr w:rsidR="009D46E6" w:rsidRPr="00DB1559" w:rsidTr="00866283">
        <w:trPr>
          <w:trHeight w:val="227"/>
          <w:jc w:val="center"/>
        </w:trPr>
        <w:tc>
          <w:tcPr>
            <w:tcW w:w="3402" w:type="dxa"/>
            <w:tcBorders>
              <w:bottom w:val="single" w:sz="4" w:space="0" w:color="404040"/>
            </w:tcBorders>
            <w:noWrap/>
            <w:vAlign w:val="bottom"/>
          </w:tcPr>
          <w:p w:rsidR="009D46E6" w:rsidRPr="00D10DE8" w:rsidRDefault="009D46E6" w:rsidP="00866283">
            <w:pPr>
              <w:spacing w:after="0" w:line="240" w:lineRule="auto"/>
              <w:jc w:val="left"/>
              <w:rPr>
                <w:rFonts w:cs="Tahoma"/>
                <w:color w:val="008CCD"/>
                <w:sz w:val="16"/>
                <w:szCs w:val="16"/>
                <w:lang w:eastAsia="cs-CZ"/>
              </w:rPr>
            </w:pPr>
          </w:p>
        </w:tc>
        <w:tc>
          <w:tcPr>
            <w:tcW w:w="3118" w:type="dxa"/>
            <w:tcBorders>
              <w:bottom w:val="single" w:sz="4" w:space="0" w:color="404040"/>
            </w:tcBorders>
            <w:noWrap/>
            <w:vAlign w:val="center"/>
          </w:tcPr>
          <w:p w:rsidR="009D46E6" w:rsidRPr="00D10DE8" w:rsidRDefault="009D46E6" w:rsidP="00866283">
            <w:pPr>
              <w:spacing w:after="0" w:line="240" w:lineRule="auto"/>
              <w:jc w:val="center"/>
              <w:rPr>
                <w:rFonts w:cs="Tahoma"/>
                <w:color w:val="008CCD"/>
                <w:sz w:val="16"/>
                <w:szCs w:val="16"/>
                <w:lang w:eastAsia="cs-CZ"/>
              </w:rPr>
            </w:pPr>
            <w:r w:rsidRPr="00D10DE8">
              <w:rPr>
                <w:rFonts w:cs="Tahoma"/>
                <w:color w:val="008CCD"/>
                <w:sz w:val="16"/>
                <w:szCs w:val="16"/>
                <w:lang w:eastAsia="cs-CZ"/>
              </w:rPr>
              <w:t>Evropská centra excelence</w:t>
            </w:r>
          </w:p>
        </w:tc>
        <w:tc>
          <w:tcPr>
            <w:tcW w:w="3118" w:type="dxa"/>
            <w:tcBorders>
              <w:bottom w:val="single" w:sz="4" w:space="0" w:color="404040"/>
            </w:tcBorders>
            <w:noWrap/>
            <w:vAlign w:val="center"/>
          </w:tcPr>
          <w:p w:rsidR="009D46E6" w:rsidRPr="00D10DE8" w:rsidRDefault="009D46E6" w:rsidP="00866283">
            <w:pPr>
              <w:spacing w:after="0" w:line="240" w:lineRule="auto"/>
              <w:jc w:val="center"/>
              <w:rPr>
                <w:rFonts w:cs="Tahoma"/>
                <w:color w:val="008CCD"/>
                <w:sz w:val="16"/>
                <w:szCs w:val="16"/>
                <w:lang w:eastAsia="cs-CZ"/>
              </w:rPr>
            </w:pPr>
            <w:r w:rsidRPr="00D10DE8">
              <w:rPr>
                <w:rFonts w:cs="Tahoma"/>
                <w:color w:val="008CCD"/>
                <w:sz w:val="16"/>
                <w:szCs w:val="16"/>
                <w:lang w:eastAsia="cs-CZ"/>
              </w:rPr>
              <w:t>Regionální VaV centra</w:t>
            </w:r>
          </w:p>
        </w:tc>
      </w:tr>
      <w:tr w:rsidR="009D46E6" w:rsidRPr="00DB1559" w:rsidTr="00866283">
        <w:trPr>
          <w:trHeight w:val="227"/>
          <w:jc w:val="center"/>
        </w:trPr>
        <w:tc>
          <w:tcPr>
            <w:tcW w:w="3402" w:type="dxa"/>
            <w:tcBorders>
              <w:bottom w:val="single" w:sz="4" w:space="0" w:color="404040"/>
            </w:tcBorders>
            <w:noWrap/>
            <w:vAlign w:val="bottom"/>
          </w:tcPr>
          <w:p w:rsidR="009D46E6" w:rsidRPr="00D10DE8" w:rsidRDefault="009D46E6" w:rsidP="00866283">
            <w:pPr>
              <w:spacing w:after="0" w:line="240" w:lineRule="auto"/>
              <w:jc w:val="left"/>
              <w:rPr>
                <w:rFonts w:cs="Tahoma"/>
                <w:color w:val="008CCD"/>
                <w:sz w:val="16"/>
                <w:szCs w:val="16"/>
                <w:lang w:eastAsia="cs-CZ"/>
              </w:rPr>
            </w:pPr>
            <w:r>
              <w:rPr>
                <w:rFonts w:cs="Tahoma"/>
                <w:color w:val="008CCD"/>
                <w:sz w:val="16"/>
                <w:szCs w:val="16"/>
                <w:lang w:eastAsia="cs-CZ"/>
              </w:rPr>
              <w:t>Start-up grant</w:t>
            </w:r>
          </w:p>
        </w:tc>
        <w:tc>
          <w:tcPr>
            <w:tcW w:w="3118" w:type="dxa"/>
            <w:tcBorders>
              <w:bottom w:val="single" w:sz="4" w:space="0" w:color="404040"/>
            </w:tcBorders>
            <w:noWrap/>
            <w:vAlign w:val="center"/>
          </w:tcPr>
          <w:p w:rsidR="009D46E6" w:rsidRPr="00D10DE8" w:rsidRDefault="009D46E6" w:rsidP="00866283">
            <w:pPr>
              <w:spacing w:after="0" w:line="240" w:lineRule="auto"/>
              <w:jc w:val="right"/>
              <w:rPr>
                <w:rFonts w:cs="Tahoma"/>
                <w:color w:val="008CCD"/>
                <w:sz w:val="16"/>
                <w:szCs w:val="16"/>
                <w:lang w:eastAsia="cs-CZ"/>
              </w:rPr>
            </w:pPr>
            <w:r>
              <w:rPr>
                <w:rFonts w:cs="Tahoma"/>
                <w:color w:val="008CCD"/>
                <w:sz w:val="16"/>
                <w:szCs w:val="16"/>
                <w:lang w:eastAsia="cs-CZ"/>
              </w:rPr>
              <w:t>3,6 mld. Kč</w:t>
            </w:r>
          </w:p>
        </w:tc>
        <w:tc>
          <w:tcPr>
            <w:tcW w:w="3118" w:type="dxa"/>
            <w:tcBorders>
              <w:bottom w:val="single" w:sz="4" w:space="0" w:color="404040"/>
            </w:tcBorders>
            <w:noWrap/>
            <w:vAlign w:val="center"/>
          </w:tcPr>
          <w:p w:rsidR="009D46E6" w:rsidRPr="00D10DE8" w:rsidRDefault="009D46E6" w:rsidP="00866283">
            <w:pPr>
              <w:spacing w:after="0" w:line="240" w:lineRule="auto"/>
              <w:jc w:val="right"/>
              <w:rPr>
                <w:rFonts w:cs="Tahoma"/>
                <w:color w:val="008CCD"/>
                <w:sz w:val="16"/>
                <w:szCs w:val="16"/>
                <w:lang w:eastAsia="cs-CZ"/>
              </w:rPr>
            </w:pPr>
            <w:r>
              <w:rPr>
                <w:rFonts w:cs="Tahoma"/>
                <w:color w:val="008CCD"/>
                <w:sz w:val="16"/>
                <w:szCs w:val="16"/>
                <w:lang w:eastAsia="cs-CZ"/>
              </w:rPr>
              <w:t>4,5 mld. Kč</w:t>
            </w:r>
          </w:p>
        </w:tc>
      </w:tr>
      <w:tr w:rsidR="009D46E6" w:rsidRPr="00DB1559" w:rsidTr="00866283">
        <w:trPr>
          <w:trHeight w:val="227"/>
          <w:jc w:val="center"/>
        </w:trPr>
        <w:tc>
          <w:tcPr>
            <w:tcW w:w="3402" w:type="dxa"/>
            <w:tcBorders>
              <w:top w:val="single" w:sz="4" w:space="0" w:color="404040"/>
            </w:tcBorders>
            <w:noWrap/>
            <w:vAlign w:val="bottom"/>
          </w:tcPr>
          <w:p w:rsidR="009D46E6" w:rsidRPr="00D10DE8" w:rsidRDefault="009D46E6" w:rsidP="00866283">
            <w:pPr>
              <w:spacing w:after="0" w:line="240" w:lineRule="auto"/>
              <w:jc w:val="left"/>
              <w:rPr>
                <w:rFonts w:cs="Tahoma"/>
                <w:color w:val="008CCD"/>
                <w:sz w:val="16"/>
                <w:szCs w:val="16"/>
                <w:lang w:eastAsia="cs-CZ"/>
              </w:rPr>
            </w:pPr>
            <w:r>
              <w:rPr>
                <w:rFonts w:cs="Tahoma"/>
                <w:color w:val="008CCD"/>
                <w:sz w:val="16"/>
                <w:szCs w:val="16"/>
                <w:lang w:eastAsia="cs-CZ"/>
              </w:rPr>
              <w:t>Provozní příjmy celkem - z toho</w:t>
            </w:r>
          </w:p>
        </w:tc>
        <w:tc>
          <w:tcPr>
            <w:tcW w:w="3118" w:type="dxa"/>
            <w:tcBorders>
              <w:top w:val="single" w:sz="4" w:space="0" w:color="404040"/>
            </w:tcBorders>
            <w:noWrap/>
            <w:vAlign w:val="center"/>
          </w:tcPr>
          <w:p w:rsidR="009D46E6" w:rsidRPr="00D10DE8" w:rsidRDefault="009D46E6" w:rsidP="00866283">
            <w:pPr>
              <w:spacing w:after="0" w:line="240" w:lineRule="auto"/>
              <w:jc w:val="right"/>
              <w:rPr>
                <w:rFonts w:cs="Tahoma"/>
                <w:color w:val="008CCD"/>
                <w:sz w:val="16"/>
                <w:szCs w:val="16"/>
                <w:lang w:eastAsia="cs-CZ"/>
              </w:rPr>
            </w:pPr>
            <w:r>
              <w:rPr>
                <w:rFonts w:cs="Tahoma"/>
                <w:color w:val="008CCD"/>
                <w:sz w:val="16"/>
                <w:szCs w:val="16"/>
                <w:lang w:eastAsia="cs-CZ"/>
              </w:rPr>
              <w:t>15,3 mld. Kč</w:t>
            </w:r>
          </w:p>
        </w:tc>
        <w:tc>
          <w:tcPr>
            <w:tcW w:w="3118" w:type="dxa"/>
            <w:tcBorders>
              <w:top w:val="single" w:sz="4" w:space="0" w:color="404040"/>
            </w:tcBorders>
            <w:noWrap/>
            <w:vAlign w:val="center"/>
          </w:tcPr>
          <w:p w:rsidR="009D46E6" w:rsidRPr="00D10DE8" w:rsidRDefault="009D46E6" w:rsidP="00866283">
            <w:pPr>
              <w:spacing w:after="0" w:line="240" w:lineRule="auto"/>
              <w:jc w:val="right"/>
              <w:rPr>
                <w:rFonts w:cs="Tahoma"/>
                <w:color w:val="008CCD"/>
                <w:sz w:val="16"/>
                <w:szCs w:val="16"/>
                <w:lang w:eastAsia="cs-CZ"/>
              </w:rPr>
            </w:pPr>
            <w:r>
              <w:rPr>
                <w:rFonts w:cs="Tahoma"/>
                <w:color w:val="008CCD"/>
                <w:sz w:val="16"/>
                <w:szCs w:val="16"/>
                <w:lang w:eastAsia="cs-CZ"/>
              </w:rPr>
              <w:t>19,4 mld. Kč</w:t>
            </w:r>
          </w:p>
        </w:tc>
      </w:tr>
      <w:tr w:rsidR="009D46E6" w:rsidRPr="00DB1559" w:rsidTr="00866283">
        <w:trPr>
          <w:trHeight w:val="227"/>
          <w:jc w:val="center"/>
        </w:trPr>
        <w:tc>
          <w:tcPr>
            <w:tcW w:w="3402" w:type="dxa"/>
            <w:noWrap/>
            <w:vAlign w:val="bottom"/>
          </w:tcPr>
          <w:p w:rsidR="009D46E6" w:rsidRPr="00D10DE8" w:rsidRDefault="009D46E6" w:rsidP="00866283">
            <w:pPr>
              <w:spacing w:after="0" w:line="240" w:lineRule="auto"/>
              <w:ind w:left="72"/>
              <w:jc w:val="left"/>
              <w:rPr>
                <w:rFonts w:cs="Tahoma"/>
                <w:color w:val="000000"/>
                <w:sz w:val="16"/>
                <w:szCs w:val="16"/>
                <w:lang w:eastAsia="cs-CZ"/>
              </w:rPr>
            </w:pPr>
            <w:r w:rsidRPr="00D10DE8">
              <w:rPr>
                <w:rFonts w:cs="Tahoma"/>
                <w:color w:val="000000"/>
                <w:sz w:val="16"/>
                <w:szCs w:val="16"/>
                <w:lang w:eastAsia="cs-CZ"/>
              </w:rPr>
              <w:t>Institucionální financování</w:t>
            </w:r>
          </w:p>
        </w:tc>
        <w:tc>
          <w:tcPr>
            <w:tcW w:w="3118" w:type="dxa"/>
            <w:noWrap/>
            <w:vAlign w:val="bottom"/>
          </w:tcPr>
          <w:p w:rsidR="009D46E6" w:rsidRPr="00D10DE8" w:rsidRDefault="009D46E6" w:rsidP="00866283">
            <w:pPr>
              <w:spacing w:after="0" w:line="240" w:lineRule="auto"/>
              <w:jc w:val="right"/>
              <w:rPr>
                <w:rFonts w:cs="Tahoma"/>
                <w:color w:val="000000"/>
                <w:sz w:val="16"/>
                <w:szCs w:val="16"/>
                <w:lang w:eastAsia="cs-CZ"/>
              </w:rPr>
            </w:pPr>
            <w:r w:rsidRPr="00D10DE8">
              <w:rPr>
                <w:rFonts w:cs="Tahoma"/>
                <w:color w:val="000000"/>
                <w:sz w:val="16"/>
                <w:szCs w:val="16"/>
                <w:lang w:eastAsia="cs-CZ"/>
              </w:rPr>
              <w:t>34,3</w:t>
            </w:r>
            <w:r>
              <w:rPr>
                <w:rFonts w:cs="Tahoma"/>
                <w:color w:val="000000"/>
                <w:sz w:val="16"/>
                <w:szCs w:val="16"/>
                <w:lang w:eastAsia="cs-CZ"/>
              </w:rPr>
              <w:t xml:space="preserve"> %</w:t>
            </w:r>
          </w:p>
        </w:tc>
        <w:tc>
          <w:tcPr>
            <w:tcW w:w="3118" w:type="dxa"/>
            <w:noWrap/>
            <w:vAlign w:val="bottom"/>
          </w:tcPr>
          <w:p w:rsidR="009D46E6" w:rsidRPr="00D10DE8" w:rsidRDefault="009D46E6" w:rsidP="00866283">
            <w:pPr>
              <w:spacing w:after="0" w:line="240" w:lineRule="auto"/>
              <w:jc w:val="right"/>
              <w:rPr>
                <w:rFonts w:cs="Tahoma"/>
                <w:color w:val="000000"/>
                <w:sz w:val="16"/>
                <w:szCs w:val="16"/>
                <w:lang w:eastAsia="cs-CZ"/>
              </w:rPr>
            </w:pPr>
            <w:r w:rsidRPr="00D10DE8">
              <w:rPr>
                <w:rFonts w:cs="Tahoma"/>
                <w:color w:val="000000"/>
                <w:sz w:val="16"/>
                <w:szCs w:val="16"/>
                <w:lang w:eastAsia="cs-CZ"/>
              </w:rPr>
              <w:t>21</w:t>
            </w:r>
            <w:r>
              <w:rPr>
                <w:rFonts w:cs="Tahoma"/>
                <w:color w:val="000000"/>
                <w:sz w:val="16"/>
                <w:szCs w:val="16"/>
                <w:lang w:eastAsia="cs-CZ"/>
              </w:rPr>
              <w:t xml:space="preserve"> %</w:t>
            </w:r>
          </w:p>
        </w:tc>
      </w:tr>
      <w:tr w:rsidR="009D46E6" w:rsidRPr="00DB1559" w:rsidTr="00866283">
        <w:trPr>
          <w:trHeight w:val="227"/>
          <w:jc w:val="center"/>
        </w:trPr>
        <w:tc>
          <w:tcPr>
            <w:tcW w:w="3402" w:type="dxa"/>
            <w:noWrap/>
            <w:vAlign w:val="bottom"/>
          </w:tcPr>
          <w:p w:rsidR="009D46E6" w:rsidRPr="00D10DE8" w:rsidRDefault="009D46E6" w:rsidP="00866283">
            <w:pPr>
              <w:spacing w:after="0" w:line="240" w:lineRule="auto"/>
              <w:ind w:left="72"/>
              <w:jc w:val="left"/>
              <w:rPr>
                <w:rFonts w:cs="Tahoma"/>
                <w:color w:val="000000"/>
                <w:sz w:val="16"/>
                <w:szCs w:val="16"/>
                <w:lang w:eastAsia="cs-CZ"/>
              </w:rPr>
            </w:pPr>
            <w:r w:rsidRPr="00D10DE8">
              <w:rPr>
                <w:rFonts w:cs="Tahoma"/>
                <w:color w:val="000000"/>
                <w:sz w:val="16"/>
                <w:szCs w:val="16"/>
                <w:lang w:eastAsia="cs-CZ"/>
              </w:rPr>
              <w:t>Národní granty, účelová podpora</w:t>
            </w:r>
          </w:p>
        </w:tc>
        <w:tc>
          <w:tcPr>
            <w:tcW w:w="3118" w:type="dxa"/>
            <w:noWrap/>
            <w:vAlign w:val="bottom"/>
          </w:tcPr>
          <w:p w:rsidR="009D46E6" w:rsidRPr="00D10DE8" w:rsidRDefault="009D46E6" w:rsidP="00866283">
            <w:pPr>
              <w:spacing w:after="0" w:line="240" w:lineRule="auto"/>
              <w:jc w:val="right"/>
              <w:rPr>
                <w:rFonts w:cs="Tahoma"/>
                <w:color w:val="000000"/>
                <w:sz w:val="16"/>
                <w:szCs w:val="16"/>
                <w:lang w:eastAsia="cs-CZ"/>
              </w:rPr>
            </w:pPr>
            <w:r w:rsidRPr="00D10DE8">
              <w:rPr>
                <w:rFonts w:cs="Tahoma"/>
                <w:color w:val="000000"/>
                <w:sz w:val="16"/>
                <w:szCs w:val="16"/>
                <w:lang w:eastAsia="cs-CZ"/>
              </w:rPr>
              <w:t>29,2</w:t>
            </w:r>
            <w:r>
              <w:rPr>
                <w:rFonts w:cs="Tahoma"/>
                <w:color w:val="000000"/>
                <w:sz w:val="16"/>
                <w:szCs w:val="16"/>
                <w:lang w:eastAsia="cs-CZ"/>
              </w:rPr>
              <w:t xml:space="preserve"> %</w:t>
            </w:r>
          </w:p>
        </w:tc>
        <w:tc>
          <w:tcPr>
            <w:tcW w:w="3118" w:type="dxa"/>
            <w:noWrap/>
            <w:vAlign w:val="bottom"/>
          </w:tcPr>
          <w:p w:rsidR="009D46E6" w:rsidRPr="00D10DE8" w:rsidRDefault="009D46E6" w:rsidP="00866283">
            <w:pPr>
              <w:spacing w:after="0" w:line="240" w:lineRule="auto"/>
              <w:jc w:val="right"/>
              <w:rPr>
                <w:rFonts w:cs="Tahoma"/>
                <w:color w:val="000000"/>
                <w:sz w:val="16"/>
                <w:szCs w:val="16"/>
                <w:lang w:eastAsia="cs-CZ"/>
              </w:rPr>
            </w:pPr>
            <w:r w:rsidRPr="00D10DE8">
              <w:rPr>
                <w:rFonts w:cs="Tahoma"/>
                <w:color w:val="000000"/>
                <w:sz w:val="16"/>
                <w:szCs w:val="16"/>
                <w:lang w:eastAsia="cs-CZ"/>
              </w:rPr>
              <w:t>34,3</w:t>
            </w:r>
            <w:r>
              <w:rPr>
                <w:rFonts w:cs="Tahoma"/>
                <w:color w:val="000000"/>
                <w:sz w:val="16"/>
                <w:szCs w:val="16"/>
                <w:lang w:eastAsia="cs-CZ"/>
              </w:rPr>
              <w:t xml:space="preserve"> %</w:t>
            </w:r>
          </w:p>
        </w:tc>
      </w:tr>
      <w:tr w:rsidR="009D46E6" w:rsidRPr="00DB1559" w:rsidTr="00866283">
        <w:trPr>
          <w:trHeight w:val="227"/>
          <w:jc w:val="center"/>
        </w:trPr>
        <w:tc>
          <w:tcPr>
            <w:tcW w:w="3402" w:type="dxa"/>
            <w:noWrap/>
            <w:vAlign w:val="bottom"/>
          </w:tcPr>
          <w:p w:rsidR="009D46E6" w:rsidRPr="00D10DE8" w:rsidRDefault="009D46E6" w:rsidP="00866283">
            <w:pPr>
              <w:spacing w:after="0" w:line="240" w:lineRule="auto"/>
              <w:ind w:left="72"/>
              <w:jc w:val="left"/>
              <w:rPr>
                <w:rFonts w:cs="Tahoma"/>
                <w:color w:val="000000"/>
                <w:sz w:val="16"/>
                <w:szCs w:val="16"/>
                <w:lang w:eastAsia="cs-CZ"/>
              </w:rPr>
            </w:pPr>
            <w:r w:rsidRPr="00D10DE8">
              <w:rPr>
                <w:rFonts w:cs="Tahoma"/>
                <w:color w:val="000000"/>
                <w:sz w:val="16"/>
                <w:szCs w:val="16"/>
                <w:lang w:eastAsia="cs-CZ"/>
              </w:rPr>
              <w:t>Smluvní výzkum</w:t>
            </w:r>
          </w:p>
        </w:tc>
        <w:tc>
          <w:tcPr>
            <w:tcW w:w="3118" w:type="dxa"/>
            <w:noWrap/>
            <w:vAlign w:val="bottom"/>
          </w:tcPr>
          <w:p w:rsidR="009D46E6" w:rsidRPr="00D10DE8" w:rsidRDefault="009D46E6" w:rsidP="00866283">
            <w:pPr>
              <w:spacing w:after="0" w:line="240" w:lineRule="auto"/>
              <w:jc w:val="right"/>
              <w:rPr>
                <w:rFonts w:cs="Tahoma"/>
                <w:color w:val="000000"/>
                <w:sz w:val="16"/>
                <w:szCs w:val="16"/>
                <w:lang w:eastAsia="cs-CZ"/>
              </w:rPr>
            </w:pPr>
            <w:r w:rsidRPr="00D10DE8">
              <w:rPr>
                <w:rFonts w:cs="Tahoma"/>
                <w:color w:val="000000"/>
                <w:sz w:val="16"/>
                <w:szCs w:val="16"/>
                <w:lang w:eastAsia="cs-CZ"/>
              </w:rPr>
              <w:t>10,1</w:t>
            </w:r>
            <w:r>
              <w:rPr>
                <w:rFonts w:cs="Tahoma"/>
                <w:color w:val="000000"/>
                <w:sz w:val="16"/>
                <w:szCs w:val="16"/>
                <w:lang w:eastAsia="cs-CZ"/>
              </w:rPr>
              <w:t xml:space="preserve"> %</w:t>
            </w:r>
          </w:p>
        </w:tc>
        <w:tc>
          <w:tcPr>
            <w:tcW w:w="3118" w:type="dxa"/>
            <w:noWrap/>
            <w:vAlign w:val="bottom"/>
          </w:tcPr>
          <w:p w:rsidR="009D46E6" w:rsidRPr="00D10DE8" w:rsidRDefault="009D46E6" w:rsidP="00866283">
            <w:pPr>
              <w:spacing w:after="0" w:line="240" w:lineRule="auto"/>
              <w:jc w:val="right"/>
              <w:rPr>
                <w:rFonts w:cs="Tahoma"/>
                <w:color w:val="000000"/>
                <w:sz w:val="16"/>
                <w:szCs w:val="16"/>
                <w:lang w:eastAsia="cs-CZ"/>
              </w:rPr>
            </w:pPr>
            <w:r w:rsidRPr="00D10DE8">
              <w:rPr>
                <w:rFonts w:cs="Tahoma"/>
                <w:color w:val="000000"/>
                <w:sz w:val="16"/>
                <w:szCs w:val="16"/>
                <w:lang w:eastAsia="cs-CZ"/>
              </w:rPr>
              <w:t>27,8</w:t>
            </w:r>
            <w:r>
              <w:rPr>
                <w:rFonts w:cs="Tahoma"/>
                <w:color w:val="000000"/>
                <w:sz w:val="16"/>
                <w:szCs w:val="16"/>
                <w:lang w:eastAsia="cs-CZ"/>
              </w:rPr>
              <w:t xml:space="preserve"> %</w:t>
            </w:r>
          </w:p>
        </w:tc>
      </w:tr>
      <w:tr w:rsidR="009D46E6" w:rsidRPr="00DB1559" w:rsidTr="00866283">
        <w:trPr>
          <w:trHeight w:val="227"/>
          <w:jc w:val="center"/>
        </w:trPr>
        <w:tc>
          <w:tcPr>
            <w:tcW w:w="3402" w:type="dxa"/>
            <w:noWrap/>
            <w:vAlign w:val="bottom"/>
          </w:tcPr>
          <w:p w:rsidR="009D46E6" w:rsidRPr="00D10DE8" w:rsidRDefault="009D46E6" w:rsidP="00866283">
            <w:pPr>
              <w:spacing w:after="0" w:line="240" w:lineRule="auto"/>
              <w:ind w:left="72"/>
              <w:jc w:val="left"/>
              <w:rPr>
                <w:rFonts w:cs="Tahoma"/>
                <w:color w:val="000000"/>
                <w:sz w:val="16"/>
                <w:szCs w:val="16"/>
                <w:lang w:eastAsia="cs-CZ"/>
              </w:rPr>
            </w:pPr>
            <w:r w:rsidRPr="00D10DE8">
              <w:rPr>
                <w:rFonts w:cs="Tahoma"/>
                <w:color w:val="000000"/>
                <w:sz w:val="16"/>
                <w:szCs w:val="16"/>
                <w:lang w:eastAsia="cs-CZ"/>
              </w:rPr>
              <w:t>Mezinárodní granty</w:t>
            </w:r>
          </w:p>
        </w:tc>
        <w:tc>
          <w:tcPr>
            <w:tcW w:w="3118" w:type="dxa"/>
            <w:noWrap/>
            <w:vAlign w:val="bottom"/>
          </w:tcPr>
          <w:p w:rsidR="009D46E6" w:rsidRPr="00D10DE8" w:rsidRDefault="009D46E6" w:rsidP="00866283">
            <w:pPr>
              <w:spacing w:after="0" w:line="240" w:lineRule="auto"/>
              <w:jc w:val="right"/>
              <w:rPr>
                <w:rFonts w:cs="Tahoma"/>
                <w:color w:val="000000"/>
                <w:sz w:val="16"/>
                <w:szCs w:val="16"/>
                <w:lang w:eastAsia="cs-CZ"/>
              </w:rPr>
            </w:pPr>
            <w:r w:rsidRPr="00D10DE8">
              <w:rPr>
                <w:rFonts w:cs="Tahoma"/>
                <w:color w:val="000000"/>
                <w:sz w:val="16"/>
                <w:szCs w:val="16"/>
                <w:lang w:eastAsia="cs-CZ"/>
              </w:rPr>
              <w:t>16,2</w:t>
            </w:r>
            <w:r>
              <w:rPr>
                <w:rFonts w:cs="Tahoma"/>
                <w:color w:val="000000"/>
                <w:sz w:val="16"/>
                <w:szCs w:val="16"/>
                <w:lang w:eastAsia="cs-CZ"/>
              </w:rPr>
              <w:t xml:space="preserve"> %</w:t>
            </w:r>
          </w:p>
        </w:tc>
        <w:tc>
          <w:tcPr>
            <w:tcW w:w="3118" w:type="dxa"/>
            <w:noWrap/>
            <w:vAlign w:val="bottom"/>
          </w:tcPr>
          <w:p w:rsidR="009D46E6" w:rsidRPr="00D10DE8" w:rsidRDefault="009D46E6" w:rsidP="00866283">
            <w:pPr>
              <w:spacing w:after="0" w:line="240" w:lineRule="auto"/>
              <w:jc w:val="right"/>
              <w:rPr>
                <w:rFonts w:cs="Tahoma"/>
                <w:color w:val="000000"/>
                <w:sz w:val="16"/>
                <w:szCs w:val="16"/>
                <w:lang w:eastAsia="cs-CZ"/>
              </w:rPr>
            </w:pPr>
            <w:r w:rsidRPr="00D10DE8">
              <w:rPr>
                <w:rFonts w:cs="Tahoma"/>
                <w:color w:val="000000"/>
                <w:sz w:val="16"/>
                <w:szCs w:val="16"/>
                <w:lang w:eastAsia="cs-CZ"/>
              </w:rPr>
              <w:t>10,2</w:t>
            </w:r>
            <w:r>
              <w:rPr>
                <w:rFonts w:cs="Tahoma"/>
                <w:color w:val="000000"/>
                <w:sz w:val="16"/>
                <w:szCs w:val="16"/>
                <w:lang w:eastAsia="cs-CZ"/>
              </w:rPr>
              <w:t xml:space="preserve"> %</w:t>
            </w:r>
          </w:p>
        </w:tc>
      </w:tr>
      <w:tr w:rsidR="009D46E6" w:rsidRPr="00DB1559" w:rsidTr="00866283">
        <w:trPr>
          <w:trHeight w:val="227"/>
          <w:jc w:val="center"/>
        </w:trPr>
        <w:tc>
          <w:tcPr>
            <w:tcW w:w="3402" w:type="dxa"/>
            <w:noWrap/>
            <w:vAlign w:val="bottom"/>
          </w:tcPr>
          <w:p w:rsidR="009D46E6" w:rsidRPr="00D10DE8" w:rsidRDefault="009D46E6" w:rsidP="00866283">
            <w:pPr>
              <w:spacing w:after="0" w:line="240" w:lineRule="auto"/>
              <w:ind w:left="72"/>
              <w:jc w:val="left"/>
              <w:rPr>
                <w:rFonts w:cs="Tahoma"/>
                <w:color w:val="000000"/>
                <w:sz w:val="16"/>
                <w:szCs w:val="16"/>
                <w:lang w:eastAsia="cs-CZ"/>
              </w:rPr>
            </w:pPr>
            <w:r w:rsidRPr="00D10DE8">
              <w:rPr>
                <w:rFonts w:cs="Tahoma"/>
                <w:color w:val="000000"/>
                <w:sz w:val="16"/>
                <w:szCs w:val="16"/>
                <w:lang w:eastAsia="cs-CZ"/>
              </w:rPr>
              <w:t>Ostatní zdroje</w:t>
            </w:r>
          </w:p>
        </w:tc>
        <w:tc>
          <w:tcPr>
            <w:tcW w:w="3118" w:type="dxa"/>
            <w:noWrap/>
            <w:vAlign w:val="bottom"/>
          </w:tcPr>
          <w:p w:rsidR="009D46E6" w:rsidRPr="00D10DE8" w:rsidRDefault="009D46E6" w:rsidP="00866283">
            <w:pPr>
              <w:spacing w:after="0" w:line="240" w:lineRule="auto"/>
              <w:jc w:val="right"/>
              <w:rPr>
                <w:rFonts w:cs="Tahoma"/>
                <w:color w:val="000000"/>
                <w:sz w:val="16"/>
                <w:szCs w:val="16"/>
                <w:lang w:eastAsia="cs-CZ"/>
              </w:rPr>
            </w:pPr>
            <w:r w:rsidRPr="00D10DE8">
              <w:rPr>
                <w:rFonts w:cs="Tahoma"/>
                <w:color w:val="000000"/>
                <w:sz w:val="16"/>
                <w:szCs w:val="16"/>
                <w:lang w:eastAsia="cs-CZ"/>
              </w:rPr>
              <w:t>10,2</w:t>
            </w:r>
            <w:r>
              <w:rPr>
                <w:rFonts w:cs="Tahoma"/>
                <w:color w:val="000000"/>
                <w:sz w:val="16"/>
                <w:szCs w:val="16"/>
                <w:lang w:eastAsia="cs-CZ"/>
              </w:rPr>
              <w:t xml:space="preserve"> %</w:t>
            </w:r>
          </w:p>
        </w:tc>
        <w:tc>
          <w:tcPr>
            <w:tcW w:w="3118" w:type="dxa"/>
            <w:noWrap/>
            <w:vAlign w:val="bottom"/>
          </w:tcPr>
          <w:p w:rsidR="009D46E6" w:rsidRPr="00D10DE8" w:rsidRDefault="009D46E6" w:rsidP="00866283">
            <w:pPr>
              <w:spacing w:after="0" w:line="240" w:lineRule="auto"/>
              <w:jc w:val="right"/>
              <w:rPr>
                <w:rFonts w:cs="Tahoma"/>
                <w:color w:val="000000"/>
                <w:sz w:val="16"/>
                <w:szCs w:val="16"/>
                <w:lang w:eastAsia="cs-CZ"/>
              </w:rPr>
            </w:pPr>
            <w:r w:rsidRPr="00D10DE8">
              <w:rPr>
                <w:rFonts w:cs="Tahoma"/>
                <w:color w:val="000000"/>
                <w:sz w:val="16"/>
                <w:szCs w:val="16"/>
                <w:lang w:eastAsia="cs-CZ"/>
              </w:rPr>
              <w:t>6,7</w:t>
            </w:r>
            <w:r>
              <w:rPr>
                <w:rFonts w:cs="Tahoma"/>
                <w:color w:val="000000"/>
                <w:sz w:val="16"/>
                <w:szCs w:val="16"/>
                <w:lang w:eastAsia="cs-CZ"/>
              </w:rPr>
              <w:t xml:space="preserve"> %</w:t>
            </w:r>
          </w:p>
        </w:tc>
      </w:tr>
    </w:tbl>
    <w:p w:rsidR="009D46E6" w:rsidRDefault="009D46E6" w:rsidP="00866283">
      <w:pPr>
        <w:pStyle w:val="Zdroj"/>
      </w:pPr>
      <w:r w:rsidRPr="00D43170">
        <w:t>Zdroj:</w:t>
      </w:r>
      <w:r w:rsidRPr="00933879">
        <w:t xml:space="preserve"> </w:t>
      </w:r>
      <w:r>
        <w:t xml:space="preserve">MŠMT; </w:t>
      </w:r>
      <w:r w:rsidRPr="00933879">
        <w:t>vlastní výpočty</w:t>
      </w:r>
    </w:p>
    <w:p w:rsidR="009D46E6" w:rsidRDefault="009D46E6" w:rsidP="00866283"/>
    <w:p w:rsidR="009D46E6" w:rsidRDefault="009D46E6" w:rsidP="00866283">
      <w:r>
        <w:t>Pro další rozvoj VaV center je důležité</w:t>
      </w:r>
      <w:r w:rsidRPr="007F3051">
        <w:t xml:space="preserve"> provázat </w:t>
      </w:r>
      <w:r>
        <w:t>jejich výzkumné zaměření</w:t>
      </w:r>
      <w:r w:rsidRPr="007F3051">
        <w:t xml:space="preserve"> s nově stanovenými Prioritami ori</w:t>
      </w:r>
      <w:r>
        <w:t>entovaného VaVaI naplňova</w:t>
      </w:r>
      <w:r w:rsidRPr="007F3051">
        <w:t>n</w:t>
      </w:r>
      <w:r>
        <w:t>ými</w:t>
      </w:r>
      <w:r w:rsidRPr="007F3051">
        <w:t xml:space="preserve"> </w:t>
      </w:r>
      <w:r>
        <w:t>skrze</w:t>
      </w:r>
      <w:r w:rsidRPr="007F3051">
        <w:t xml:space="preserve"> program</w:t>
      </w:r>
      <w:r>
        <w:t>y</w:t>
      </w:r>
      <w:r w:rsidRPr="007F3051">
        <w:t xml:space="preserve"> účelové podpory.</w:t>
      </w:r>
      <w:r>
        <w:t xml:space="preserve"> Informace o výzkumném zaměření VaV center lze vyčíst také z technických popisů projektů OP VaVpI. Další možností je porovnat výsledky asociované s VaV centrem, resp. jeho vedoucími výzkumnými pracovníky (některá centra totiž ještě vlastní výsledky neprodukují) v IS VaVaI. S určitou aproximací lze říct, že svoji odbornost přenesou i do výzkumných programů a jejich zaměření bude obdobné. Takto vyjádřené zaměření jednotlivých VaV center je obsahem přílohové tabulky, stejně jako míra, se kterou toto zaměření odpovídá novým Prioritám orientovaného VaVaI. Priority jsou problémově definované, bez přímého oborové asociace, přiřazení je proto spíše rámcové.</w:t>
      </w:r>
    </w:p>
    <w:p w:rsidR="009D46E6" w:rsidRDefault="009D46E6" w:rsidP="00866283">
      <w:r>
        <w:t>Hodnocení i</w:t>
      </w:r>
      <w:r w:rsidRPr="006D0E9F">
        <w:t>mplementac</w:t>
      </w:r>
      <w:r>
        <w:t>e</w:t>
      </w:r>
      <w:r w:rsidRPr="006D0E9F">
        <w:t xml:space="preserve"> jednotliv</w:t>
      </w:r>
      <w:r>
        <w:t>ých projektů, jejich manažerských struktur a míry</w:t>
      </w:r>
      <w:r w:rsidRPr="006D0E9F">
        <w:t xml:space="preserve">, v níž </w:t>
      </w:r>
      <w:r>
        <w:t>naplňují</w:t>
      </w:r>
      <w:r w:rsidRPr="006D0E9F">
        <w:t xml:space="preserve"> závazné indikátory</w:t>
      </w:r>
      <w:r>
        <w:t xml:space="preserve">, je předmětem </w:t>
      </w:r>
      <w:r w:rsidRPr="006D0E9F">
        <w:t>průběžné evaluace VaV center podpořených v PO1 a PO2 OP VaVpI, která byla zahájena v roce 2012</w:t>
      </w:r>
      <w:r>
        <w:rPr>
          <w:rStyle w:val="FootnoteReference"/>
          <w:rFonts w:cs="MetaPro-Normal"/>
        </w:rPr>
        <w:footnoteReference w:id="69"/>
      </w:r>
      <w:r w:rsidRPr="006D0E9F">
        <w:t>.</w:t>
      </w:r>
    </w:p>
    <w:p w:rsidR="009D46E6" w:rsidRDefault="009D46E6" w:rsidP="00866283"/>
    <w:p w:rsidR="009D46E6" w:rsidRDefault="009D46E6" w:rsidP="00866283"/>
    <w:p w:rsidR="009D46E6" w:rsidRDefault="009D46E6" w:rsidP="00866283">
      <w:pPr>
        <w:sectPr w:rsidR="009D46E6" w:rsidSect="00FD3E45">
          <w:headerReference w:type="even" r:id="rId261"/>
          <w:pgSz w:w="11906" w:h="16838" w:code="9"/>
          <w:pgMar w:top="1134" w:right="1134" w:bottom="1134" w:left="1134" w:header="737" w:footer="567" w:gutter="0"/>
          <w:cols w:space="567"/>
          <w:docGrid w:linePitch="360"/>
        </w:sectPr>
      </w:pPr>
    </w:p>
    <w:p w:rsidR="009D46E6" w:rsidRDefault="009D46E6" w:rsidP="00157446">
      <w:pPr>
        <w:pStyle w:val="Heading1"/>
      </w:pPr>
      <w:bookmarkStart w:id="265" w:name="_Toc336000268"/>
      <w:bookmarkStart w:id="266" w:name="_Toc369091914"/>
      <w:r>
        <w:t>Přílohy</w:t>
      </w:r>
      <w:bookmarkEnd w:id="265"/>
      <w:bookmarkEnd w:id="266"/>
    </w:p>
    <w:p w:rsidR="009D46E6" w:rsidRDefault="009D46E6" w:rsidP="00BB7B84">
      <w:pPr>
        <w:pStyle w:val="Heading2"/>
      </w:pPr>
      <w:bookmarkStart w:id="267" w:name="_Toc336000269"/>
      <w:bookmarkStart w:id="268" w:name="_Toc369091915"/>
      <w:r>
        <w:t>Metodika šetření a definice ukazatelů</w:t>
      </w:r>
      <w:bookmarkEnd w:id="267"/>
      <w:bookmarkEnd w:id="268"/>
    </w:p>
    <w:p w:rsidR="009D46E6" w:rsidRPr="00866A68" w:rsidRDefault="009D46E6" w:rsidP="00866A68">
      <w:pPr>
        <w:spacing w:before="240"/>
        <w:rPr>
          <w:b/>
        </w:rPr>
      </w:pPr>
      <w:bookmarkStart w:id="269" w:name="_Toc336000271"/>
      <w:r w:rsidRPr="00866A68">
        <w:rPr>
          <w:b/>
        </w:rPr>
        <w:t>Metodické poznámky k makroekonomickému rámci analýzy VaVaI</w:t>
      </w:r>
    </w:p>
    <w:p w:rsidR="009D46E6" w:rsidRPr="00281B84" w:rsidRDefault="009D46E6" w:rsidP="00FE4AA7">
      <w:pPr>
        <w:spacing w:before="120"/>
        <w:rPr>
          <w:i/>
          <w:u w:val="single"/>
        </w:rPr>
      </w:pPr>
      <w:r w:rsidRPr="00281B84">
        <w:rPr>
          <w:i/>
          <w:u w:val="single"/>
        </w:rPr>
        <w:t>HDP na 1 obyvatele ve standardech kupní síly (PPS)</w:t>
      </w:r>
    </w:p>
    <w:p w:rsidR="009D46E6" w:rsidRDefault="009D46E6" w:rsidP="00FE4AA7">
      <w:r>
        <w:t>Hrubý domácí produkt (HDP) je měřítkem ekonomické výkonnosti. Představuje přidanou hodnotu veškerého vyrobeného zboží a služeb (nutno odečíst meziprodukty, které se na přidané hodnotě nepodílejí). Objemový index HDP na obyvatele vyjádřený v paritě kupní síly je v relaci k průměru EU 27, který je roven 100. Pokud je index za určitou zemi vyšší než 100, znamená to, že HDP na obyvatele této země je vyšší, než je průměr EU 27 a naopak. Údaje se uvádějí ve standardu kupní síly - společné měně, která stírá rozdíly v cenových hladinách mezi zeměmi a umožňuje tak srovnání HDP spíše mezi jednotlivými zeměmi než v čase.</w:t>
      </w:r>
    </w:p>
    <w:p w:rsidR="009D46E6" w:rsidRPr="00281B84" w:rsidRDefault="009D46E6" w:rsidP="00FE4AA7">
      <w:pPr>
        <w:spacing w:before="120"/>
        <w:rPr>
          <w:i/>
          <w:u w:val="single"/>
        </w:rPr>
      </w:pPr>
      <w:r w:rsidRPr="00281B84">
        <w:rPr>
          <w:i/>
          <w:u w:val="single"/>
        </w:rPr>
        <w:t xml:space="preserve">Míra růstu reálného HDP </w:t>
      </w:r>
    </w:p>
    <w:p w:rsidR="009D46E6" w:rsidRDefault="009D46E6" w:rsidP="00FE4AA7">
      <w:r>
        <w:t>Výpočet roční míry růstu objemu HDP dovoluje srovnání hospodářského vývoje jak v čase, tak i mezi různě velkými zeměmi bez ohledu na cenové změny. Růst objemu HDP je počítán s použitím údajů v cenách předchozího roku. Pro zjišťování míry růstu reálného HDP se používá HDP v běžných cenách oceněný v cenách předchozího roku. U takto spočtených objemových změn převedených na úroveň referenčního roku (tzv. zřetězené údaje) pak není míra růstu ovlivněna cenovými pohyby.</w:t>
      </w:r>
    </w:p>
    <w:p w:rsidR="009D46E6" w:rsidRPr="00281B84" w:rsidRDefault="009D46E6" w:rsidP="00FE4AA7">
      <w:pPr>
        <w:spacing w:before="120"/>
        <w:rPr>
          <w:i/>
          <w:u w:val="single"/>
        </w:rPr>
      </w:pPr>
      <w:r w:rsidRPr="00281B84">
        <w:rPr>
          <w:i/>
          <w:u w:val="single"/>
        </w:rPr>
        <w:t>Standard kupní síly (PPS)</w:t>
      </w:r>
    </w:p>
    <w:p w:rsidR="009D46E6" w:rsidRDefault="009D46E6" w:rsidP="00FE4AA7">
      <w:r>
        <w:t>Standard kupní síly (Purchasing Power Standard, PPS) je měnová jednotka, v níž se navzájem vyrovnávají rozdíly mezi kupní silou jednotek národních měn členských zemí EU podle stavu po jejím rozšíření k 1.1.2007 na EU 27. Úhrn údajů o HDP za všech 27 zemí přepočtených do eur (dříve do ECU) se rovná stejné částce vyjádřené v PPS.</w:t>
      </w:r>
    </w:p>
    <w:p w:rsidR="009D46E6" w:rsidRPr="00281B84" w:rsidRDefault="009D46E6" w:rsidP="00FE4AA7">
      <w:pPr>
        <w:spacing w:before="120"/>
        <w:rPr>
          <w:i/>
          <w:u w:val="single"/>
        </w:rPr>
      </w:pPr>
      <w:r w:rsidRPr="00281B84">
        <w:rPr>
          <w:i/>
          <w:u w:val="single"/>
        </w:rPr>
        <w:t>Produktivita práce na 1 zaměstnanou osobu</w:t>
      </w:r>
    </w:p>
    <w:p w:rsidR="009D46E6" w:rsidRDefault="009D46E6" w:rsidP="00FE4AA7">
      <w:r>
        <w:t>Produktivita práce na 1 zaměstnanou osobu je zde počítána jako podíl hrubého domácího produktu (v PPS) a celkové zaměstnanosti podle národních účtů. HDP na zaměstnanou osobu znamená vlastně produktivitu národní ekonomiky a je koncipován jako index v relaci k průměru EU 27. Pokud je tento index za určitou zemi vyšší než 100, znamená to, že HDP na zaměstnanou osobu této země je vyšší, než je průměr EU 27 a naopak. Základní údaje se uvádějí ve standardu kupní síly (PPS) - společné měně, která stírá rozdíly v cenových hladinách mezi zeměmi a umožňuje tak srovnání HDP mezi jednotlivými zeměmi. Zaměstnaná osoba na plný či částečný úvazek se zde nerozlišuje.</w:t>
      </w:r>
    </w:p>
    <w:p w:rsidR="009D46E6" w:rsidRPr="00281B84" w:rsidRDefault="009D46E6" w:rsidP="00FE4AA7">
      <w:pPr>
        <w:spacing w:before="120"/>
        <w:rPr>
          <w:i/>
          <w:u w:val="single"/>
        </w:rPr>
      </w:pPr>
      <w:r w:rsidRPr="00281B84">
        <w:rPr>
          <w:i/>
          <w:u w:val="single"/>
        </w:rPr>
        <w:t>Vládní (veřejný) dluh</w:t>
      </w:r>
    </w:p>
    <w:p w:rsidR="009D46E6" w:rsidRDefault="009D46E6" w:rsidP="00FE4AA7">
      <w:r>
        <w:t xml:space="preserve">Vládní dluh je definován v Maastrichtské smlouvě jako celkový konsolidovaný dluh sektoru vládních institucí (v nominální hodnotě ke konci roku) v následujících kategoriích vládních závazků (jak je definováno v ESA95): oběživo a vklady (AF.2), cenné papíry jiné než účasti (AF.3) s výjimkou finančních derivátů (AF.34) a půjčky (AF.4). Sektor vládních institucí zahrnuje ústřední vládní instituce, národní vládní instituce, místní vládní instituce a fondy sociálního zabezpečení. Časové řady jsou vyjádřeny v procentech HDP (hrubý domácí produkt v běžných cenách) a miliónech Eur. Základní data se vyjadřují v domácí měně a Evropská centrální banka je pomocí devizového kursu platného na konci příslušného roku přepočítává na Eur. </w:t>
      </w:r>
    </w:p>
    <w:p w:rsidR="009D46E6" w:rsidRPr="00281B84" w:rsidRDefault="009D46E6" w:rsidP="00FE4AA7">
      <w:pPr>
        <w:spacing w:before="120"/>
        <w:rPr>
          <w:i/>
          <w:u w:val="single"/>
        </w:rPr>
      </w:pPr>
      <w:r w:rsidRPr="00281B84">
        <w:rPr>
          <w:i/>
          <w:u w:val="single"/>
        </w:rPr>
        <w:t>Přímé zahraniční investice</w:t>
      </w:r>
    </w:p>
    <w:p w:rsidR="009D46E6" w:rsidRDefault="009D46E6" w:rsidP="00FE4AA7">
      <w:r>
        <w:t>Přímou zahraniční investici (PZI) z kategorie mezinárodního investování uskutečňuje domácí subjekt (přímý investor) koupí subjektu v ekonomice zahraniční za účelem trvalého dosahování zisku (úroku), přičemž přímý investor ovládá minimálně 10 % kapitálu subjektu zahraničního. Pro srovnatelnost ekonomik s různou velikostí se údaje vyjadřují jako podíl na HDP</w:t>
      </w:r>
    </w:p>
    <w:p w:rsidR="009D46E6" w:rsidRPr="00281B84" w:rsidRDefault="009D46E6" w:rsidP="00FE4AA7">
      <w:pPr>
        <w:keepNext/>
        <w:spacing w:before="120"/>
        <w:rPr>
          <w:i/>
          <w:u w:val="single"/>
        </w:rPr>
      </w:pPr>
      <w:r w:rsidRPr="00281B84">
        <w:rPr>
          <w:i/>
          <w:u w:val="single"/>
        </w:rPr>
        <w:t xml:space="preserve">Míra inflace </w:t>
      </w:r>
    </w:p>
    <w:p w:rsidR="009D46E6" w:rsidRDefault="009D46E6" w:rsidP="00FE4AA7">
      <w:r>
        <w:t xml:space="preserve">Inflace je obecně definována jako růst cenové hladiny, tj. charakterizuje míru znehodnocování měny v přesně vymezeném časovém období. Míra inflace je měřena pomocí přírůstku indexu spotřebitelských cen. Zde míra inflace vyjadřuje procentní změnu průměrné cenové hladiny za dvanáct měsíců roku proti průměrné cenové hladině dvanácti měsíců předchozího roku. Cenová hladina je měřena pomocí harmonizovaných indexů spotřebitelských cen (HICP), které jsou vytvořeny pro mezinárodní srovnání inflace spotřebitelských cen. HICP využívá např. Evropská centrální banka ke sledování inflace v Hospodářské a měnové unii a k odhadu sbližování inflace, jak je vyžadováno Článkem 121 Amsterodamské smlouvy. </w:t>
      </w:r>
    </w:p>
    <w:p w:rsidR="009D46E6" w:rsidRPr="00281B84" w:rsidRDefault="009D46E6" w:rsidP="00FE4AA7">
      <w:pPr>
        <w:spacing w:before="120"/>
        <w:rPr>
          <w:i/>
          <w:u w:val="single"/>
        </w:rPr>
      </w:pPr>
      <w:r w:rsidRPr="00281B84">
        <w:rPr>
          <w:i/>
          <w:u w:val="single"/>
        </w:rPr>
        <w:t>Komparativní cenové hladiny</w:t>
      </w:r>
    </w:p>
    <w:p w:rsidR="009D46E6" w:rsidRDefault="009D46E6" w:rsidP="00FE4AA7">
      <w:r>
        <w:t>Komparativní cenové hladiny jsou poměry mezi paritami kupní síly a devizovými kursy každé země. Paritou kupní síly je poměr měnové konverze, který přepočítává hodnoty ekonomických ukazatelů, vyjádřené v domácí měně na měnu společnou, která se nazývá standard kupní síly (PPS). Vyrovnáním kupní síly různých národních měn umožňuje tento standard srovnání ukazatelů mezi jednotlivými státy. Poměr je koncipován vzhledem k průměru (EU 27 = 100). Pokud je tento poměr za určitou zemi vyšší/nižší než 100, znamená to, že daná země je relativně dražší/levnější než průměr EU 27.</w:t>
      </w:r>
    </w:p>
    <w:p w:rsidR="009D46E6" w:rsidRPr="00281B84" w:rsidRDefault="009D46E6" w:rsidP="00FE4AA7">
      <w:pPr>
        <w:spacing w:before="120"/>
        <w:rPr>
          <w:i/>
          <w:u w:val="single"/>
        </w:rPr>
      </w:pPr>
      <w:r w:rsidRPr="00281B84">
        <w:rPr>
          <w:i/>
          <w:u w:val="single"/>
        </w:rPr>
        <w:t xml:space="preserve">Míra zaměstnanosti </w:t>
      </w:r>
    </w:p>
    <w:p w:rsidR="009D46E6" w:rsidRDefault="009D46E6" w:rsidP="00FE4AA7">
      <w:r>
        <w:t>Míra zaměstnanosti je vypočítána podílem počtu zaměstnaných osob ve věku 20 až 64 let k počtu všech osob v této věkové skupině. Ukazatel je založen na Šetření pracovních sil EU (EU Labour Force Survey). Předmětem šetření jsou všechny osoby žijící v soukromých domácnostech a nevztahuje se na osoby žijící v hromadných ubytovacích zařízeních, jako jsou penzióny, studentské ubytovny a nemocnice. Zaměstnané obyvatelstvo sestává z osob, které v průběhu referenčního týdne pracovaly alespoň 1 hodinu za mzdu, plat nebo jinou odměnu, nebo sice nebyly v práci, ale měly formální vztah k zaměstnání.</w:t>
      </w:r>
    </w:p>
    <w:p w:rsidR="009D46E6" w:rsidRPr="00281B84" w:rsidRDefault="009D46E6" w:rsidP="00FE4AA7">
      <w:pPr>
        <w:spacing w:before="120"/>
        <w:rPr>
          <w:i/>
          <w:u w:val="single"/>
        </w:rPr>
      </w:pPr>
      <w:r w:rsidRPr="00281B84">
        <w:rPr>
          <w:i/>
          <w:u w:val="single"/>
        </w:rPr>
        <w:t>Míra nezaměstnanosti</w:t>
      </w:r>
    </w:p>
    <w:p w:rsidR="009D46E6" w:rsidRDefault="009D46E6" w:rsidP="00FE4AA7">
      <w:r>
        <w:t>Míra nezaměstnanosti představuje nezaměstnané osoby jako procentní podíl z pracovní síly = aktivního obyvatelstva. Pracovní síla je celkový počet zaměstnaných a nezaměstnaných osob. Do nezaměstnaných osob patří osoby ve věku 15 až 74 let, které byly: a. bez práce (nebyly zaměstnané) během referenčního týdne, b. jsou k dispozici pro nástup do práce, tzn. jsou připraveny pro výkon placeného zaměstnání nebo sebezaměstnání (zaměstnání ve vlastním podniku) před koncem dvou týdnů následujících po referenčním týdnu, c. aktivně hledající práci, tzn. podnikající aktivní kroky pro hledání placeného zaměstnání nebo sebezaměstnání (zaměstnání ve vlastním podniku) ve čtyřtýdenním období končícím referenčním týdnem, nebo kteří našli práci s pozdějším začátkem, tzn. max. v tříměsíčním období.</w:t>
      </w:r>
    </w:p>
    <w:p w:rsidR="009D46E6" w:rsidRPr="00281B84" w:rsidRDefault="009D46E6" w:rsidP="00FE4AA7">
      <w:pPr>
        <w:spacing w:before="120"/>
        <w:rPr>
          <w:i/>
          <w:u w:val="single"/>
        </w:rPr>
      </w:pPr>
      <w:r w:rsidRPr="00281B84">
        <w:rPr>
          <w:i/>
          <w:u w:val="single"/>
        </w:rPr>
        <w:t xml:space="preserve">Míra dlouhodobé nezaměstnanosti </w:t>
      </w:r>
    </w:p>
    <w:p w:rsidR="009D46E6" w:rsidRDefault="009D46E6" w:rsidP="00FE4AA7">
      <w:r>
        <w:t>Dlouhodobě (12 měsíců a déle) nezaměstnané jsou osoby patnáctileté a starší, nežijící v kolektivních zařízeních, které nejsou zaměstnané po dobu 14 dnů následujících po šetření, jsou k disposici okamžitě nebo nejpozději do 14 dnů pro výkon placeného zaměstnání nebo sebezaměstnání a hledají práci (v průběhu posledních 4 týdnů hledaly aktivně práci nebo nehledají práci, protože ji již našly a jsou schopny ji nastoupit nejpozději do 14 dnů). Celková pracovní síla je celkový počet osob s jediným nebo hlavním zaměstnáním plus celkový počet nezaměstnaných. Doba trvání nezaměstnanosti je definována jako doba hledání práce nebo jako délka období uplynulého od posledního zaměstnání (pokud je toto období kratší než doba hledání práce).</w:t>
      </w:r>
    </w:p>
    <w:p w:rsidR="009D46E6" w:rsidRPr="00281B84" w:rsidRDefault="009D46E6" w:rsidP="00FE4AA7">
      <w:pPr>
        <w:spacing w:before="120"/>
        <w:rPr>
          <w:i/>
          <w:u w:val="single"/>
        </w:rPr>
      </w:pPr>
      <w:r w:rsidRPr="00281B84">
        <w:rPr>
          <w:i/>
          <w:u w:val="single"/>
        </w:rPr>
        <w:t>Veřejné výdaje na vzdělávání</w:t>
      </w:r>
    </w:p>
    <w:p w:rsidR="009D46E6" w:rsidRDefault="009D46E6" w:rsidP="00FE4AA7">
      <w:r>
        <w:t>Tento indikátor je definován jako celkové veřejné výdaje na vzdělávání vyjádřené jako procento HDP. Veřejný sektor financuje obecně vzdělávání krytím běžných a kapitálových výdajů vzdělávacích institucí nebo podporou studentů a jejich rodin prostřednictvím stipendií a veřejných půjček či poskytováním dotací na vzdělávací aktivity soukromým firmám a neziskovým organizacím. Zmíněné dva typy výdajů tvoří společně veřejné výdaje na vzdělávání.</w:t>
      </w:r>
    </w:p>
    <w:p w:rsidR="009D46E6" w:rsidRPr="00281B84" w:rsidRDefault="009D46E6" w:rsidP="00FE4AA7">
      <w:pPr>
        <w:spacing w:before="120"/>
        <w:rPr>
          <w:i/>
          <w:u w:val="single"/>
        </w:rPr>
      </w:pPr>
      <w:r w:rsidRPr="00281B84">
        <w:rPr>
          <w:i/>
          <w:u w:val="single"/>
        </w:rPr>
        <w:t>Energetická náročnost hospodářství</w:t>
      </w:r>
    </w:p>
    <w:p w:rsidR="009D46E6" w:rsidRPr="0016364A" w:rsidRDefault="009D46E6" w:rsidP="00FE4AA7">
      <w:r>
        <w:t>Energetická náročnost hospodářství vyjadřuje podíl mezi hrubou spotřebou energie v zemi a hrubým domácím produktem (HDP) za daný kalendářní rok. Měří energetickou spotřebu ekonomiky a její celkovou energetickou účinnost. Hrubá spotřeba energie v zemi je počítána jako součet hrubé spotřeby pěti druhů paliv a energie v zemi: uhlí, elektřiny, kapalných paliv, zemního plynu a obnovitelných zdrojů energie. Údaje o HDP jsou brány ve zřetězených objemech, referenčním rokem je rok 2000. Energetická náročnost je určena podílem hrubé spotřeby energie v zemi a HDP. Protože je hrubá spotřeba energie v zemi měřena v kgoe (kilogram ropného ekvivalentu) a HDP v 1 000 EUR, tento podíl se udává v kgoe na 1 000 EUR.</w:t>
      </w:r>
    </w:p>
    <w:p w:rsidR="009D46E6" w:rsidRPr="0016364A" w:rsidRDefault="009D46E6" w:rsidP="00FE4AA7"/>
    <w:p w:rsidR="009D46E6" w:rsidRPr="00866A68" w:rsidRDefault="009D46E6" w:rsidP="00866A68">
      <w:pPr>
        <w:spacing w:before="240"/>
        <w:rPr>
          <w:b/>
        </w:rPr>
      </w:pPr>
      <w:r w:rsidRPr="00866A68">
        <w:rPr>
          <w:b/>
        </w:rPr>
        <w:t>Metodické poznámky ke kapitole A</w:t>
      </w:r>
    </w:p>
    <w:p w:rsidR="009D46E6" w:rsidRPr="00866A68" w:rsidRDefault="009D46E6" w:rsidP="00397DAB">
      <w:pPr>
        <w:pStyle w:val="Heading4"/>
      </w:pPr>
      <w:r w:rsidRPr="00866A68">
        <w:t>A.1 Celkové výdaje na výzkum a vývoj</w:t>
      </w:r>
    </w:p>
    <w:p w:rsidR="009D46E6" w:rsidRPr="00517202" w:rsidRDefault="009D46E6" w:rsidP="00355B4B">
      <w:pPr>
        <w:spacing w:before="120"/>
        <w:rPr>
          <w:rFonts w:cs="Tahoma"/>
          <w:i/>
          <w:u w:val="single"/>
        </w:rPr>
      </w:pPr>
      <w:r w:rsidRPr="00517202">
        <w:rPr>
          <w:rFonts w:cs="Tahoma"/>
          <w:i/>
          <w:u w:val="single"/>
        </w:rPr>
        <w:t>Roční šetření o výzkumu a vývoji</w:t>
      </w:r>
    </w:p>
    <w:p w:rsidR="009D46E6" w:rsidRPr="00517202" w:rsidRDefault="009D46E6" w:rsidP="00355B4B">
      <w:pPr>
        <w:rPr>
          <w:rFonts w:cs="Tahoma"/>
        </w:rPr>
      </w:pPr>
      <w:r w:rsidRPr="00517202">
        <w:rPr>
          <w:rFonts w:cs="Tahoma"/>
        </w:rPr>
        <w:t xml:space="preserve">Český statistický úřad sleduje charakteristiky výzkumu a vývoje (dále jen VaV) prostřednictvím </w:t>
      </w:r>
      <w:r w:rsidRPr="00517202">
        <w:rPr>
          <w:rFonts w:cs="Tahoma"/>
          <w:bCs/>
        </w:rPr>
        <w:t>Ročního výkazu o výzkumu a vývoji (VTR 5-01), který obsahuje otázky o lidských a finančních zdrojích</w:t>
      </w:r>
      <w:r w:rsidRPr="00517202">
        <w:rPr>
          <w:rFonts w:cs="Tahoma"/>
        </w:rPr>
        <w:t xml:space="preserve"> určených k VaV činnostem uskutečněných na území ČR v jednotlivých sektorech provádění VaV. Toto statistické šetření je prováděno od roku 1995 a plně respektuje metodické principy OECD a EU uvedené ve </w:t>
      </w:r>
      <w:r w:rsidRPr="00517202">
        <w:rPr>
          <w:rFonts w:cs="Tahoma"/>
          <w:bCs/>
        </w:rPr>
        <w:t xml:space="preserve">Frascati manuálu </w:t>
      </w:r>
      <w:r w:rsidRPr="00517202">
        <w:rPr>
          <w:rFonts w:cs="Tahoma"/>
        </w:rPr>
        <w:t>(OECD, 2002) a v Nařízení Komise (EU) č. 995/2012.</w:t>
      </w:r>
    </w:p>
    <w:p w:rsidR="009D46E6" w:rsidRPr="00517202" w:rsidRDefault="009D46E6" w:rsidP="00355B4B">
      <w:pPr>
        <w:rPr>
          <w:rFonts w:cs="Tahoma"/>
          <w:bCs/>
        </w:rPr>
      </w:pPr>
      <w:r w:rsidRPr="00517202">
        <w:rPr>
          <w:rFonts w:cs="Tahoma"/>
          <w:bCs/>
        </w:rPr>
        <w:t>Od roku 2005 je výkaz VTR 5–01 distribuován ve dvou mutacích podle sektorů provádění VaV:</w:t>
      </w:r>
    </w:p>
    <w:p w:rsidR="009D46E6" w:rsidRPr="00517202" w:rsidRDefault="009D46E6" w:rsidP="00473494">
      <w:pPr>
        <w:numPr>
          <w:ilvl w:val="0"/>
          <w:numId w:val="42"/>
        </w:numPr>
        <w:rPr>
          <w:rFonts w:cs="Tahoma"/>
          <w:bCs/>
        </w:rPr>
      </w:pPr>
      <w:r w:rsidRPr="00517202">
        <w:rPr>
          <w:rFonts w:cs="Tahoma"/>
          <w:bCs/>
        </w:rPr>
        <w:t>mutace (a) určená podnikatelský a soukromý neziskový sektor [VTR 5–01 (a)],</w:t>
      </w:r>
    </w:p>
    <w:p w:rsidR="009D46E6" w:rsidRPr="00517202" w:rsidRDefault="009D46E6" w:rsidP="00473494">
      <w:pPr>
        <w:numPr>
          <w:ilvl w:val="0"/>
          <w:numId w:val="42"/>
        </w:numPr>
        <w:rPr>
          <w:rFonts w:cs="Tahoma"/>
          <w:bCs/>
        </w:rPr>
      </w:pPr>
      <w:r w:rsidRPr="00517202">
        <w:rPr>
          <w:rFonts w:cs="Tahoma"/>
          <w:bCs/>
        </w:rPr>
        <w:t>mutace (b) určená pro vládní a vysokoškolský sektor [VTR 5–01 (b)].</w:t>
      </w:r>
    </w:p>
    <w:p w:rsidR="009D46E6" w:rsidRPr="00355B4B" w:rsidRDefault="009D46E6" w:rsidP="00355B4B">
      <w:pPr>
        <w:pStyle w:val="BodyText"/>
        <w:jc w:val="left"/>
        <w:rPr>
          <w:rFonts w:cs="Tahoma"/>
          <w:bCs/>
          <w:i/>
        </w:rPr>
      </w:pPr>
      <w:r w:rsidRPr="00355B4B">
        <w:rPr>
          <w:rFonts w:cs="Tahoma"/>
          <w:i/>
        </w:rPr>
        <w:t xml:space="preserve">Formuláře výkazu VTR 5-01 je na adrese: </w:t>
      </w:r>
      <w:hyperlink r:id="rId262" w:history="1">
        <w:r w:rsidRPr="00355B4B">
          <w:rPr>
            <w:rStyle w:val="Hyperlink"/>
            <w:rFonts w:cs="Tahoma"/>
            <w:i/>
            <w:sz w:val="16"/>
            <w:szCs w:val="16"/>
          </w:rPr>
          <w:t>http://apl.czso.cz/pll/vykazy/pdf113?xvyk=1961&amp;cd=0</w:t>
        </w:r>
      </w:hyperlink>
      <w:r w:rsidRPr="00355B4B">
        <w:rPr>
          <w:rFonts w:cs="Tahoma"/>
          <w:i/>
          <w:sz w:val="16"/>
          <w:szCs w:val="16"/>
        </w:rPr>
        <w:t>.</w:t>
      </w:r>
    </w:p>
    <w:p w:rsidR="009D46E6" w:rsidRPr="00517202" w:rsidRDefault="009D46E6" w:rsidP="00355B4B">
      <w:pPr>
        <w:spacing w:before="120"/>
        <w:rPr>
          <w:rFonts w:cs="Tahoma"/>
          <w:u w:val="single"/>
        </w:rPr>
      </w:pPr>
      <w:r w:rsidRPr="00517202">
        <w:rPr>
          <w:rFonts w:cs="Tahoma"/>
          <w:u w:val="single"/>
        </w:rPr>
        <w:t>Účel statistického zjišťování</w:t>
      </w:r>
    </w:p>
    <w:p w:rsidR="009D46E6" w:rsidRPr="00517202" w:rsidRDefault="009D46E6" w:rsidP="00355B4B">
      <w:pPr>
        <w:rPr>
          <w:rFonts w:cs="Tahoma"/>
        </w:rPr>
      </w:pPr>
      <w:r w:rsidRPr="00517202">
        <w:rPr>
          <w:rFonts w:cs="Tahoma"/>
        </w:rPr>
        <w:t>Roční šetření o výzkumu a vývoji se provádí především k zabezpečení ukazatelů potřebných pro výkon státní správy ČR v oblasti výzkumu, vývoje a inovací (např. Národní politiky výzkumu, vývoje a inovací České republiky na léta 2009 až 2015) a pro splnění povinnosti vyplývající z výše uvedeného prováděcího nařízení Komise (EU) č. 995/2012.  Údaje z tohoto šetření jsou pravidelně poskytovány Eurostatu pro potřeby Evropské unie a dalším mezinárodním organizací, zejména Organizace pro hospodářskou spolupráci a rozvoj (OECD). Údaje budou v roce 2014 využity prostřednictvím kapitalizace výzkumu a vývoje i k propočtu úplných sestav makroekonomických ukazatelů v rámci Ročních národních účtů.</w:t>
      </w:r>
    </w:p>
    <w:p w:rsidR="009D46E6" w:rsidRPr="00517202" w:rsidRDefault="009D46E6" w:rsidP="00355B4B">
      <w:pPr>
        <w:spacing w:before="120"/>
        <w:rPr>
          <w:rFonts w:cs="Tahoma"/>
          <w:u w:val="single"/>
        </w:rPr>
      </w:pPr>
      <w:r w:rsidRPr="00517202">
        <w:rPr>
          <w:rFonts w:cs="Tahoma"/>
          <w:u w:val="single"/>
        </w:rPr>
        <w:t>Zpravodajské jednotky</w:t>
      </w:r>
    </w:p>
    <w:p w:rsidR="009D46E6" w:rsidRPr="00517202" w:rsidRDefault="009D46E6" w:rsidP="00355B4B">
      <w:pPr>
        <w:rPr>
          <w:rFonts w:cs="Tahoma"/>
        </w:rPr>
      </w:pPr>
      <w:r w:rsidRPr="00517202">
        <w:rPr>
          <w:rFonts w:cs="Tahoma"/>
          <w:bCs/>
        </w:rPr>
        <w:t>Ročním výkazem o VaV jsou</w:t>
      </w:r>
      <w:r w:rsidRPr="00517202">
        <w:rPr>
          <w:rFonts w:cs="Tahoma"/>
        </w:rPr>
        <w:t xml:space="preserve"> </w:t>
      </w:r>
      <w:r w:rsidRPr="00517202">
        <w:rPr>
          <w:rFonts w:cs="Tahoma"/>
          <w:bCs/>
        </w:rPr>
        <w:t xml:space="preserve">obesílány </w:t>
      </w:r>
      <w:r w:rsidRPr="00517202">
        <w:rPr>
          <w:rFonts w:cs="Tahoma"/>
        </w:rPr>
        <w:t>všechny právnické a fyzické osoby provádějící VaV na území ČR jako svoji hlavní (CZ NACE 72: výzkumná pracoviště) nebo vedlejší ekonomickou činnost, a to bez ohledu na počet jejich zaměstnanců, převažující ekonomickou činnost (klasifikace CZ NACE), právní formu nebo institucionální sektor</w:t>
      </w:r>
      <w:r w:rsidRPr="00517202">
        <w:rPr>
          <w:rFonts w:cs="Tahoma"/>
          <w:iCs/>
        </w:rPr>
        <w:t>.</w:t>
      </w:r>
      <w:r w:rsidRPr="00517202">
        <w:rPr>
          <w:rFonts w:cs="Tahoma"/>
        </w:rPr>
        <w:t xml:space="preserve"> </w:t>
      </w:r>
    </w:p>
    <w:p w:rsidR="009D46E6" w:rsidRPr="00517202" w:rsidRDefault="009D46E6" w:rsidP="00355B4B">
      <w:pPr>
        <w:pStyle w:val="BodyText"/>
        <w:rPr>
          <w:rFonts w:cs="Tahoma"/>
          <w:i/>
          <w:iCs/>
        </w:rPr>
      </w:pPr>
      <w:r w:rsidRPr="00517202">
        <w:rPr>
          <w:rFonts w:cs="Tahoma"/>
        </w:rPr>
        <w:t xml:space="preserve">Od roku 2001 jsou zpravodajskými jednotkami jednotlivá pracoviště, na kterých se provádí VaV u sledovaných ekonomických subjektů (pracoviště VaV). Jde především o jednotlivé fakulty veřejných vysokých škol, ale i o některá pracoviště veřejných výzkumných institucí. K této změně došlo v důsledku požadavků na možnost regionálního členění ukazatelů výzkumu a vývoje a lepšího zachycení sledovaných ukazatelů podle převažující skupiny vědních oblastí. </w:t>
      </w:r>
    </w:p>
    <w:p w:rsidR="009D46E6" w:rsidRPr="00517202" w:rsidRDefault="009D46E6" w:rsidP="00355B4B">
      <w:pPr>
        <w:rPr>
          <w:rFonts w:cs="Tahoma"/>
        </w:rPr>
      </w:pPr>
      <w:r w:rsidRPr="00517202">
        <w:rPr>
          <w:rFonts w:cs="Tahoma"/>
        </w:rPr>
        <w:t>Odhady dat za subjekty, které nevyplnily dotazník, jsou prováděny od roku 2001. Od roku 2010 je pro malé podniky provádějících VaV splňujících určité podmínky uplatněn rotační výběr na úrovni 1/3.</w:t>
      </w:r>
    </w:p>
    <w:p w:rsidR="009D46E6" w:rsidRPr="00517202" w:rsidRDefault="009D46E6" w:rsidP="00355B4B">
      <w:pPr>
        <w:rPr>
          <w:rFonts w:cs="Tahoma"/>
          <w:iCs/>
        </w:rPr>
      </w:pPr>
      <w:r w:rsidRPr="00517202">
        <w:rPr>
          <w:rFonts w:cs="Tahoma"/>
          <w:iCs/>
        </w:rPr>
        <w:t>V roce 2012 bylo výkazem VTR 5-01 obesláno celkem 2 500 ekonomickým subjektů a v nich 3 000 výzkumných a vývojových pracovišť. Návratnost šetření ve stejném roce dosáhla celkem 90 % s tím, že u vládního a vysokoškolského sektoru byla téměř 100 % a v podnikatelském sektoru 85 %.</w:t>
      </w:r>
    </w:p>
    <w:p w:rsidR="009D46E6" w:rsidRPr="00517202" w:rsidRDefault="009D46E6" w:rsidP="00355B4B">
      <w:pPr>
        <w:rPr>
          <w:rFonts w:cs="Tahoma"/>
          <w:iCs/>
        </w:rPr>
      </w:pPr>
      <w:r w:rsidRPr="00517202">
        <w:rPr>
          <w:rFonts w:cs="Tahoma"/>
          <w:iCs/>
        </w:rPr>
        <w:t xml:space="preserve">Databáze zpravodajských jednotek zabývajících se VaV je pravidelně aktualizována na základě informací především z následujících zdrojů: </w:t>
      </w:r>
    </w:p>
    <w:p w:rsidR="009D46E6" w:rsidRPr="00517202" w:rsidRDefault="009D46E6" w:rsidP="00473494">
      <w:pPr>
        <w:numPr>
          <w:ilvl w:val="0"/>
          <w:numId w:val="42"/>
        </w:numPr>
        <w:ind w:left="357" w:hanging="357"/>
        <w:rPr>
          <w:rFonts w:cs="Tahoma"/>
          <w:bCs/>
        </w:rPr>
      </w:pPr>
      <w:r w:rsidRPr="00517202">
        <w:rPr>
          <w:rFonts w:cs="Tahoma"/>
          <w:bCs/>
        </w:rPr>
        <w:t>Informační systém VaVaI (Centrální evidence projektů výzkumu a vývoje),</w:t>
      </w:r>
    </w:p>
    <w:p w:rsidR="009D46E6" w:rsidRPr="00517202" w:rsidRDefault="009D46E6" w:rsidP="00473494">
      <w:pPr>
        <w:numPr>
          <w:ilvl w:val="0"/>
          <w:numId w:val="42"/>
        </w:numPr>
        <w:ind w:left="357" w:hanging="357"/>
        <w:rPr>
          <w:rFonts w:cs="Tahoma"/>
          <w:bCs/>
        </w:rPr>
      </w:pPr>
      <w:r w:rsidRPr="00517202">
        <w:rPr>
          <w:rFonts w:cs="Tahoma"/>
          <w:bCs/>
        </w:rPr>
        <w:t>Daňová přiznání subjektů uplatňujících nepřímou podporu VaV,</w:t>
      </w:r>
    </w:p>
    <w:p w:rsidR="009D46E6" w:rsidRPr="00517202" w:rsidRDefault="009D46E6" w:rsidP="00473494">
      <w:pPr>
        <w:numPr>
          <w:ilvl w:val="0"/>
          <w:numId w:val="42"/>
        </w:numPr>
        <w:ind w:left="357" w:hanging="357"/>
        <w:rPr>
          <w:rFonts w:cs="Tahoma"/>
          <w:bCs/>
        </w:rPr>
      </w:pPr>
      <w:r w:rsidRPr="00517202">
        <w:rPr>
          <w:rFonts w:cs="Tahoma"/>
          <w:bCs/>
        </w:rPr>
        <w:t>Statistická šetření ČSÚ, která obsahují otázku týkající se provádění VaV,</w:t>
      </w:r>
    </w:p>
    <w:p w:rsidR="009D46E6" w:rsidRDefault="009D46E6" w:rsidP="00473494">
      <w:pPr>
        <w:numPr>
          <w:ilvl w:val="0"/>
          <w:numId w:val="42"/>
        </w:numPr>
        <w:ind w:left="357" w:hanging="357"/>
        <w:rPr>
          <w:rFonts w:cs="Tahoma"/>
          <w:bCs/>
        </w:rPr>
      </w:pPr>
      <w:r w:rsidRPr="00517202">
        <w:rPr>
          <w:rFonts w:cs="Tahoma"/>
          <w:bCs/>
        </w:rPr>
        <w:t>Registr ekonomických subjektů ČSÚ, který obsahuje evidenci všech ekonomických subjektů v ČR a informace o jejich hlavní a převažující ekonomické činnosti.</w:t>
      </w:r>
    </w:p>
    <w:p w:rsidR="009D46E6" w:rsidRPr="00517202" w:rsidRDefault="009D46E6" w:rsidP="00355B4B">
      <w:pPr>
        <w:spacing w:before="120"/>
        <w:rPr>
          <w:rFonts w:cs="Tahoma"/>
          <w:u w:val="single"/>
        </w:rPr>
      </w:pPr>
      <w:r w:rsidRPr="00517202">
        <w:rPr>
          <w:rFonts w:cs="Tahoma"/>
          <w:u w:val="single"/>
        </w:rPr>
        <w:t>Sledované charakteristiky</w:t>
      </w:r>
    </w:p>
    <w:p w:rsidR="009D46E6" w:rsidRPr="00517202" w:rsidRDefault="009D46E6" w:rsidP="00355B4B">
      <w:pPr>
        <w:rPr>
          <w:rFonts w:cs="Tahoma"/>
        </w:rPr>
      </w:pPr>
      <w:r w:rsidRPr="00517202">
        <w:rPr>
          <w:rFonts w:cs="Tahoma"/>
        </w:rPr>
        <w:t xml:space="preserve">Mezi základní charakteristiky (ukazatele) zjišťované v rámci Ročního šetření VTR 5-01 patří: </w:t>
      </w:r>
    </w:p>
    <w:p w:rsidR="009D46E6" w:rsidRPr="00517202" w:rsidRDefault="009D46E6" w:rsidP="00473494">
      <w:pPr>
        <w:numPr>
          <w:ilvl w:val="0"/>
          <w:numId w:val="42"/>
        </w:numPr>
        <w:rPr>
          <w:rFonts w:cs="Tahoma"/>
        </w:rPr>
      </w:pPr>
      <w:r w:rsidRPr="00517202">
        <w:rPr>
          <w:rFonts w:cs="Tahoma"/>
          <w:bCs/>
        </w:rPr>
        <w:t xml:space="preserve">Počet ekonomických subjektů provádějících VaV a jejich VaV pracovišť podle výše výdajů za v nich provedený VaV a počtu osob v nich pracujících ve VaV </w:t>
      </w:r>
    </w:p>
    <w:p w:rsidR="009D46E6" w:rsidRPr="00517202" w:rsidRDefault="009D46E6" w:rsidP="00473494">
      <w:pPr>
        <w:numPr>
          <w:ilvl w:val="0"/>
          <w:numId w:val="42"/>
        </w:numPr>
        <w:rPr>
          <w:rFonts w:cs="Tahoma"/>
        </w:rPr>
      </w:pPr>
      <w:r w:rsidRPr="00517202">
        <w:rPr>
          <w:rFonts w:cs="Tahoma"/>
          <w:bCs/>
        </w:rPr>
        <w:t>Osoby zaměstnané ve VaV</w:t>
      </w:r>
      <w:r w:rsidRPr="00517202">
        <w:rPr>
          <w:rFonts w:cs="Tahoma"/>
        </w:rPr>
        <w:t xml:space="preserve"> podle pracovní činnosti, dosaženého vzdělání a pohlaví. V roce 2011 obsahoval formulář VTR 5-01 i otázky na věk a státní občanství výzkumných pracovníků. Od roku 2011 je zjišťován i počet nově zaměstnaných výzkumných pracovníků. </w:t>
      </w:r>
    </w:p>
    <w:p w:rsidR="009D46E6" w:rsidRPr="00517202" w:rsidRDefault="009D46E6" w:rsidP="00473494">
      <w:pPr>
        <w:numPr>
          <w:ilvl w:val="0"/>
          <w:numId w:val="42"/>
        </w:numPr>
        <w:rPr>
          <w:rFonts w:cs="Tahoma"/>
        </w:rPr>
      </w:pPr>
      <w:r w:rsidRPr="00517202">
        <w:rPr>
          <w:rFonts w:cs="Tahoma"/>
          <w:bCs/>
        </w:rPr>
        <w:t>Výdaje na provedený VaV</w:t>
      </w:r>
      <w:r w:rsidRPr="00517202">
        <w:rPr>
          <w:rFonts w:cs="Tahoma"/>
        </w:rPr>
        <w:t xml:space="preserve"> ve sledovaných jednotkách podle druhu nákladů, zdrojů financování, typu výzkumné a vývojové činnosti, od roku 2005 i ve vybraných oblastech (ICT, biotechnologie, nanotechnologie a nanomateriály) a v podnikatelském sektoru i podle kódu výsledné produkce výzkumu a vývoje činnosti (relevantní údaje jsou k dispozici od roku 2012). </w:t>
      </w:r>
    </w:p>
    <w:p w:rsidR="009D46E6" w:rsidRPr="00517202" w:rsidRDefault="009D46E6" w:rsidP="00473494">
      <w:pPr>
        <w:numPr>
          <w:ilvl w:val="0"/>
          <w:numId w:val="42"/>
        </w:numPr>
        <w:rPr>
          <w:rFonts w:cs="Tahoma"/>
        </w:rPr>
      </w:pPr>
      <w:r w:rsidRPr="00517202">
        <w:rPr>
          <w:rFonts w:cs="Tahoma"/>
          <w:bCs/>
        </w:rPr>
        <w:t xml:space="preserve">Náklady na služby VaV podle subjektů, od kterých byly tyto služby nakoupeny (od roku 2008). </w:t>
      </w:r>
    </w:p>
    <w:p w:rsidR="009D46E6" w:rsidRPr="00517202" w:rsidRDefault="009D46E6" w:rsidP="00473494">
      <w:pPr>
        <w:numPr>
          <w:ilvl w:val="0"/>
          <w:numId w:val="42"/>
        </w:numPr>
        <w:rPr>
          <w:rFonts w:cs="Tahoma"/>
        </w:rPr>
      </w:pPr>
      <w:r w:rsidRPr="00517202">
        <w:rPr>
          <w:rFonts w:cs="Tahoma"/>
        </w:rPr>
        <w:t xml:space="preserve">Tržby za prodej služeb VaV podle subjektů, kterým byly tyto služby prodány. </w:t>
      </w:r>
      <w:r w:rsidRPr="00517202">
        <w:rPr>
          <w:rFonts w:cs="Tahoma"/>
          <w:bCs/>
        </w:rPr>
        <w:t>Relevantní údaje jsou k dispozici za vládní a vysokoškolský sektor od roku 2010.</w:t>
      </w:r>
      <w:r w:rsidRPr="00517202">
        <w:rPr>
          <w:rFonts w:cs="Tahoma"/>
        </w:rPr>
        <w:t xml:space="preserve"> </w:t>
      </w:r>
    </w:p>
    <w:p w:rsidR="009D46E6" w:rsidRPr="00517202" w:rsidRDefault="009D46E6" w:rsidP="00355B4B">
      <w:pPr>
        <w:rPr>
          <w:rFonts w:cs="Tahoma"/>
        </w:rPr>
      </w:pPr>
      <w:r w:rsidRPr="00517202">
        <w:rPr>
          <w:rFonts w:cs="Tahoma"/>
        </w:rPr>
        <w:t xml:space="preserve">Výše uvedené charakteristiky jsou k dispozici v následujícím </w:t>
      </w:r>
      <w:r w:rsidRPr="00355B4B">
        <w:rPr>
          <w:rFonts w:cs="Tahoma"/>
        </w:rPr>
        <w:t>třídění:</w:t>
      </w:r>
      <w:r w:rsidRPr="00517202">
        <w:rPr>
          <w:rFonts w:cs="Tahoma"/>
        </w:rPr>
        <w:t xml:space="preserve"> </w:t>
      </w:r>
    </w:p>
    <w:p w:rsidR="009D46E6" w:rsidRPr="00517202" w:rsidRDefault="009D46E6" w:rsidP="00473494">
      <w:pPr>
        <w:numPr>
          <w:ilvl w:val="0"/>
          <w:numId w:val="41"/>
        </w:numPr>
        <w:rPr>
          <w:rFonts w:cs="Tahoma"/>
        </w:rPr>
      </w:pPr>
      <w:r w:rsidRPr="00517202">
        <w:rPr>
          <w:rFonts w:cs="Tahoma"/>
        </w:rPr>
        <w:t xml:space="preserve">podle </w:t>
      </w:r>
      <w:r w:rsidRPr="00517202">
        <w:rPr>
          <w:rFonts w:cs="Tahoma"/>
          <w:bCs/>
        </w:rPr>
        <w:t>sektoru provádění</w:t>
      </w:r>
      <w:r w:rsidRPr="00517202">
        <w:rPr>
          <w:rFonts w:cs="Tahoma"/>
        </w:rPr>
        <w:t xml:space="preserve"> </w:t>
      </w:r>
      <w:r w:rsidRPr="00517202">
        <w:rPr>
          <w:rFonts w:cs="Tahoma"/>
          <w:bCs/>
        </w:rPr>
        <w:t xml:space="preserve">VaV </w:t>
      </w:r>
      <w:r w:rsidRPr="00517202">
        <w:rPr>
          <w:rFonts w:cs="Tahoma"/>
        </w:rPr>
        <w:t>(podnikatelský, vládní, vysokoškolský a soukromý neziskový),</w:t>
      </w:r>
    </w:p>
    <w:p w:rsidR="009D46E6" w:rsidRPr="00517202" w:rsidRDefault="009D46E6" w:rsidP="00473494">
      <w:pPr>
        <w:numPr>
          <w:ilvl w:val="0"/>
          <w:numId w:val="41"/>
        </w:numPr>
        <w:rPr>
          <w:rFonts w:cs="Tahoma"/>
        </w:rPr>
      </w:pPr>
      <w:r w:rsidRPr="00517202">
        <w:rPr>
          <w:rFonts w:cs="Tahoma"/>
        </w:rPr>
        <w:t xml:space="preserve">podle převažující skupiny hlavních </w:t>
      </w:r>
      <w:r w:rsidRPr="00517202">
        <w:rPr>
          <w:rFonts w:cs="Tahoma"/>
          <w:bCs/>
        </w:rPr>
        <w:t>vědních oblastí (klasifikace FOS)</w:t>
      </w:r>
      <w:r w:rsidRPr="00517202">
        <w:rPr>
          <w:rFonts w:cs="Tahoma"/>
        </w:rPr>
        <w:t>,</w:t>
      </w:r>
    </w:p>
    <w:p w:rsidR="009D46E6" w:rsidRPr="00517202" w:rsidRDefault="009D46E6" w:rsidP="00473494">
      <w:pPr>
        <w:numPr>
          <w:ilvl w:val="0"/>
          <w:numId w:val="41"/>
        </w:numPr>
        <w:rPr>
          <w:rFonts w:cs="Tahoma"/>
        </w:rPr>
      </w:pPr>
      <w:r w:rsidRPr="00517202">
        <w:rPr>
          <w:rFonts w:cs="Tahoma"/>
        </w:rPr>
        <w:t>podle převažující ekonomické činnosti (sekce klasifikace CZ NACE),</w:t>
      </w:r>
    </w:p>
    <w:p w:rsidR="009D46E6" w:rsidRPr="00517202" w:rsidRDefault="009D46E6" w:rsidP="00473494">
      <w:pPr>
        <w:numPr>
          <w:ilvl w:val="0"/>
          <w:numId w:val="41"/>
        </w:numPr>
        <w:rPr>
          <w:rFonts w:cs="Tahoma"/>
        </w:rPr>
      </w:pPr>
      <w:r w:rsidRPr="00517202">
        <w:rPr>
          <w:rFonts w:cs="Tahoma"/>
        </w:rPr>
        <w:t xml:space="preserve">podle </w:t>
      </w:r>
      <w:r w:rsidRPr="00517202">
        <w:rPr>
          <w:rFonts w:cs="Tahoma"/>
          <w:bCs/>
        </w:rPr>
        <w:t xml:space="preserve">krajů </w:t>
      </w:r>
      <w:r w:rsidRPr="00517202">
        <w:rPr>
          <w:rFonts w:cs="Tahoma"/>
        </w:rPr>
        <w:t xml:space="preserve">(CZ-NUTS 3) a v případě podnikatelského sektoru i podle </w:t>
      </w:r>
      <w:r w:rsidRPr="00517202">
        <w:rPr>
          <w:rFonts w:cs="Tahoma"/>
          <w:bCs/>
        </w:rPr>
        <w:t>okresů</w:t>
      </w:r>
      <w:r w:rsidRPr="00517202">
        <w:rPr>
          <w:rFonts w:cs="Tahoma"/>
        </w:rPr>
        <w:t xml:space="preserve"> (CZ-NUTS 4),</w:t>
      </w:r>
    </w:p>
    <w:p w:rsidR="009D46E6" w:rsidRPr="00517202" w:rsidRDefault="009D46E6" w:rsidP="00473494">
      <w:pPr>
        <w:numPr>
          <w:ilvl w:val="0"/>
          <w:numId w:val="41"/>
        </w:numPr>
        <w:rPr>
          <w:rFonts w:cs="Tahoma"/>
        </w:rPr>
      </w:pPr>
      <w:r w:rsidRPr="00517202">
        <w:rPr>
          <w:rFonts w:cs="Tahoma"/>
        </w:rPr>
        <w:t xml:space="preserve">v podnikatelském sektoru navíc podle </w:t>
      </w:r>
      <w:r w:rsidRPr="00517202">
        <w:rPr>
          <w:rFonts w:cs="Tahoma"/>
          <w:bCs/>
        </w:rPr>
        <w:t xml:space="preserve">vlastnictví </w:t>
      </w:r>
      <w:r w:rsidRPr="00517202">
        <w:rPr>
          <w:rFonts w:cs="Tahoma"/>
        </w:rPr>
        <w:t xml:space="preserve">(veřejné podniky, soukromé podniky domácí a soukromé podniky pod zahraniční kontrolou), </w:t>
      </w:r>
      <w:r w:rsidRPr="00517202">
        <w:rPr>
          <w:rFonts w:cs="Tahoma"/>
          <w:bCs/>
        </w:rPr>
        <w:t xml:space="preserve">velikosti </w:t>
      </w:r>
      <w:r w:rsidRPr="00517202">
        <w:rPr>
          <w:rFonts w:cs="Tahoma"/>
        </w:rPr>
        <w:t xml:space="preserve">(počtu zaměstnanců) a </w:t>
      </w:r>
      <w:r w:rsidRPr="00517202">
        <w:rPr>
          <w:rFonts w:cs="Tahoma"/>
          <w:bCs/>
        </w:rPr>
        <w:t>převažující ekonomické činnosti</w:t>
      </w:r>
      <w:r w:rsidRPr="00517202">
        <w:rPr>
          <w:rFonts w:cs="Tahoma"/>
        </w:rPr>
        <w:t xml:space="preserve"> (oddíly klasifikace CZ-NACE),</w:t>
      </w:r>
    </w:p>
    <w:p w:rsidR="009D46E6" w:rsidRPr="00517202" w:rsidRDefault="009D46E6" w:rsidP="00473494">
      <w:pPr>
        <w:numPr>
          <w:ilvl w:val="0"/>
          <w:numId w:val="41"/>
        </w:numPr>
        <w:rPr>
          <w:rFonts w:cs="Tahoma"/>
        </w:rPr>
      </w:pPr>
      <w:r w:rsidRPr="00517202">
        <w:rPr>
          <w:rFonts w:cs="Tahoma"/>
        </w:rPr>
        <w:t xml:space="preserve">ve vládním a vysokoškolském sektoru navíc podle </w:t>
      </w:r>
      <w:r w:rsidRPr="00517202">
        <w:rPr>
          <w:rFonts w:cs="Tahoma"/>
          <w:bCs/>
        </w:rPr>
        <w:t>druhu pracoviště</w:t>
      </w:r>
      <w:r w:rsidRPr="00517202">
        <w:rPr>
          <w:rFonts w:cs="Tahoma"/>
        </w:rPr>
        <w:t>.</w:t>
      </w:r>
    </w:p>
    <w:p w:rsidR="009D46E6" w:rsidRPr="00517202" w:rsidRDefault="009D46E6" w:rsidP="00355B4B">
      <w:pPr>
        <w:pStyle w:val="BodyText"/>
        <w:rPr>
          <w:rFonts w:cs="Tahoma"/>
          <w:bCs/>
          <w:i/>
        </w:rPr>
      </w:pPr>
      <w:r w:rsidRPr="00517202">
        <w:rPr>
          <w:rFonts w:cs="Tahoma"/>
        </w:rPr>
        <w:t>Odhady dat za subjekty, které nevyplnily dotazník, jsou prováděny od roku 2001.</w:t>
      </w:r>
    </w:p>
    <w:p w:rsidR="009D46E6" w:rsidRPr="00355B4B" w:rsidRDefault="009D46E6" w:rsidP="00355B4B">
      <w:pPr>
        <w:pStyle w:val="BodyText"/>
        <w:rPr>
          <w:rFonts w:cs="Tahoma"/>
          <w:bCs/>
          <w:i/>
        </w:rPr>
      </w:pPr>
      <w:r w:rsidRPr="00355B4B">
        <w:rPr>
          <w:rFonts w:cs="Tahoma"/>
          <w:i/>
        </w:rPr>
        <w:t>Podrobné informace o zjišťovaných charakteristikách VaV lze zjistit z výše uvedeného formuláře VTR 5-01 na stránkách ČSÚ (</w:t>
      </w:r>
      <w:hyperlink r:id="rId263" w:history="1">
        <w:r w:rsidRPr="00355B4B">
          <w:rPr>
            <w:rStyle w:val="Hyperlink"/>
            <w:rFonts w:cs="Tahoma"/>
            <w:i/>
            <w:sz w:val="16"/>
            <w:szCs w:val="16"/>
          </w:rPr>
          <w:t>http://apl.czso.cz/pll/vykazy/pdf113?xvyk=1961&amp;cd=0</w:t>
        </w:r>
      </w:hyperlink>
      <w:r w:rsidRPr="00355B4B">
        <w:rPr>
          <w:rFonts w:cs="Tahoma"/>
          <w:i/>
          <w:sz w:val="16"/>
          <w:szCs w:val="16"/>
        </w:rPr>
        <w:t>)</w:t>
      </w:r>
      <w:r w:rsidRPr="00355B4B">
        <w:rPr>
          <w:rFonts w:cs="Tahoma"/>
          <w:i/>
        </w:rPr>
        <w:t>.</w:t>
      </w:r>
    </w:p>
    <w:p w:rsidR="009D46E6" w:rsidRDefault="009D46E6" w:rsidP="00355B4B">
      <w:pPr>
        <w:spacing w:before="120"/>
        <w:rPr>
          <w:rFonts w:cs="Tahoma"/>
          <w:u w:val="single"/>
        </w:rPr>
      </w:pPr>
    </w:p>
    <w:p w:rsidR="009D46E6" w:rsidRPr="002E3AE4" w:rsidRDefault="009D46E6" w:rsidP="00355B4B">
      <w:pPr>
        <w:spacing w:before="120"/>
        <w:rPr>
          <w:rFonts w:cs="Tahoma"/>
          <w:u w:val="single"/>
        </w:rPr>
      </w:pPr>
      <w:r w:rsidRPr="002E3AE4">
        <w:rPr>
          <w:rFonts w:cs="Tahoma"/>
          <w:u w:val="single"/>
        </w:rPr>
        <w:t>Důležité definice šetření výzkumu a vývoje</w:t>
      </w:r>
    </w:p>
    <w:p w:rsidR="009D46E6" w:rsidRPr="0056598C" w:rsidRDefault="009D46E6" w:rsidP="00355B4B">
      <w:pPr>
        <w:rPr>
          <w:rFonts w:cs="Tahoma"/>
        </w:rPr>
      </w:pPr>
      <w:r w:rsidRPr="0056598C">
        <w:rPr>
          <w:rFonts w:cs="Tahoma"/>
          <w:i/>
        </w:rPr>
        <w:t xml:space="preserve">Výzkum a vývoj </w:t>
      </w:r>
      <w:r w:rsidRPr="0056598C">
        <w:rPr>
          <w:rFonts w:cs="Tahoma"/>
          <w:bCs/>
        </w:rPr>
        <w:t>je</w:t>
      </w:r>
      <w:r w:rsidRPr="0056598C">
        <w:rPr>
          <w:rFonts w:cs="Tahoma"/>
        </w:rPr>
        <w:t xml:space="preserve"> </w:t>
      </w:r>
      <w:r w:rsidRPr="0056598C">
        <w:rPr>
          <w:rFonts w:cs="Tahoma"/>
          <w:bCs/>
        </w:rPr>
        <w:t>systematická tvůrčí práce konaná za účelem rozšíření stávajícího poznání, včetně poznání člověka, kultury a společnosti, získání nových znalostí nebo jejich využití v praxi, a to metodami, které umožňují potvrzení, doplnění či vyvrácení získaných poznatků. Rozlišujeme tři</w:t>
      </w:r>
      <w:r w:rsidRPr="0056598C">
        <w:rPr>
          <w:rFonts w:cs="Tahoma"/>
        </w:rPr>
        <w:t xml:space="preserve"> typy </w:t>
      </w:r>
      <w:r w:rsidRPr="0056598C">
        <w:rPr>
          <w:rFonts w:cs="Tahoma"/>
          <w:bCs/>
        </w:rPr>
        <w:t>výzkumné a vývojové činnosti:</w:t>
      </w:r>
      <w:r w:rsidRPr="0056598C">
        <w:rPr>
          <w:rFonts w:cs="Tahoma"/>
        </w:rPr>
        <w:t xml:space="preserve"> </w:t>
      </w:r>
    </w:p>
    <w:p w:rsidR="009D46E6" w:rsidRPr="0056598C" w:rsidRDefault="009D46E6" w:rsidP="00473494">
      <w:pPr>
        <w:numPr>
          <w:ilvl w:val="0"/>
          <w:numId w:val="43"/>
        </w:numPr>
        <w:ind w:left="357" w:hanging="357"/>
        <w:rPr>
          <w:rFonts w:cs="Tahoma"/>
        </w:rPr>
      </w:pPr>
      <w:r w:rsidRPr="0056598C">
        <w:rPr>
          <w:rFonts w:cs="Tahoma"/>
          <w:i/>
        </w:rPr>
        <w:t>Základní (badatelský) výzkum</w:t>
      </w:r>
      <w:r w:rsidRPr="0056598C">
        <w:rPr>
          <w:rFonts w:cs="Tahoma"/>
          <w:bCs/>
        </w:rPr>
        <w:t xml:space="preserve"> – t</w:t>
      </w:r>
      <w:r w:rsidRPr="0056598C">
        <w:rPr>
          <w:rFonts w:cs="Tahoma"/>
        </w:rPr>
        <w:t>eoretická nebo experimentální práce prováděná zejména za účelem získání nových vědomostí o základních principech jevů nebo pozorovatelných skutečností, která není primárně zaměřena na uplatnění nebo využití v praxi.</w:t>
      </w:r>
    </w:p>
    <w:p w:rsidR="009D46E6" w:rsidRPr="0056598C" w:rsidRDefault="009D46E6" w:rsidP="00473494">
      <w:pPr>
        <w:numPr>
          <w:ilvl w:val="0"/>
          <w:numId w:val="43"/>
        </w:numPr>
        <w:ind w:left="357" w:hanging="357"/>
        <w:rPr>
          <w:rFonts w:cs="Tahoma"/>
        </w:rPr>
      </w:pPr>
      <w:r w:rsidRPr="0056598C">
        <w:rPr>
          <w:rFonts w:cs="Tahoma"/>
          <w:i/>
        </w:rPr>
        <w:t>Aplikovaný (průmyslový) výzkum</w:t>
      </w:r>
      <w:r w:rsidRPr="0056598C">
        <w:rPr>
          <w:rFonts w:cs="Tahoma"/>
          <w:bCs/>
        </w:rPr>
        <w:t xml:space="preserve"> – </w:t>
      </w:r>
      <w:r w:rsidRPr="0056598C">
        <w:rPr>
          <w:rFonts w:cs="Tahoma"/>
        </w:rPr>
        <w:t>teoretická a experimentální práce zaměřená na získání nových poznatků a dovedností pro vývoj nových nebo podstatně zdokonalených výrobků, postupů nebo služeb. Výsledky aplikovaného výzkumu jsou směřovány ke specifickému a praktickému cíli.</w:t>
      </w:r>
    </w:p>
    <w:p w:rsidR="009D46E6" w:rsidRPr="00F00E47" w:rsidRDefault="009D46E6" w:rsidP="00473494">
      <w:pPr>
        <w:numPr>
          <w:ilvl w:val="0"/>
          <w:numId w:val="43"/>
        </w:numPr>
        <w:ind w:left="357" w:hanging="357"/>
        <w:rPr>
          <w:rFonts w:cs="Tahoma"/>
          <w:b/>
        </w:rPr>
      </w:pPr>
      <w:r w:rsidRPr="0056598C">
        <w:rPr>
          <w:rFonts w:cs="Tahoma"/>
          <w:i/>
        </w:rPr>
        <w:t>Experimentální vývoj</w:t>
      </w:r>
      <w:r w:rsidRPr="00F00E47">
        <w:rPr>
          <w:rFonts w:cs="Tahoma"/>
          <w:bCs/>
        </w:rPr>
        <w:t xml:space="preserve"> – </w:t>
      </w:r>
      <w:r w:rsidRPr="00F00E47">
        <w:rPr>
          <w:rFonts w:cs="Tahoma"/>
        </w:rPr>
        <w:t>zahrnuje získávání, spojování, formování a používání stávajících vědeckých a technologických, obchodních a jiných příslušných poznatků a dovedností pro vývoj nových nebo podstatně zdokonalených výrobků, postupů nebo služeb.</w:t>
      </w:r>
    </w:p>
    <w:p w:rsidR="009D46E6" w:rsidRPr="0056598C" w:rsidRDefault="009D46E6" w:rsidP="00355B4B">
      <w:pPr>
        <w:rPr>
          <w:rFonts w:cs="Tahoma"/>
        </w:rPr>
      </w:pPr>
      <w:bookmarkStart w:id="270" w:name="_Toc245782984"/>
      <w:r w:rsidRPr="0056598C">
        <w:rPr>
          <w:rFonts w:cs="Tahoma"/>
        </w:rPr>
        <w:t xml:space="preserve">Jelikož rozlišení hranice především mezi základním a aplikovaným výzkumem není vždy jednoznačné, je třeba při interpretaci zjištěných údajů v členění podle typu VaV činnosti postupovat s jistou </w:t>
      </w:r>
      <w:r>
        <w:rPr>
          <w:rFonts w:cs="Tahoma"/>
        </w:rPr>
        <w:t>o</w:t>
      </w:r>
      <w:r w:rsidRPr="0056598C">
        <w:rPr>
          <w:rFonts w:cs="Tahoma"/>
        </w:rPr>
        <w:t>patrností.</w:t>
      </w:r>
    </w:p>
    <w:p w:rsidR="009D46E6" w:rsidRPr="00F00E47" w:rsidRDefault="009D46E6" w:rsidP="00355B4B">
      <w:pPr>
        <w:rPr>
          <w:rFonts w:cs="Tahoma"/>
          <w:i/>
        </w:rPr>
      </w:pPr>
      <w:r w:rsidRPr="0056598C">
        <w:rPr>
          <w:rFonts w:cs="Tahoma"/>
          <w:bCs/>
          <w:i/>
          <w:iCs/>
        </w:rPr>
        <w:t>Sektor provádění výzkumu a vývoje</w:t>
      </w:r>
      <w:bookmarkEnd w:id="270"/>
      <w:r w:rsidRPr="00F00E47">
        <w:rPr>
          <w:rFonts w:cs="Tahoma"/>
          <w:b/>
          <w:bCs/>
          <w:iCs/>
        </w:rPr>
        <w:t xml:space="preserve"> </w:t>
      </w:r>
      <w:r w:rsidRPr="00F00E47">
        <w:rPr>
          <w:rFonts w:cs="Tahoma"/>
          <w:iCs/>
        </w:rPr>
        <w:t>je základní kategorií používanou ve statistice VaV, jež seskupuje všechny institucionální jednotky provádějící VaV na základě jejich hlavních funkcí, chování a cílů.</w:t>
      </w:r>
      <w:r w:rsidRPr="00F00E47">
        <w:rPr>
          <w:rFonts w:cs="Tahoma"/>
          <w:b/>
          <w:bCs/>
          <w:iCs/>
        </w:rPr>
        <w:t xml:space="preserve"> </w:t>
      </w:r>
      <w:r w:rsidRPr="00F00E47">
        <w:rPr>
          <w:rFonts w:cs="Tahoma"/>
          <w:iCs/>
        </w:rPr>
        <w:t xml:space="preserve">Ukazatele VaV jsou standardně sledovány a publikovány, a to i na </w:t>
      </w:r>
      <w:r w:rsidRPr="0056598C">
        <w:rPr>
          <w:rFonts w:cs="Tahoma"/>
          <w:iCs/>
        </w:rPr>
        <w:t xml:space="preserve">mezinárodní úrovni, ve </w:t>
      </w:r>
      <w:r w:rsidRPr="0056598C">
        <w:rPr>
          <w:rFonts w:cs="Tahoma"/>
          <w:bCs/>
          <w:iCs/>
        </w:rPr>
        <w:t xml:space="preserve">čtyřech sektorech provádění VaV </w:t>
      </w:r>
      <w:r w:rsidRPr="0056598C">
        <w:rPr>
          <w:rFonts w:cs="Tahoma"/>
          <w:iCs/>
        </w:rPr>
        <w:t>(dále jen sektorech) – podnikatelský, vládní, vysokoškolský a soukromý neziskový. Tyto sektory byly vymezeny na základě Číselníku institucionálních sektorů nebo subsektorů (ISEKTOR) používaného v Národních účtech (systém ESA) a definic uvedených ve Frascati manuálu.</w:t>
      </w:r>
      <w:r w:rsidRPr="00F00E47">
        <w:rPr>
          <w:rFonts w:cs="Tahoma"/>
          <w:i/>
        </w:rPr>
        <w:t xml:space="preserve"> </w:t>
      </w:r>
    </w:p>
    <w:p w:rsidR="009D46E6" w:rsidRPr="00F00E47" w:rsidRDefault="009D46E6" w:rsidP="00473494">
      <w:pPr>
        <w:numPr>
          <w:ilvl w:val="0"/>
          <w:numId w:val="44"/>
        </w:numPr>
        <w:rPr>
          <w:rFonts w:cs="Tahoma"/>
          <w:iCs/>
        </w:rPr>
      </w:pPr>
      <w:r w:rsidRPr="0056598C">
        <w:rPr>
          <w:rFonts w:cs="Tahoma"/>
          <w:i/>
        </w:rPr>
        <w:t>Podnikatelský sektor</w:t>
      </w:r>
      <w:r w:rsidRPr="00F00E47">
        <w:rPr>
          <w:rFonts w:cs="Tahoma"/>
          <w:b/>
        </w:rPr>
        <w:t xml:space="preserve"> </w:t>
      </w:r>
      <w:r w:rsidRPr="00F00E47">
        <w:rPr>
          <w:rFonts w:cs="Tahoma"/>
          <w:bCs/>
        </w:rPr>
        <w:t>zahrnuje</w:t>
      </w:r>
      <w:r w:rsidRPr="00F00E47">
        <w:rPr>
          <w:rFonts w:cs="Tahoma"/>
          <w:b/>
        </w:rPr>
        <w:t xml:space="preserve"> </w:t>
      </w:r>
      <w:r w:rsidRPr="00F00E47">
        <w:rPr>
          <w:rFonts w:cs="Tahoma"/>
        </w:rPr>
        <w:t>všechny ekonomické subjekty, jejichž hlavní činností je tržní výroba zboží nebo služeb pro prodej široké veřejnosti za ekonomicky významnou cenu. Ekonomické subjekty náležící do tohoto sektoru jsou zařazeny v některém z těchto ISEKTORů:</w:t>
      </w:r>
    </w:p>
    <w:p w:rsidR="009D46E6" w:rsidRPr="00F00E47" w:rsidRDefault="009D46E6" w:rsidP="00473494">
      <w:pPr>
        <w:numPr>
          <w:ilvl w:val="1"/>
          <w:numId w:val="38"/>
        </w:numPr>
        <w:ind w:left="1080"/>
        <w:rPr>
          <w:rFonts w:cs="Tahoma"/>
          <w:bCs/>
          <w:iCs/>
        </w:rPr>
      </w:pPr>
      <w:r w:rsidRPr="00F00E47">
        <w:rPr>
          <w:rFonts w:cs="Tahoma"/>
          <w:bCs/>
        </w:rPr>
        <w:t>Nefinanční podniky (ISEKTOR 11),</w:t>
      </w:r>
    </w:p>
    <w:p w:rsidR="009D46E6" w:rsidRPr="00F00E47" w:rsidRDefault="009D46E6" w:rsidP="00473494">
      <w:pPr>
        <w:numPr>
          <w:ilvl w:val="1"/>
          <w:numId w:val="38"/>
        </w:numPr>
        <w:ind w:left="1080"/>
        <w:rPr>
          <w:rFonts w:cs="Tahoma"/>
          <w:bCs/>
          <w:iCs/>
        </w:rPr>
      </w:pPr>
      <w:r w:rsidRPr="00F00E47">
        <w:rPr>
          <w:rFonts w:cs="Tahoma"/>
          <w:bCs/>
        </w:rPr>
        <w:t>Finanční instituce (ISEKTOR 12),</w:t>
      </w:r>
    </w:p>
    <w:p w:rsidR="009D46E6" w:rsidRPr="00F00E47" w:rsidRDefault="009D46E6" w:rsidP="00473494">
      <w:pPr>
        <w:numPr>
          <w:ilvl w:val="1"/>
          <w:numId w:val="38"/>
        </w:numPr>
        <w:ind w:left="1080"/>
        <w:rPr>
          <w:rFonts w:cs="Tahoma"/>
          <w:bCs/>
          <w:i/>
          <w:iCs/>
        </w:rPr>
      </w:pPr>
      <w:r w:rsidRPr="00F00E47">
        <w:rPr>
          <w:rFonts w:cs="Tahoma"/>
          <w:bCs/>
        </w:rPr>
        <w:t xml:space="preserve">Zaměstnavatelé (ISEKTOR 141), </w:t>
      </w:r>
    </w:p>
    <w:p w:rsidR="009D46E6" w:rsidRPr="00F00E47" w:rsidRDefault="009D46E6" w:rsidP="00473494">
      <w:pPr>
        <w:numPr>
          <w:ilvl w:val="1"/>
          <w:numId w:val="38"/>
        </w:numPr>
        <w:ind w:left="1080"/>
        <w:rPr>
          <w:rFonts w:cs="Tahoma"/>
          <w:i/>
          <w:iCs/>
        </w:rPr>
      </w:pPr>
      <w:r w:rsidRPr="00F00E47">
        <w:rPr>
          <w:rFonts w:cs="Tahoma"/>
          <w:bCs/>
        </w:rPr>
        <w:t>Osoby samostatně výdělečně činné (ISEKTOR 142).</w:t>
      </w:r>
      <w:r w:rsidRPr="00F00E47">
        <w:rPr>
          <w:rFonts w:cs="Tahoma"/>
        </w:rPr>
        <w:t xml:space="preserve"> </w:t>
      </w:r>
    </w:p>
    <w:p w:rsidR="009D46E6" w:rsidRPr="00F00E47" w:rsidRDefault="009D46E6" w:rsidP="00473494">
      <w:pPr>
        <w:numPr>
          <w:ilvl w:val="0"/>
          <w:numId w:val="45"/>
        </w:numPr>
        <w:rPr>
          <w:rFonts w:cs="Tahoma"/>
          <w:b/>
          <w:bCs/>
        </w:rPr>
      </w:pPr>
      <w:r w:rsidRPr="0056598C">
        <w:rPr>
          <w:rFonts w:cs="Tahoma"/>
          <w:bCs/>
          <w:i/>
        </w:rPr>
        <w:t>Vládní sektor</w:t>
      </w:r>
      <w:r w:rsidRPr="00F00E47">
        <w:rPr>
          <w:rFonts w:cs="Tahoma"/>
          <w:b/>
          <w:bCs/>
        </w:rPr>
        <w:t xml:space="preserve"> </w:t>
      </w:r>
      <w:r w:rsidRPr="00F00E47">
        <w:rPr>
          <w:rFonts w:cs="Tahoma"/>
          <w:bCs/>
        </w:rPr>
        <w:t xml:space="preserve">zahrnuje orgány státní správy a samosprávy na všech úrovních (ISEKTOR 13: Vládní instituce) s výjimkou vyššího odborného a vysokého školství (CZ-NACE 854). </w:t>
      </w:r>
    </w:p>
    <w:p w:rsidR="009D46E6" w:rsidRPr="00355B4B" w:rsidRDefault="009D46E6" w:rsidP="00355B4B">
      <w:pPr>
        <w:pStyle w:val="BodyTextIndent3"/>
        <w:ind w:left="357"/>
        <w:rPr>
          <w:rFonts w:cs="Tahoma"/>
          <w:sz w:val="20"/>
          <w:szCs w:val="20"/>
        </w:rPr>
      </w:pPr>
      <w:r w:rsidRPr="00355B4B">
        <w:rPr>
          <w:rFonts w:cs="Tahoma"/>
          <w:sz w:val="20"/>
          <w:szCs w:val="20"/>
        </w:rPr>
        <w:t>Pracoviště VaV ve vládním sektoru v ČR tvoří především jednotlivá pracoviště Akademie věd ČR a výzkumná resortní pracoviště, která provádějí VaV jako svoji hlavní ekonomickou činnost (CZ-NACE 72). Od 1. 1. 2007 většina těchto subjektů získala nový statut veřejné výzkumné instituce. Mezi ostatní pracoviště VaV ve vládním sektoru patří především veřejné knihovny, archivy, muzea a jiná kulturní zařízení, která provádějí VaV jako svoji vedlejší činnost.</w:t>
      </w:r>
    </w:p>
    <w:p w:rsidR="009D46E6" w:rsidRPr="00F00E47" w:rsidRDefault="009D46E6" w:rsidP="00473494">
      <w:pPr>
        <w:numPr>
          <w:ilvl w:val="0"/>
          <w:numId w:val="46"/>
        </w:numPr>
        <w:rPr>
          <w:rFonts w:cs="Tahoma"/>
          <w:bCs/>
          <w:i/>
          <w:iCs/>
        </w:rPr>
      </w:pPr>
      <w:r w:rsidRPr="0056598C">
        <w:rPr>
          <w:rFonts w:cs="Tahoma"/>
          <w:bCs/>
          <w:i/>
        </w:rPr>
        <w:t>Vysokoškolský sektor</w:t>
      </w:r>
      <w:r w:rsidRPr="00F00E47">
        <w:rPr>
          <w:rFonts w:cs="Tahoma"/>
          <w:b/>
          <w:bCs/>
        </w:rPr>
        <w:t xml:space="preserve"> </w:t>
      </w:r>
      <w:r w:rsidRPr="00F00E47">
        <w:rPr>
          <w:rFonts w:cs="Tahoma"/>
          <w:bCs/>
        </w:rPr>
        <w:t xml:space="preserve">zahrnuje všechny veřejné i soukromé univerzity, vysoké školy a další instituce pomaturitního vzdělávání (CZ–NACE 854) a také všechny výzkumné ústavy, experimentální zařízení a kliniky pracující pod přímou kontrolou nebo řízené či spojené s organizacemi vyššího vzdělávání (fakultní nemocnice). </w:t>
      </w:r>
    </w:p>
    <w:p w:rsidR="009D46E6" w:rsidRPr="0056598C" w:rsidRDefault="009D46E6" w:rsidP="00355B4B">
      <w:pPr>
        <w:ind w:left="360"/>
        <w:rPr>
          <w:rFonts w:cs="Tahoma"/>
          <w:bCs/>
          <w:iCs/>
        </w:rPr>
      </w:pPr>
      <w:r w:rsidRPr="0056598C">
        <w:rPr>
          <w:rFonts w:cs="Tahoma"/>
          <w:bCs/>
          <w:iCs/>
        </w:rPr>
        <w:t xml:space="preserve">Pracoviště VaV ve vysokoškolském sektoru v ČR tvoří především jednotlivé fakulty veřejných vysokých škol na kterých se provádí VaV a 11 fakultních nemocnic. </w:t>
      </w:r>
    </w:p>
    <w:p w:rsidR="009D46E6" w:rsidRPr="00F00E47" w:rsidRDefault="009D46E6" w:rsidP="00473494">
      <w:pPr>
        <w:numPr>
          <w:ilvl w:val="0"/>
          <w:numId w:val="47"/>
        </w:numPr>
        <w:rPr>
          <w:rFonts w:cs="Tahoma"/>
          <w:bCs/>
        </w:rPr>
      </w:pPr>
      <w:r w:rsidRPr="0056598C">
        <w:rPr>
          <w:rFonts w:cs="Tahoma"/>
          <w:bCs/>
          <w:i/>
        </w:rPr>
        <w:t>Soukromý neziskový sektor</w:t>
      </w:r>
      <w:r w:rsidRPr="00F00E47">
        <w:rPr>
          <w:rFonts w:cs="Tahoma"/>
          <w:b/>
          <w:bCs/>
        </w:rPr>
        <w:t xml:space="preserve"> </w:t>
      </w:r>
      <w:r w:rsidRPr="00F00E47">
        <w:rPr>
          <w:rFonts w:cs="Tahoma"/>
          <w:bCs/>
        </w:rPr>
        <w:t xml:space="preserve">zahrnuje soukromé instituce, včetně soukromých osob a domácností, jejichž primárním cílem není tvorba zisku, ale poskytování netržních služeb domácnostem. Jedná se např. o sdružení výzkumných organizací, spolky, svazy, společnosti, kluby, hnutí či nadace. Subjekty náležící do tohoto sektoru jsou zařazeny v některém z těchto ISEKTORů: </w:t>
      </w:r>
    </w:p>
    <w:p w:rsidR="009D46E6" w:rsidRPr="00F00E47" w:rsidRDefault="009D46E6" w:rsidP="00473494">
      <w:pPr>
        <w:numPr>
          <w:ilvl w:val="1"/>
          <w:numId w:val="38"/>
        </w:numPr>
        <w:ind w:left="1080"/>
        <w:rPr>
          <w:rFonts w:cs="Tahoma"/>
          <w:bCs/>
        </w:rPr>
      </w:pPr>
      <w:r w:rsidRPr="00F00E47">
        <w:rPr>
          <w:rFonts w:cs="Tahoma"/>
          <w:bCs/>
        </w:rPr>
        <w:t>Domácnosti (ISEKTOR 14 bez 141 a bez 142),</w:t>
      </w:r>
    </w:p>
    <w:p w:rsidR="009D46E6" w:rsidRPr="00F00E47" w:rsidRDefault="009D46E6" w:rsidP="00473494">
      <w:pPr>
        <w:numPr>
          <w:ilvl w:val="1"/>
          <w:numId w:val="38"/>
        </w:numPr>
        <w:ind w:left="1080"/>
        <w:rPr>
          <w:rFonts w:cs="Tahoma"/>
          <w:bCs/>
        </w:rPr>
      </w:pPr>
      <w:r w:rsidRPr="00F00E47">
        <w:rPr>
          <w:rFonts w:cs="Tahoma"/>
          <w:bCs/>
        </w:rPr>
        <w:t xml:space="preserve">Neziskové instituce sloužící domácnostem (ISEKTOR 15). </w:t>
      </w:r>
    </w:p>
    <w:p w:rsidR="009D46E6" w:rsidRPr="0056598C" w:rsidRDefault="009D46E6" w:rsidP="00355B4B">
      <w:pPr>
        <w:pStyle w:val="BodyText2"/>
        <w:spacing w:line="264" w:lineRule="auto"/>
        <w:rPr>
          <w:rFonts w:cs="Tahoma"/>
          <w:iCs/>
        </w:rPr>
      </w:pPr>
      <w:r w:rsidRPr="0056598C">
        <w:rPr>
          <w:rFonts w:cs="Tahoma"/>
          <w:iCs/>
        </w:rPr>
        <w:t>Podrobné údaje o počtu ekonomických subjektů, a jejich VaV pracovišť, provádějících VaV jako svoji hlavní nebo vedlejší ekonomickou činnost v jednotlivých sektorech v členění podle výše jejich výdajů na vlastní VaV a počtu v nich zaměstnaných osob ve VaV jsou uvedeny na webových stránkách ČSÚ.</w:t>
      </w:r>
    </w:p>
    <w:p w:rsidR="009D46E6" w:rsidRPr="0056598C" w:rsidRDefault="009D46E6" w:rsidP="00355B4B">
      <w:pPr>
        <w:rPr>
          <w:rFonts w:cs="Tahoma"/>
          <w:bCs/>
          <w:iCs/>
        </w:rPr>
      </w:pPr>
      <w:bookmarkStart w:id="271" w:name="_Toc245782987"/>
      <w:r w:rsidRPr="0056598C">
        <w:rPr>
          <w:rFonts w:cs="Tahoma"/>
          <w:bCs/>
          <w:i/>
          <w:iCs/>
        </w:rPr>
        <w:t>Výdaje za provedený VaV</w:t>
      </w:r>
      <w:bookmarkEnd w:id="271"/>
      <w:r w:rsidRPr="0056598C">
        <w:rPr>
          <w:rFonts w:cs="Tahoma"/>
          <w:bCs/>
          <w:iCs/>
        </w:rPr>
        <w:t xml:space="preserve"> </w:t>
      </w:r>
      <w:r w:rsidRPr="0056598C">
        <w:rPr>
          <w:rFonts w:cs="Tahoma"/>
          <w:bCs/>
        </w:rPr>
        <w:t xml:space="preserve">zahrnují veškeré výdaje určené na  VaV prováděný v rámci sledovaného subjektu bez ohledu na zdroj jejich financování. Výdaje na VaV podle </w:t>
      </w:r>
      <w:r w:rsidRPr="0056598C">
        <w:rPr>
          <w:rFonts w:cs="Tahoma"/>
        </w:rPr>
        <w:t>druhu nákladů</w:t>
      </w:r>
      <w:r w:rsidRPr="0056598C">
        <w:rPr>
          <w:rFonts w:cs="Tahoma"/>
          <w:bCs/>
        </w:rPr>
        <w:t xml:space="preserve"> tvoří: </w:t>
      </w:r>
    </w:p>
    <w:p w:rsidR="009D46E6" w:rsidRPr="00F00E47" w:rsidRDefault="009D46E6" w:rsidP="00473494">
      <w:pPr>
        <w:numPr>
          <w:ilvl w:val="0"/>
          <w:numId w:val="39"/>
        </w:numPr>
        <w:ind w:left="357" w:hanging="357"/>
        <w:rPr>
          <w:rFonts w:cs="Tahoma"/>
        </w:rPr>
      </w:pPr>
      <w:r w:rsidRPr="0056598C">
        <w:rPr>
          <w:rFonts w:cs="Tahoma"/>
          <w:bCs/>
          <w:i/>
        </w:rPr>
        <w:t>Běžné (neinvestiční) náklady</w:t>
      </w:r>
      <w:r w:rsidRPr="00F00E47">
        <w:rPr>
          <w:rFonts w:cs="Tahoma"/>
        </w:rPr>
        <w:t xml:space="preserve"> zahrnující:</w:t>
      </w:r>
    </w:p>
    <w:p w:rsidR="009D46E6" w:rsidRPr="00F00E47" w:rsidRDefault="009D46E6" w:rsidP="00473494">
      <w:pPr>
        <w:numPr>
          <w:ilvl w:val="1"/>
          <w:numId w:val="38"/>
        </w:numPr>
        <w:ind w:left="714" w:hanging="357"/>
        <w:rPr>
          <w:rFonts w:cs="Tahoma"/>
          <w:bCs/>
        </w:rPr>
      </w:pPr>
      <w:r w:rsidRPr="0056598C">
        <w:rPr>
          <w:rFonts w:cs="Tahoma"/>
          <w:i/>
        </w:rPr>
        <w:t>mzdové náklady</w:t>
      </w:r>
      <w:r w:rsidRPr="00F00E47">
        <w:rPr>
          <w:rFonts w:cs="Tahoma"/>
          <w:b/>
        </w:rPr>
        <w:t xml:space="preserve"> </w:t>
      </w:r>
      <w:r w:rsidRPr="00F00E47">
        <w:rPr>
          <w:rFonts w:cs="Tahoma"/>
          <w:bCs/>
        </w:rPr>
        <w:t>osob zaměstnaných ve VaV včetně pojistného na zdravotní a sociální pojištění placeného zaměstnavatelem za zaměstnance a odměny za práce podle dohod o provedení práce ve VaV konané mimo pracovní poměr,</w:t>
      </w:r>
    </w:p>
    <w:p w:rsidR="009D46E6" w:rsidRPr="00F00E47" w:rsidRDefault="009D46E6" w:rsidP="00473494">
      <w:pPr>
        <w:numPr>
          <w:ilvl w:val="1"/>
          <w:numId w:val="38"/>
        </w:numPr>
        <w:autoSpaceDE w:val="0"/>
        <w:autoSpaceDN w:val="0"/>
        <w:adjustRightInd w:val="0"/>
        <w:ind w:left="714" w:hanging="357"/>
        <w:rPr>
          <w:rFonts w:cs="Tahoma"/>
          <w:i/>
        </w:rPr>
      </w:pPr>
      <w:r w:rsidRPr="0056598C">
        <w:rPr>
          <w:rFonts w:cs="Tahoma"/>
          <w:i/>
        </w:rPr>
        <w:t>ostatní neinvestiční náklady</w:t>
      </w:r>
      <w:r w:rsidRPr="00F00E47">
        <w:rPr>
          <w:rFonts w:cs="Tahoma"/>
          <w:b/>
        </w:rPr>
        <w:t xml:space="preserve"> </w:t>
      </w:r>
      <w:r w:rsidRPr="00F00E47">
        <w:rPr>
          <w:rFonts w:cs="Tahoma"/>
        </w:rPr>
        <w:t xml:space="preserve">zahrnující spotřebu energie, materiálu a vybavení na prováděný VaV, poplatky, amortizace, licenční poplatky a náklady na služby na podporu prováděného VaV včetně souvisejících administrativních a ostatních režijních nákladů a podílu správní režie přímo související s prováděným VaV. V rámci podílu správní režie jsou zahrnuty především mzdové náklady na zaměstnance bezpečnostních služeb, údržby a jiných, kteří se nepřímo podílejí na provozu VaV pracovišť. </w:t>
      </w:r>
      <w:r w:rsidRPr="00F00E47">
        <w:rPr>
          <w:rFonts w:cs="Tahoma"/>
          <w:i/>
        </w:rPr>
        <w:t>Veškeré náklady na odpisy budov, strojního (technického) zařízení a vybavení jsou ze statistického sledování výdajů na VaV vyloučeny,</w:t>
      </w:r>
    </w:p>
    <w:p w:rsidR="009D46E6" w:rsidRPr="00F00E47" w:rsidRDefault="009D46E6" w:rsidP="00355B4B">
      <w:pPr>
        <w:autoSpaceDE w:val="0"/>
        <w:autoSpaceDN w:val="0"/>
        <w:adjustRightInd w:val="0"/>
        <w:ind w:left="709"/>
        <w:rPr>
          <w:rFonts w:cs="Tahoma"/>
        </w:rPr>
      </w:pPr>
      <w:r w:rsidRPr="00F00E47">
        <w:rPr>
          <w:rFonts w:cs="Tahoma"/>
          <w:i/>
          <w:u w:val="single"/>
        </w:rPr>
        <w:t>Poznámka:</w:t>
      </w:r>
      <w:r w:rsidRPr="00F00E47">
        <w:rPr>
          <w:rFonts w:cs="Tahoma"/>
        </w:rPr>
        <w:t xml:space="preserve"> Do ostatních neinvestičních nákladů nepatří nákup služeb VaV (VaV prováděný jiným subjektem pro zpravodajskou jednotku) pokud jde samostatné projekty. Tyto výdaje jsou zahrnuty v rámci nákladů na služby VaV. </w:t>
      </w:r>
    </w:p>
    <w:p w:rsidR="009D46E6" w:rsidRPr="00F00E47" w:rsidRDefault="009D46E6" w:rsidP="00473494">
      <w:pPr>
        <w:numPr>
          <w:ilvl w:val="0"/>
          <w:numId w:val="39"/>
        </w:numPr>
        <w:ind w:left="357" w:hanging="357"/>
        <w:rPr>
          <w:rFonts w:cs="Tahoma"/>
          <w:bCs/>
        </w:rPr>
      </w:pPr>
      <w:r w:rsidRPr="0056598C">
        <w:rPr>
          <w:rFonts w:cs="Tahoma"/>
          <w:bCs/>
          <w:i/>
        </w:rPr>
        <w:t>Investiční náklady</w:t>
      </w:r>
      <w:r w:rsidRPr="00F00E47">
        <w:rPr>
          <w:rFonts w:cs="Tahoma"/>
          <w:bCs/>
        </w:rPr>
        <w:t xml:space="preserve">, </w:t>
      </w:r>
      <w:r w:rsidRPr="00F00E47">
        <w:rPr>
          <w:rFonts w:cs="Tahoma"/>
        </w:rPr>
        <w:t>které zahr</w:t>
      </w:r>
      <w:r w:rsidRPr="00F00E47">
        <w:rPr>
          <w:rFonts w:cs="Tahoma"/>
          <w:bCs/>
        </w:rPr>
        <w:t xml:space="preserve">nují: </w:t>
      </w:r>
    </w:p>
    <w:p w:rsidR="009D46E6" w:rsidRPr="00F00E47" w:rsidRDefault="009D46E6" w:rsidP="00473494">
      <w:pPr>
        <w:numPr>
          <w:ilvl w:val="1"/>
          <w:numId w:val="38"/>
        </w:numPr>
        <w:ind w:left="720"/>
        <w:rPr>
          <w:rFonts w:cs="Tahoma"/>
          <w:bCs/>
        </w:rPr>
      </w:pPr>
      <w:r w:rsidRPr="0056598C">
        <w:rPr>
          <w:rFonts w:cs="Tahoma"/>
          <w:bCs/>
          <w:i/>
        </w:rPr>
        <w:t>pořízení dlouhodobého</w:t>
      </w:r>
      <w:r w:rsidRPr="0056598C">
        <w:rPr>
          <w:rFonts w:cs="Tahoma"/>
          <w:i/>
        </w:rPr>
        <w:t xml:space="preserve"> nehmotného majetku</w:t>
      </w:r>
      <w:r w:rsidRPr="00F00E47">
        <w:rPr>
          <w:rFonts w:cs="Tahoma"/>
          <w:b/>
        </w:rPr>
        <w:t xml:space="preserve"> </w:t>
      </w:r>
      <w:r w:rsidRPr="00F00E47">
        <w:rPr>
          <w:rFonts w:cs="Tahoma"/>
        </w:rPr>
        <w:t>zahrnující</w:t>
      </w:r>
      <w:r w:rsidRPr="00F00E47">
        <w:rPr>
          <w:rFonts w:cs="Tahoma"/>
          <w:b/>
        </w:rPr>
        <w:t xml:space="preserve"> </w:t>
      </w:r>
      <w:r w:rsidRPr="00F00E47">
        <w:rPr>
          <w:rFonts w:cs="Tahoma"/>
          <w:bCs/>
        </w:rPr>
        <w:t xml:space="preserve">aktivaci vlastních výsledků VaV a pořízení pro potřeby prováděného VaV softwaru a/nebo výrobně technických poznatků (know-how), předmětů průmyslových práv (např. nákup patentů, průmyslových a užitných vzorů) a jiných nehmotných výsledků výzkumné, vývojové či jiné duševní tvořivé činnosti bez ohledu zda jsou nebo nejsou předmětem ocenitelných práv, </w:t>
      </w:r>
    </w:p>
    <w:p w:rsidR="009D46E6" w:rsidRPr="00F00E47" w:rsidRDefault="009D46E6" w:rsidP="00473494">
      <w:pPr>
        <w:numPr>
          <w:ilvl w:val="1"/>
          <w:numId w:val="38"/>
        </w:numPr>
        <w:ind w:left="720"/>
        <w:rPr>
          <w:rFonts w:cs="Tahoma"/>
        </w:rPr>
      </w:pPr>
      <w:r w:rsidRPr="0056598C">
        <w:rPr>
          <w:rFonts w:cs="Tahoma"/>
          <w:i/>
        </w:rPr>
        <w:t>pozemky, budovy a stavby</w:t>
      </w:r>
      <w:r w:rsidRPr="00F00E47">
        <w:rPr>
          <w:rFonts w:cs="Tahoma"/>
          <w:b/>
        </w:rPr>
        <w:t xml:space="preserve"> </w:t>
      </w:r>
      <w:r w:rsidRPr="00F00E47">
        <w:rPr>
          <w:rFonts w:cs="Tahoma"/>
        </w:rPr>
        <w:t>zahrnující pořízení pozemků (např. pokusné pozemky, umístění pro laboratoře, resp. poloprovozní zařízení), budov a staveb včetně jejich technického zhodnocení pro potřeby prováděného VaV v sledovaných subjektech,</w:t>
      </w:r>
      <w:r w:rsidRPr="00F00E47">
        <w:rPr>
          <w:rFonts w:cs="Tahoma"/>
          <w:bCs/>
        </w:rPr>
        <w:t xml:space="preserve"> </w:t>
      </w:r>
    </w:p>
    <w:p w:rsidR="009D46E6" w:rsidRPr="00F00E47" w:rsidRDefault="009D46E6" w:rsidP="00473494">
      <w:pPr>
        <w:numPr>
          <w:ilvl w:val="1"/>
          <w:numId w:val="38"/>
        </w:numPr>
        <w:ind w:left="720"/>
        <w:rPr>
          <w:rFonts w:cs="Tahoma"/>
        </w:rPr>
      </w:pPr>
      <w:r w:rsidRPr="0056598C">
        <w:rPr>
          <w:rFonts w:cs="Tahoma"/>
          <w:i/>
        </w:rPr>
        <w:t>pořízení ostatního dlouhodobého hmotného majetku</w:t>
      </w:r>
      <w:r w:rsidRPr="00F00E47">
        <w:rPr>
          <w:rFonts w:cs="Tahoma"/>
          <w:b/>
        </w:rPr>
        <w:t xml:space="preserve"> </w:t>
      </w:r>
      <w:r w:rsidRPr="00F00E47">
        <w:rPr>
          <w:rFonts w:cs="Tahoma"/>
        </w:rPr>
        <w:t xml:space="preserve">zahrnující </w:t>
      </w:r>
      <w:r w:rsidRPr="00F00E47">
        <w:rPr>
          <w:rFonts w:cs="Tahoma"/>
          <w:bCs/>
        </w:rPr>
        <w:t>technické a jiné vybavení nezbytné pro vykonávání VaV činností (např. stroje, přístroje, zařízení, dopravní prostředky, pěstitelské celky trvalých porostu apod.).</w:t>
      </w:r>
      <w:r w:rsidRPr="00F00E47">
        <w:rPr>
          <w:rFonts w:cs="Tahoma"/>
        </w:rPr>
        <w:t xml:space="preserve"> </w:t>
      </w:r>
    </w:p>
    <w:p w:rsidR="009D46E6" w:rsidRPr="00F00E47" w:rsidRDefault="009D46E6" w:rsidP="00355B4B">
      <w:pPr>
        <w:rPr>
          <w:rFonts w:cs="Tahoma"/>
        </w:rPr>
      </w:pPr>
      <w:r w:rsidRPr="00E64218">
        <w:rPr>
          <w:rFonts w:cs="Tahoma"/>
        </w:rPr>
        <w:t>Poznámka:</w:t>
      </w:r>
      <w:r w:rsidRPr="00F00E47">
        <w:rPr>
          <w:rFonts w:cs="Tahoma"/>
        </w:rPr>
        <w:t xml:space="preserve"> Zpravodajská jednotka by se měla pokusit zahrnout do investičních nákladů jen tu část, která bude použita na VaV. Pokud bude např. nově zakoupená budova sloužit ze třetiny VaV činnosti a zbylý prostor (čas) jiným činnostem (např. výuce, přednáškové činnosti atd.), uvede se do výdajů jen třetina pořizovací ceny budovy.</w:t>
      </w:r>
    </w:p>
    <w:p w:rsidR="009D46E6" w:rsidRPr="0056598C" w:rsidRDefault="009D46E6" w:rsidP="00355B4B">
      <w:pPr>
        <w:rPr>
          <w:rFonts w:cs="Tahoma"/>
        </w:rPr>
      </w:pPr>
      <w:r w:rsidRPr="0056598C">
        <w:rPr>
          <w:rFonts w:cs="Tahoma"/>
        </w:rPr>
        <w:t xml:space="preserve">Výše výdajů na VaV je </w:t>
      </w:r>
      <w:r w:rsidRPr="0056598C">
        <w:rPr>
          <w:rFonts w:cs="Tahoma"/>
          <w:bCs/>
        </w:rPr>
        <w:t>měřena:</w:t>
      </w:r>
    </w:p>
    <w:p w:rsidR="009D46E6" w:rsidRPr="00F00E47" w:rsidRDefault="009D46E6" w:rsidP="00473494">
      <w:pPr>
        <w:numPr>
          <w:ilvl w:val="0"/>
          <w:numId w:val="39"/>
        </w:numPr>
        <w:rPr>
          <w:rFonts w:cs="Tahoma"/>
        </w:rPr>
      </w:pPr>
      <w:r w:rsidRPr="0056598C">
        <w:rPr>
          <w:rFonts w:cs="Tahoma"/>
          <w:bCs/>
          <w:i/>
        </w:rPr>
        <w:t>v běžných cenách</w:t>
      </w:r>
      <w:r w:rsidRPr="00F00E47">
        <w:rPr>
          <w:rFonts w:cs="Tahoma"/>
          <w:b/>
          <w:bCs/>
        </w:rPr>
        <w:t xml:space="preserve"> </w:t>
      </w:r>
      <w:r w:rsidRPr="00F00E47">
        <w:rPr>
          <w:rFonts w:cs="Tahoma"/>
        </w:rPr>
        <w:t>- aktuální ceny zboží a služeb v daném roce</w:t>
      </w:r>
    </w:p>
    <w:p w:rsidR="009D46E6" w:rsidRPr="00F00E47" w:rsidRDefault="009D46E6" w:rsidP="00473494">
      <w:pPr>
        <w:numPr>
          <w:ilvl w:val="0"/>
          <w:numId w:val="39"/>
        </w:numPr>
        <w:rPr>
          <w:rFonts w:cs="Tahoma"/>
          <w:i/>
          <w:iCs/>
        </w:rPr>
      </w:pPr>
      <w:r w:rsidRPr="0056598C">
        <w:rPr>
          <w:rFonts w:cs="Tahoma"/>
          <w:bCs/>
          <w:i/>
        </w:rPr>
        <w:t>ve stálých cenách</w:t>
      </w:r>
      <w:r w:rsidRPr="00F00E47">
        <w:rPr>
          <w:rFonts w:cs="Tahoma"/>
          <w:b/>
          <w:bCs/>
        </w:rPr>
        <w:t xml:space="preserve">, </w:t>
      </w:r>
      <w:r w:rsidRPr="00F00E47">
        <w:rPr>
          <w:rFonts w:cs="Tahoma"/>
          <w:bCs/>
        </w:rPr>
        <w:t>jež</w:t>
      </w:r>
      <w:r w:rsidRPr="00F00E47">
        <w:rPr>
          <w:rFonts w:cs="Tahoma"/>
        </w:rPr>
        <w:t xml:space="preserve"> eliminují inflační znehodnocení.</w:t>
      </w:r>
      <w:r w:rsidRPr="00F00E47">
        <w:rPr>
          <w:rFonts w:cs="Tahoma"/>
          <w:b/>
          <w:bCs/>
        </w:rPr>
        <w:t xml:space="preserve"> </w:t>
      </w:r>
    </w:p>
    <w:p w:rsidR="009D46E6" w:rsidRPr="0056598C" w:rsidRDefault="009D46E6" w:rsidP="00355B4B">
      <w:pPr>
        <w:rPr>
          <w:rFonts w:cs="Tahoma"/>
        </w:rPr>
      </w:pPr>
      <w:r w:rsidRPr="0056598C">
        <w:rPr>
          <w:rFonts w:cs="Tahoma"/>
        </w:rPr>
        <w:t xml:space="preserve">Struktura výdajů za provedený VaV podle institucionálního hlediska.  Výše výdajů na prováděný VaV v jednotlivých sledovaných subjektech či sektorech provádění VaV je </w:t>
      </w:r>
      <w:r w:rsidRPr="0056598C">
        <w:rPr>
          <w:rFonts w:cs="Tahoma"/>
          <w:bCs/>
        </w:rPr>
        <w:t>sledován</w:t>
      </w:r>
      <w:r w:rsidRPr="0056598C">
        <w:rPr>
          <w:rFonts w:cs="Tahoma"/>
        </w:rPr>
        <w:t xml:space="preserve"> podle následujících charakteristik: </w:t>
      </w:r>
    </w:p>
    <w:p w:rsidR="009D46E6" w:rsidRPr="00F00E47" w:rsidRDefault="009D46E6" w:rsidP="00473494">
      <w:pPr>
        <w:numPr>
          <w:ilvl w:val="0"/>
          <w:numId w:val="39"/>
        </w:numPr>
        <w:rPr>
          <w:rFonts w:cs="Tahoma"/>
        </w:rPr>
      </w:pPr>
      <w:r w:rsidRPr="0056598C">
        <w:rPr>
          <w:rFonts w:cs="Tahoma"/>
          <w:bCs/>
          <w:i/>
        </w:rPr>
        <w:t>zdrojů financování VaV činností</w:t>
      </w:r>
      <w:r w:rsidRPr="00F00E47">
        <w:rPr>
          <w:rFonts w:cs="Tahoma"/>
          <w:b/>
          <w:bCs/>
        </w:rPr>
        <w:t xml:space="preserve"> </w:t>
      </w:r>
      <w:r w:rsidRPr="00F00E47">
        <w:rPr>
          <w:rFonts w:cs="Tahoma"/>
        </w:rPr>
        <w:t>- rozlišujeme tři základní sektory financování VaV:</w:t>
      </w:r>
    </w:p>
    <w:p w:rsidR="009D46E6" w:rsidRPr="00F00E47" w:rsidRDefault="009D46E6" w:rsidP="00473494">
      <w:pPr>
        <w:numPr>
          <w:ilvl w:val="0"/>
          <w:numId w:val="40"/>
        </w:numPr>
        <w:rPr>
          <w:rFonts w:cs="Tahoma"/>
          <w:b/>
          <w:bCs/>
        </w:rPr>
      </w:pPr>
      <w:r w:rsidRPr="00F00E47">
        <w:rPr>
          <w:rFonts w:cs="Tahoma"/>
        </w:rPr>
        <w:t xml:space="preserve">podnikatelský - </w:t>
      </w:r>
      <w:r w:rsidRPr="0056598C">
        <w:rPr>
          <w:rFonts w:cs="Tahoma"/>
          <w:bCs/>
          <w:i/>
        </w:rPr>
        <w:t>soukromé podnikatelské zdroje</w:t>
      </w:r>
      <w:r w:rsidRPr="00F00E47">
        <w:rPr>
          <w:rFonts w:cs="Tahoma"/>
        </w:rPr>
        <w:t xml:space="preserve">, jež tvoří vlastní zdroje sledovaných podniků určené na u nich prováděný VaV a podnikatelské zdroje ekonomických subjektů působících na území daného státu určené na VaV prováděný v jiných podnicích či na vysokých školách nebo veřejných výzkumných institucích. </w:t>
      </w:r>
      <w:r w:rsidRPr="00F00E47">
        <w:rPr>
          <w:rFonts w:cs="Tahoma"/>
          <w:i/>
          <w:iCs/>
        </w:rPr>
        <w:t>U vládního a vysokoškolského sektoru zahrnuje financování z podnikatelských zdrojů především příjmy z prodejů služeb VaV (zakázky na VaV) a příjmy z licenčních poplatků za nehmotné výsledky VaV.</w:t>
      </w:r>
    </w:p>
    <w:p w:rsidR="009D46E6" w:rsidRPr="0056598C" w:rsidRDefault="009D46E6" w:rsidP="00473494">
      <w:pPr>
        <w:numPr>
          <w:ilvl w:val="0"/>
          <w:numId w:val="40"/>
        </w:numPr>
        <w:rPr>
          <w:rFonts w:cs="Tahoma"/>
          <w:i/>
          <w:iCs/>
          <w:lang w:eastAsia="cs-CZ"/>
        </w:rPr>
      </w:pPr>
      <w:r w:rsidRPr="00F00E47">
        <w:rPr>
          <w:rFonts w:cs="Tahoma"/>
        </w:rPr>
        <w:t>vládní bez vysokých škol -</w:t>
      </w:r>
      <w:r w:rsidRPr="00F00E47">
        <w:rPr>
          <w:rFonts w:cs="Tahoma"/>
          <w:b/>
          <w:bCs/>
        </w:rPr>
        <w:t xml:space="preserve"> </w:t>
      </w:r>
      <w:r w:rsidRPr="0056598C">
        <w:rPr>
          <w:rFonts w:cs="Tahoma"/>
          <w:bCs/>
          <w:i/>
        </w:rPr>
        <w:t>veřejné prostředky</w:t>
      </w:r>
      <w:r w:rsidRPr="00F00E47">
        <w:rPr>
          <w:rFonts w:cs="Tahoma"/>
          <w:b/>
          <w:bCs/>
        </w:rPr>
        <w:t xml:space="preserve"> </w:t>
      </w:r>
      <w:r w:rsidRPr="00F00E47">
        <w:rPr>
          <w:rFonts w:cs="Tahoma"/>
        </w:rPr>
        <w:t>(institucionální či účelové)</w:t>
      </w:r>
      <w:r w:rsidRPr="00F00E47">
        <w:rPr>
          <w:rFonts w:cs="Tahoma"/>
          <w:b/>
          <w:bCs/>
        </w:rPr>
        <w:t xml:space="preserve"> </w:t>
      </w:r>
      <w:r w:rsidRPr="00F00E47">
        <w:rPr>
          <w:rFonts w:cs="Tahoma"/>
        </w:rPr>
        <w:t>pocházející ze</w:t>
      </w:r>
      <w:r w:rsidRPr="00F00E47">
        <w:rPr>
          <w:rFonts w:cs="Tahoma"/>
          <w:b/>
          <w:bCs/>
        </w:rPr>
        <w:t xml:space="preserve"> </w:t>
      </w:r>
      <w:r w:rsidRPr="0056598C">
        <w:rPr>
          <w:rFonts w:cs="Tahoma"/>
          <w:bCs/>
        </w:rPr>
        <w:t xml:space="preserve">státního rozpočtu </w:t>
      </w:r>
      <w:r w:rsidRPr="0056598C">
        <w:rPr>
          <w:rFonts w:cs="Tahoma"/>
        </w:rPr>
        <w:t>nebo</w:t>
      </w:r>
      <w:r w:rsidRPr="0056598C">
        <w:rPr>
          <w:rFonts w:cs="Tahoma"/>
          <w:bCs/>
        </w:rPr>
        <w:t xml:space="preserve"> rozpočtu krajů </w:t>
      </w:r>
      <w:r w:rsidRPr="0056598C">
        <w:rPr>
          <w:rFonts w:cs="Tahoma"/>
        </w:rPr>
        <w:t>určené na VaV prováděný na území ČR.</w:t>
      </w:r>
      <w:r w:rsidRPr="0056598C">
        <w:rPr>
          <w:rFonts w:cs="Tahoma"/>
          <w:bCs/>
        </w:rPr>
        <w:t xml:space="preserve"> </w:t>
      </w:r>
    </w:p>
    <w:p w:rsidR="009D46E6" w:rsidRPr="0056598C" w:rsidRDefault="009D46E6" w:rsidP="00473494">
      <w:pPr>
        <w:numPr>
          <w:ilvl w:val="0"/>
          <w:numId w:val="40"/>
        </w:numPr>
        <w:rPr>
          <w:rFonts w:cs="Tahoma"/>
          <w:iCs/>
          <w:lang w:eastAsia="cs-CZ"/>
        </w:rPr>
      </w:pPr>
      <w:r w:rsidRPr="00F00E47">
        <w:rPr>
          <w:rFonts w:cs="Tahoma"/>
        </w:rPr>
        <w:t>zahraničí</w:t>
      </w:r>
      <w:r w:rsidRPr="00F00E47">
        <w:rPr>
          <w:rFonts w:cs="Tahoma"/>
          <w:b/>
          <w:bCs/>
        </w:rPr>
        <w:t xml:space="preserve"> - </w:t>
      </w:r>
      <w:r w:rsidRPr="0056598C">
        <w:rPr>
          <w:rFonts w:cs="Tahoma"/>
          <w:bCs/>
          <w:i/>
        </w:rPr>
        <w:t>zahraniční zdroje</w:t>
      </w:r>
      <w:r w:rsidRPr="00F00E47">
        <w:rPr>
          <w:rFonts w:cs="Tahoma"/>
          <w:b/>
          <w:bCs/>
        </w:rPr>
        <w:t xml:space="preserve"> </w:t>
      </w:r>
      <w:r w:rsidRPr="00F00E47">
        <w:rPr>
          <w:rFonts w:cs="Tahoma"/>
        </w:rPr>
        <w:t>zahrnující veškeré finanční prostředky na VaV poskytnuté ze zahraničí</w:t>
      </w:r>
      <w:r w:rsidRPr="00F00E47">
        <w:rPr>
          <w:rFonts w:cs="Tahoma"/>
          <w:i/>
          <w:iCs/>
        </w:rPr>
        <w:t xml:space="preserve">. </w:t>
      </w:r>
      <w:r w:rsidRPr="0056598C">
        <w:rPr>
          <w:rFonts w:cs="Tahoma"/>
          <w:iCs/>
        </w:rPr>
        <w:t xml:space="preserve">V případě ČR sem patří především zdroje mezinárodních organizací (Evropská unie, NATO aj.) včetně jejich zařízení a provozů uvnitř hranic země a zdroje mateřských podniků financujících VaV v jejich zahraničních afilacích v ČR.  </w:t>
      </w:r>
    </w:p>
    <w:p w:rsidR="009D46E6" w:rsidRPr="0056598C" w:rsidRDefault="009D46E6" w:rsidP="00355B4B">
      <w:pPr>
        <w:ind w:left="357"/>
        <w:rPr>
          <w:rFonts w:cs="Tahoma"/>
          <w:iCs/>
        </w:rPr>
      </w:pPr>
      <w:r w:rsidRPr="0056598C">
        <w:rPr>
          <w:rFonts w:cs="Tahoma"/>
          <w:iCs/>
        </w:rPr>
        <w:t xml:space="preserve">Kromě výše uvedených hlavních zdrojů se na financování VaV podílejí i </w:t>
      </w:r>
      <w:r w:rsidRPr="0056598C">
        <w:rPr>
          <w:rFonts w:cs="Tahoma"/>
          <w:bCs/>
          <w:i/>
          <w:iCs/>
        </w:rPr>
        <w:t>ostatní národní zdroje</w:t>
      </w:r>
      <w:r w:rsidRPr="0056598C">
        <w:rPr>
          <w:rFonts w:cs="Tahoma"/>
          <w:iCs/>
        </w:rPr>
        <w:t>, které tvoří</w:t>
      </w:r>
      <w:r w:rsidRPr="0056598C">
        <w:rPr>
          <w:rFonts w:cs="Tahoma"/>
          <w:bCs/>
          <w:iCs/>
        </w:rPr>
        <w:t xml:space="preserve"> </w:t>
      </w:r>
      <w:r w:rsidRPr="0056598C">
        <w:rPr>
          <w:rFonts w:cs="Tahoma"/>
          <w:iCs/>
        </w:rPr>
        <w:t>vlastní příjmy vysokých škol a soukromých neziskových institucí nepocházející ze státního rozpočtu, podnikatelského sektoru nebo ze zahraničí. Tyto zdroje jsou v rámci celkových výdajů na VaV u nás zanedbatelné.</w:t>
      </w:r>
    </w:p>
    <w:p w:rsidR="009D46E6" w:rsidRPr="00F00E47" w:rsidRDefault="009D46E6" w:rsidP="00473494">
      <w:pPr>
        <w:numPr>
          <w:ilvl w:val="0"/>
          <w:numId w:val="39"/>
        </w:numPr>
        <w:ind w:left="0" w:firstLine="0"/>
        <w:rPr>
          <w:rFonts w:cs="Tahoma"/>
        </w:rPr>
      </w:pPr>
      <w:r w:rsidRPr="0056598C">
        <w:rPr>
          <w:rFonts w:cs="Tahoma"/>
          <w:bCs/>
          <w:i/>
        </w:rPr>
        <w:t>funkční hledisko</w:t>
      </w:r>
      <w:r w:rsidRPr="00F00E47">
        <w:rPr>
          <w:rFonts w:cs="Tahoma"/>
          <w:b/>
          <w:bCs/>
        </w:rPr>
        <w:t xml:space="preserve"> </w:t>
      </w:r>
      <w:r w:rsidRPr="00F00E47">
        <w:rPr>
          <w:rFonts w:cs="Tahoma"/>
        </w:rPr>
        <w:t xml:space="preserve">vynaložených prostředků na vlastní VaV jež zahrnuje: </w:t>
      </w:r>
    </w:p>
    <w:p w:rsidR="009D46E6" w:rsidRPr="00F00E47" w:rsidRDefault="009D46E6" w:rsidP="00473494">
      <w:pPr>
        <w:numPr>
          <w:ilvl w:val="0"/>
          <w:numId w:val="40"/>
        </w:numPr>
        <w:ind w:left="714" w:hanging="357"/>
        <w:rPr>
          <w:rFonts w:cs="Tahoma"/>
        </w:rPr>
      </w:pPr>
      <w:r w:rsidRPr="0056598C">
        <w:rPr>
          <w:rFonts w:cs="Tahoma"/>
          <w:bCs/>
          <w:i/>
        </w:rPr>
        <w:t>druh nákladů na VaV</w:t>
      </w:r>
      <w:r w:rsidRPr="00F00E47">
        <w:rPr>
          <w:rFonts w:cs="Tahoma"/>
          <w:b/>
          <w:bCs/>
        </w:rPr>
        <w:t xml:space="preserve"> </w:t>
      </w:r>
      <w:r w:rsidRPr="00F00E47">
        <w:rPr>
          <w:rFonts w:cs="Tahoma"/>
        </w:rPr>
        <w:t>(mzdové, ostatní běžné a investiční)</w:t>
      </w:r>
    </w:p>
    <w:p w:rsidR="009D46E6" w:rsidRPr="00F00E47" w:rsidRDefault="009D46E6" w:rsidP="00473494">
      <w:pPr>
        <w:numPr>
          <w:ilvl w:val="0"/>
          <w:numId w:val="40"/>
        </w:numPr>
        <w:ind w:left="714" w:hanging="357"/>
        <w:rPr>
          <w:rFonts w:cs="Tahoma"/>
        </w:rPr>
      </w:pPr>
      <w:r w:rsidRPr="0056598C">
        <w:rPr>
          <w:rFonts w:cs="Tahoma"/>
          <w:bCs/>
          <w:i/>
        </w:rPr>
        <w:t>typ VaV činnosti</w:t>
      </w:r>
      <w:r w:rsidRPr="00F00E47">
        <w:rPr>
          <w:rFonts w:cs="Tahoma"/>
          <w:b/>
          <w:bCs/>
        </w:rPr>
        <w:t xml:space="preserve"> </w:t>
      </w:r>
      <w:r w:rsidRPr="00F00E47">
        <w:rPr>
          <w:rFonts w:cs="Tahoma"/>
        </w:rPr>
        <w:t xml:space="preserve">(základní výzkum, aplikovaný výzkum a experimentální vývoj) </w:t>
      </w:r>
    </w:p>
    <w:p w:rsidR="009D46E6" w:rsidRPr="00F00E47" w:rsidRDefault="009D46E6" w:rsidP="00473494">
      <w:pPr>
        <w:numPr>
          <w:ilvl w:val="0"/>
          <w:numId w:val="40"/>
        </w:numPr>
        <w:ind w:left="714" w:hanging="357"/>
        <w:rPr>
          <w:rFonts w:cs="Tahoma"/>
        </w:rPr>
      </w:pPr>
      <w:r w:rsidRPr="0056598C">
        <w:rPr>
          <w:rFonts w:cs="Tahoma"/>
          <w:bCs/>
          <w:i/>
        </w:rPr>
        <w:t>převažující skupina vědních oblastí</w:t>
      </w:r>
      <w:r w:rsidRPr="00F00E47">
        <w:rPr>
          <w:rFonts w:cs="Tahoma"/>
        </w:rPr>
        <w:t xml:space="preserve"> (přírodní, technické, zemědělské, lékařské, sociální a humanitní vědy)</w:t>
      </w:r>
    </w:p>
    <w:p w:rsidR="009D46E6" w:rsidRPr="00F00E47" w:rsidRDefault="009D46E6" w:rsidP="00355B4B">
      <w:pPr>
        <w:pStyle w:val="BodyText2"/>
        <w:spacing w:line="264" w:lineRule="auto"/>
        <w:rPr>
          <w:rFonts w:cs="Tahoma"/>
          <w:bCs/>
          <w:iCs/>
        </w:rPr>
      </w:pPr>
      <w:r w:rsidRPr="0056598C">
        <w:rPr>
          <w:rFonts w:cs="Tahoma"/>
          <w:bCs/>
          <w:i/>
          <w:iCs/>
        </w:rPr>
        <w:t>Nákupy služeb VaV od jiných subjektů</w:t>
      </w:r>
      <w:r w:rsidRPr="00F00E47">
        <w:rPr>
          <w:rFonts w:cs="Tahoma"/>
          <w:b/>
          <w:bCs/>
          <w:iCs/>
          <w:u w:val="single"/>
        </w:rPr>
        <w:t xml:space="preserve"> </w:t>
      </w:r>
      <w:r w:rsidRPr="00F00E47">
        <w:rPr>
          <w:rFonts w:cs="Tahoma"/>
          <w:bCs/>
          <w:iCs/>
        </w:rPr>
        <w:t>se zjišťují od roku 2008 jako součást šetření VTR 5-01.</w:t>
      </w:r>
      <w:r w:rsidRPr="00F00E47">
        <w:rPr>
          <w:rFonts w:cs="Tahoma"/>
          <w:b/>
          <w:bCs/>
          <w:iCs/>
        </w:rPr>
        <w:t xml:space="preserve"> </w:t>
      </w:r>
      <w:r w:rsidRPr="00F00E47">
        <w:rPr>
          <w:rFonts w:cs="Tahoma"/>
          <w:bCs/>
          <w:iCs/>
        </w:rPr>
        <w:t>Nákupy služeb VaV</w:t>
      </w:r>
      <w:r w:rsidRPr="00F00E47">
        <w:rPr>
          <w:rFonts w:cs="Tahoma"/>
          <w:b/>
          <w:bCs/>
          <w:iCs/>
        </w:rPr>
        <w:t xml:space="preserve"> </w:t>
      </w:r>
      <w:r w:rsidRPr="00F00E47">
        <w:rPr>
          <w:rFonts w:cs="Tahoma"/>
          <w:bCs/>
          <w:iCs/>
        </w:rPr>
        <w:t xml:space="preserve">zahrnují veškeré výdaje na služby VaV provedené jiným subjektem na zakázku. Výdaje jsou členěny podle subjektů, od kterých byly služby VaV nakoupeny a podle území, kam výdaje směřovaly (ČR, zahraničí). </w:t>
      </w:r>
    </w:p>
    <w:p w:rsidR="009D46E6" w:rsidRPr="0056598C" w:rsidRDefault="009D46E6" w:rsidP="00355B4B">
      <w:pPr>
        <w:pBdr>
          <w:top w:val="single" w:sz="4" w:space="1" w:color="auto"/>
          <w:left w:val="single" w:sz="4" w:space="4" w:color="auto"/>
          <w:bottom w:val="single" w:sz="4" w:space="1" w:color="auto"/>
          <w:right w:val="single" w:sz="4" w:space="4" w:color="auto"/>
        </w:pBdr>
        <w:rPr>
          <w:rFonts w:cs="Tahoma"/>
        </w:rPr>
      </w:pPr>
      <w:r w:rsidRPr="0056598C">
        <w:rPr>
          <w:rFonts w:cs="Tahoma"/>
        </w:rPr>
        <w:t>V roce 2013 proběhla mimořádná revize dat za oblast výzkumu a vývoje. Jednalo se zejména o zpětnou kontrolu správného metodologického rozlišení nákladů na provedený VaV a nákladů na služby VaV (výdajů za VaV provedený pro sledovanou jednotku jiným subjektem). Z tohoto důvodu se některé údaje za období 2005–2011 liší od údajů uváděných v předchozích letech.</w:t>
      </w:r>
    </w:p>
    <w:p w:rsidR="009D46E6" w:rsidRPr="002E3AE4" w:rsidRDefault="009D46E6" w:rsidP="00355B4B">
      <w:pPr>
        <w:pStyle w:val="BodyText2"/>
        <w:spacing w:line="264" w:lineRule="auto"/>
        <w:rPr>
          <w:rFonts w:cs="Tahoma"/>
          <w:i/>
          <w:sz w:val="16"/>
          <w:szCs w:val="16"/>
        </w:rPr>
      </w:pPr>
      <w:r w:rsidRPr="002E3AE4">
        <w:rPr>
          <w:rFonts w:cs="Tahoma"/>
          <w:i/>
        </w:rPr>
        <w:t>Podrobné informace jsou k dispozici na:</w:t>
      </w:r>
      <w:r>
        <w:rPr>
          <w:rFonts w:cs="Tahoma"/>
          <w:i/>
        </w:rPr>
        <w:t xml:space="preserve"> </w:t>
      </w:r>
      <w:hyperlink r:id="rId264" w:history="1">
        <w:r w:rsidRPr="002E3AE4">
          <w:rPr>
            <w:rStyle w:val="Hyperlink"/>
            <w:rFonts w:cs="Tahoma"/>
            <w:i/>
            <w:sz w:val="16"/>
            <w:szCs w:val="16"/>
          </w:rPr>
          <w:t>http://www.czso.cz/csu/redakce.nsf/i/statistika_vyzkumu_a_vyvoje</w:t>
        </w:r>
      </w:hyperlink>
      <w:r w:rsidRPr="002E3AE4">
        <w:rPr>
          <w:rFonts w:cs="Tahoma"/>
          <w:i/>
          <w:sz w:val="16"/>
          <w:szCs w:val="16"/>
        </w:rPr>
        <w:t xml:space="preserve"> </w:t>
      </w:r>
    </w:p>
    <w:p w:rsidR="009D46E6" w:rsidRPr="0056598C" w:rsidRDefault="009D46E6" w:rsidP="00397DAB">
      <w:pPr>
        <w:pStyle w:val="Heading4"/>
      </w:pPr>
      <w:r w:rsidRPr="0056598C">
        <w:t>A.2 Přímá podpora výzkumu a vývoje ze státního rozpočtu</w:t>
      </w:r>
    </w:p>
    <w:p w:rsidR="009D46E6" w:rsidRPr="0056598C" w:rsidRDefault="009D46E6" w:rsidP="00FE4AA7">
      <w:pPr>
        <w:rPr>
          <w:rFonts w:cs="Tahoma"/>
        </w:rPr>
      </w:pPr>
      <w:r w:rsidRPr="0056598C">
        <w:rPr>
          <w:rFonts w:cs="Tahoma"/>
          <w:bCs/>
        </w:rPr>
        <w:t>Údaje o přímé podpoře výzkumu a vývoje ze státního rozpočtu ČR byly zpracovány ČSÚ v rámci  Roční statistické úlohy GBAORD</w:t>
      </w:r>
      <w:r w:rsidRPr="0056598C">
        <w:rPr>
          <w:rFonts w:cs="Tahoma"/>
        </w:rPr>
        <w:t xml:space="preserve"> (Government Budget Appropriations or Outlays for R&amp;D) neboli v českém ekvivalentu „Státní rozpočtové výdaje a dotace na VaV“. </w:t>
      </w:r>
      <w:r w:rsidRPr="0056598C">
        <w:rPr>
          <w:rFonts w:cs="Tahoma"/>
          <w:bCs/>
        </w:rPr>
        <w:t xml:space="preserve">Cílem této úlohy </w:t>
      </w:r>
      <w:r w:rsidRPr="0056598C">
        <w:rPr>
          <w:rFonts w:cs="Tahoma"/>
        </w:rPr>
        <w:t xml:space="preserve">je zabezpečení údajů o státní podpoře VaV plynoucí z veřejných rozpočtů v členění podle </w:t>
      </w:r>
      <w:r w:rsidRPr="0056598C">
        <w:rPr>
          <w:rFonts w:cs="Tahoma"/>
          <w:bCs/>
        </w:rPr>
        <w:t>socioekonomických cílů</w:t>
      </w:r>
      <w:r w:rsidRPr="0056598C">
        <w:rPr>
          <w:rFonts w:cs="Tahoma"/>
        </w:rPr>
        <w:t>, neboli identifikace stěžejních oblasti VaV, do kterých je státní podpora VaV směřována. Údaje z této statistiky slouží v členských zemích EU taky jako podpora pro rozhodování, do jakých oblastí VaV by mělo být v následujících letech investováno.</w:t>
      </w:r>
    </w:p>
    <w:p w:rsidR="009D46E6" w:rsidRPr="0056598C" w:rsidRDefault="009D46E6" w:rsidP="00FE4AA7">
      <w:pPr>
        <w:rPr>
          <w:rFonts w:cs="Tahoma"/>
        </w:rPr>
      </w:pPr>
      <w:r w:rsidRPr="0056598C">
        <w:rPr>
          <w:rFonts w:cs="Tahoma"/>
        </w:rPr>
        <w:t xml:space="preserve">Statistická úloha GBAORD je v rámci Evropské unie organizována jako </w:t>
      </w:r>
      <w:r w:rsidRPr="0056598C">
        <w:rPr>
          <w:rFonts w:cs="Tahoma"/>
          <w:bCs/>
        </w:rPr>
        <w:t>povinné zjišťování</w:t>
      </w:r>
      <w:r w:rsidRPr="0056598C">
        <w:rPr>
          <w:rFonts w:cs="Tahoma"/>
        </w:rPr>
        <w:t xml:space="preserve"> na základě legislativního aktu Prováděcího </w:t>
      </w:r>
      <w:r w:rsidRPr="0056598C">
        <w:rPr>
          <w:rFonts w:cs="Tahoma"/>
          <w:bCs/>
        </w:rPr>
        <w:t>nařízení Komise (EU) č. 995/2012</w:t>
      </w:r>
      <w:r w:rsidRPr="0056598C">
        <w:rPr>
          <w:rFonts w:cs="Tahoma"/>
        </w:rPr>
        <w:t xml:space="preserve">, kterým se provádí rozhodnutí Evropského parlamentu a Rady č.1608/2003/ES upravující statistiku oblasti vědy a technologií především v oblasti výzkumu a vývoje. </w:t>
      </w:r>
      <w:r w:rsidRPr="0056598C">
        <w:rPr>
          <w:rFonts w:cs="Tahoma"/>
          <w:bCs/>
        </w:rPr>
        <w:t>Platná metodika</w:t>
      </w:r>
      <w:r w:rsidRPr="0056598C">
        <w:rPr>
          <w:rFonts w:cs="Tahoma"/>
        </w:rPr>
        <w:t xml:space="preserve"> vztažená k této úloze je rozvedena v mezinárodní příručce „Navrhované standardní praxe průzkumů VaV“ známé pod zkráceným názvem </w:t>
      </w:r>
      <w:r w:rsidRPr="0056598C">
        <w:rPr>
          <w:rFonts w:cs="Tahoma"/>
          <w:bCs/>
        </w:rPr>
        <w:t>Frascati manuál (OECD, 2002 – 6. vydání</w:t>
      </w:r>
      <w:r w:rsidRPr="0056598C">
        <w:rPr>
          <w:rFonts w:cs="Tahoma"/>
        </w:rPr>
        <w:t xml:space="preserve">). Vlastní číselník kódů socioekonomických směrů (cílů) lze nalézt v </w:t>
      </w:r>
      <w:r w:rsidRPr="0056598C">
        <w:rPr>
          <w:rFonts w:cs="Tahoma"/>
          <w:bCs/>
        </w:rPr>
        <w:t>klasifikaci NABS</w:t>
      </w:r>
      <w:r w:rsidRPr="0056598C">
        <w:rPr>
          <w:rFonts w:cs="Tahoma"/>
        </w:rPr>
        <w:t xml:space="preserve"> (EUROSTAT, 1992, 2007): „Nomenklatura pro analýzu a srovnání vědeckých programů a rozpočtů“. </w:t>
      </w:r>
    </w:p>
    <w:p w:rsidR="009D46E6" w:rsidRPr="0056598C" w:rsidRDefault="009D46E6" w:rsidP="00FE4AA7">
      <w:pPr>
        <w:spacing w:before="120"/>
        <w:rPr>
          <w:rFonts w:cs="Tahoma"/>
          <w:i/>
          <w:u w:val="single"/>
        </w:rPr>
      </w:pPr>
      <w:r w:rsidRPr="0056598C">
        <w:rPr>
          <w:rFonts w:cs="Tahoma"/>
          <w:i/>
          <w:u w:val="single"/>
        </w:rPr>
        <w:t>Realizace statistické úlohy GBAORD v České republice</w:t>
      </w:r>
    </w:p>
    <w:p w:rsidR="009D46E6" w:rsidRDefault="009D46E6" w:rsidP="00FE4AA7">
      <w:pPr>
        <w:rPr>
          <w:rFonts w:cs="Tahoma"/>
        </w:rPr>
      </w:pPr>
      <w:r w:rsidRPr="0056598C">
        <w:rPr>
          <w:rFonts w:cs="Tahoma"/>
        </w:rPr>
        <w:t xml:space="preserve">Statistická úloha GBAORD je v podmínkách ČR každoročně realizována ČSÚ </w:t>
      </w:r>
      <w:r w:rsidRPr="0056598C">
        <w:rPr>
          <w:rFonts w:cs="Tahoma"/>
          <w:bCs/>
        </w:rPr>
        <w:t>ve spolupráci</w:t>
      </w:r>
      <w:r w:rsidRPr="0056598C">
        <w:rPr>
          <w:rFonts w:cs="Tahoma"/>
        </w:rPr>
        <w:t xml:space="preserve"> s Radou pro výzkum, vývoj a inovace (dále jen RVVI) prostřednictvím Informačního systému výzkumu, experimentálního vývoje a inovací (dále jen "IS VaVaI") a jeho integrovaných databází. Z integrovaných databází IS VaVaI jsou pro zabezpečení projektu GBAORD využity databáze CEP (Centrální evidence projektů VaV) a CEZ (Centrální evidence výzkumných záměrů). Doplňkově jsou</w:t>
      </w:r>
      <w:r w:rsidRPr="00F00E47">
        <w:rPr>
          <w:rFonts w:cs="Tahoma"/>
        </w:rPr>
        <w:t xml:space="preserve"> použity údaje z oddělení přípravy rozpočtu úseku RVVI. </w:t>
      </w:r>
    </w:p>
    <w:p w:rsidR="009D46E6" w:rsidRPr="00355B4B" w:rsidRDefault="009D46E6" w:rsidP="00FE4AA7">
      <w:pPr>
        <w:rPr>
          <w:rFonts w:cs="Tahoma"/>
          <w:i/>
          <w:sz w:val="16"/>
          <w:szCs w:val="16"/>
        </w:rPr>
      </w:pPr>
      <w:r w:rsidRPr="00355B4B">
        <w:rPr>
          <w:rFonts w:cs="Tahoma"/>
          <w:i/>
        </w:rPr>
        <w:t xml:space="preserve">Více informací k IS VaVaI je k dispozici na: </w:t>
      </w:r>
      <w:hyperlink r:id="rId265" w:history="1">
        <w:r w:rsidRPr="00355B4B">
          <w:rPr>
            <w:rStyle w:val="Hyperlink"/>
            <w:rFonts w:cs="Tahoma"/>
            <w:i/>
            <w:sz w:val="16"/>
            <w:szCs w:val="16"/>
          </w:rPr>
          <w:t>http://www.isvav.cz/</w:t>
        </w:r>
      </w:hyperlink>
      <w:r w:rsidRPr="00355B4B">
        <w:rPr>
          <w:rStyle w:val="Hyperlink"/>
          <w:rFonts w:cs="Tahoma"/>
          <w:i/>
          <w:sz w:val="16"/>
          <w:szCs w:val="16"/>
        </w:rPr>
        <w:t>,</w:t>
      </w:r>
      <w:r w:rsidRPr="00355B4B">
        <w:rPr>
          <w:rFonts w:cs="Tahoma"/>
          <w:i/>
          <w:sz w:val="16"/>
          <w:szCs w:val="16"/>
        </w:rPr>
        <w:t xml:space="preserve"> </w:t>
      </w:r>
      <w:hyperlink r:id="rId266" w:history="1">
        <w:r w:rsidRPr="00355B4B">
          <w:rPr>
            <w:rStyle w:val="Hyperlink"/>
            <w:rFonts w:cs="Tahoma"/>
            <w:i/>
            <w:sz w:val="16"/>
            <w:szCs w:val="16"/>
          </w:rPr>
          <w:t>http://www.vyzkum.cz/FrontClanek.aspx?idsekce=610</w:t>
        </w:r>
      </w:hyperlink>
      <w:r w:rsidRPr="00355B4B">
        <w:rPr>
          <w:rFonts w:cs="Tahoma"/>
          <w:i/>
          <w:sz w:val="16"/>
          <w:szCs w:val="16"/>
        </w:rPr>
        <w:t xml:space="preserve"> </w:t>
      </w:r>
    </w:p>
    <w:p w:rsidR="009D46E6" w:rsidRPr="00F00E47" w:rsidRDefault="009D46E6" w:rsidP="00FE4AA7">
      <w:pPr>
        <w:rPr>
          <w:rFonts w:cs="Tahoma"/>
        </w:rPr>
      </w:pPr>
      <w:r w:rsidRPr="00F00E47">
        <w:rPr>
          <w:rFonts w:cs="Tahoma"/>
        </w:rPr>
        <w:t xml:space="preserve">Jelikož IS VaVaI neobsahuje všechny finanční částky poskytnuté na VaV ze státního rozpočtu ČR musí být detailní údaje o poplatcích a příspěvcích na mezinárodní programy VaV získány ČSÚ v součinnosti s Ministerstvem školství, mládeže a tělovýchovy (dále jen MŠMT) a údaje o specifickém výzkumu prováděném na veřejných vysokých školách v členění podle vědních oblastí přímo od jednotlivých vysokých škol. </w:t>
      </w:r>
    </w:p>
    <w:p w:rsidR="009D46E6" w:rsidRPr="00F00E47" w:rsidRDefault="009D46E6" w:rsidP="00FE4AA7">
      <w:pPr>
        <w:rPr>
          <w:rFonts w:cs="Tahoma"/>
        </w:rPr>
      </w:pPr>
      <w:r w:rsidRPr="00F00E47">
        <w:rPr>
          <w:rFonts w:cs="Tahoma"/>
        </w:rPr>
        <w:t xml:space="preserve">Vlastní zpracování údajů a přiřazení kódů socioekonomických směrů (dále jen SEO) dle číselníku NABS provádí přímo pracovníci ČSÚ na úrovni 3místného členění SEO. Zpracování probíhá u běžících projektů, které pokračují i v následujícím roce, programově a u nově přihlášených projektů manuálně podle předem stanoveného klasifikačního klíče vytvořeného na základě struktury databází CEP a CEZ. </w:t>
      </w:r>
    </w:p>
    <w:p w:rsidR="009D46E6" w:rsidRPr="00F00E47" w:rsidRDefault="009D46E6" w:rsidP="00FE4AA7">
      <w:pPr>
        <w:rPr>
          <w:rFonts w:cs="Tahoma"/>
        </w:rPr>
      </w:pPr>
      <w:r w:rsidRPr="00F00E47">
        <w:rPr>
          <w:rFonts w:cs="Tahoma"/>
        </w:rPr>
        <w:t>Při určení celkové přímé podpory VaV z veřejných rozpočtů se vychází z výdajů schválených v zákoně o státním rozpočtu pro dané fiskální období (předběžné údaje) a výdajů závěrečného státního účtu pro oblast VaV (konečné údaje) poskytnutých Ministerstvem financí ČR. Veřejnými rozpočty jsou v tomto případě míněny státní rozpočet a rozpočty krajů. Státní rozpočet je zahrnut vždy, krajské rozpočty pouze v případě, že jejich příspěvek je významný. Rozpočty na úrovni místní samosprávy, tj. města a obce jsou vyloučeny.</w:t>
      </w:r>
      <w:r w:rsidRPr="00F00E47">
        <w:rPr>
          <w:rFonts w:cs="Tahoma"/>
          <w:bCs/>
        </w:rPr>
        <w:t xml:space="preserve"> Z veřejných prostředků na VaV je </w:t>
      </w:r>
      <w:r w:rsidRPr="00F00E47">
        <w:rPr>
          <w:rFonts w:cs="Tahoma"/>
        </w:rPr>
        <w:t xml:space="preserve">dle platné mezinárodní metodiky </w:t>
      </w:r>
      <w:r w:rsidRPr="00F00E47">
        <w:rPr>
          <w:rFonts w:cs="Tahoma"/>
          <w:bCs/>
        </w:rPr>
        <w:t>vyloučena podpora VaV realizovaná pomocí návratných půjček, p</w:t>
      </w:r>
      <w:r w:rsidRPr="00F00E47">
        <w:rPr>
          <w:rFonts w:cs="Tahoma"/>
        </w:rPr>
        <w:t>ředfinancování programů EU krytých příjmy z Evropské unie a podpora inovací.</w:t>
      </w:r>
    </w:p>
    <w:p w:rsidR="009D46E6" w:rsidRPr="00355B4B" w:rsidRDefault="009D46E6" w:rsidP="00355B4B">
      <w:pPr>
        <w:rPr>
          <w:rFonts w:cs="Tahoma"/>
        </w:rPr>
      </w:pPr>
      <w:r w:rsidRPr="00355B4B">
        <w:rPr>
          <w:rFonts w:cs="Tahoma"/>
        </w:rPr>
        <w:t xml:space="preserve">Veškeré údaje o celkové přímé podpoře VaV ze státního rozpočtu, pokud není uvedeno jinak, vychází z údajů uvedených </w:t>
      </w:r>
      <w:r w:rsidRPr="0056598C">
        <w:rPr>
          <w:rFonts w:cs="Tahoma"/>
        </w:rPr>
        <w:t>v závěrečném účtu státního rozpočtu ČR pro oblast VaV.</w:t>
      </w:r>
      <w:r w:rsidRPr="00355B4B">
        <w:rPr>
          <w:rFonts w:cs="Tahoma"/>
        </w:rPr>
        <w:t xml:space="preserve"> Jde tedy o výdaje, které byly ze státního rozpočtu v daném roce na VaV opravdu čerpány a ne naplánovány.</w:t>
      </w:r>
    </w:p>
    <w:p w:rsidR="009D46E6" w:rsidRPr="00F00E47" w:rsidRDefault="009D46E6" w:rsidP="00FE4AA7">
      <w:pPr>
        <w:spacing w:before="120"/>
        <w:rPr>
          <w:rFonts w:cs="Tahoma"/>
          <w:u w:val="single"/>
        </w:rPr>
      </w:pPr>
      <w:r w:rsidRPr="00F00E47">
        <w:rPr>
          <w:rFonts w:cs="Tahoma"/>
          <w:u w:val="single"/>
        </w:rPr>
        <w:t>Sledované charakteristiky</w:t>
      </w:r>
    </w:p>
    <w:p w:rsidR="009D46E6" w:rsidRPr="002E3AE4" w:rsidRDefault="009D46E6" w:rsidP="00FE4AA7">
      <w:pPr>
        <w:rPr>
          <w:rFonts w:cs="Tahoma"/>
        </w:rPr>
      </w:pPr>
      <w:r w:rsidRPr="002E3AE4">
        <w:rPr>
          <w:rFonts w:cs="Tahoma"/>
        </w:rPr>
        <w:t xml:space="preserve">Údaje o přímé podpoře VaV ze státního rozpočtu jsou v ČR kromě socioekonomických cílů dostupné i v třídění podle </w:t>
      </w:r>
      <w:r w:rsidRPr="002E3AE4">
        <w:rPr>
          <w:rFonts w:cs="Tahoma"/>
          <w:bCs/>
        </w:rPr>
        <w:t>formy podpory</w:t>
      </w:r>
      <w:r w:rsidRPr="002E3AE4">
        <w:rPr>
          <w:rFonts w:cs="Tahoma"/>
        </w:rPr>
        <w:t xml:space="preserve"> (institucionální a účelová), </w:t>
      </w:r>
      <w:r w:rsidRPr="002E3AE4">
        <w:rPr>
          <w:rFonts w:cs="Tahoma"/>
          <w:bCs/>
        </w:rPr>
        <w:t>hlavních poskytovatelů</w:t>
      </w:r>
      <w:r w:rsidRPr="002E3AE4">
        <w:rPr>
          <w:rFonts w:cs="Tahoma"/>
        </w:rPr>
        <w:t xml:space="preserve">, </w:t>
      </w:r>
      <w:r w:rsidRPr="002E3AE4">
        <w:rPr>
          <w:rFonts w:cs="Tahoma"/>
          <w:bCs/>
        </w:rPr>
        <w:t>skupin podporovaných vědních oborů, typu a sídla příjemců.</w:t>
      </w:r>
    </w:p>
    <w:p w:rsidR="009D46E6" w:rsidRPr="002E3AE4" w:rsidRDefault="009D46E6" w:rsidP="00355B4B">
      <w:pPr>
        <w:rPr>
          <w:rFonts w:cs="Tahoma"/>
        </w:rPr>
      </w:pPr>
      <w:r w:rsidRPr="002E3AE4">
        <w:rPr>
          <w:rFonts w:cs="Tahoma"/>
        </w:rPr>
        <w:t xml:space="preserve">Údaje o </w:t>
      </w:r>
      <w:r w:rsidRPr="00355B4B">
        <w:rPr>
          <w:rFonts w:cs="Tahoma"/>
        </w:rPr>
        <w:t xml:space="preserve">celkové </w:t>
      </w:r>
      <w:r w:rsidRPr="002E3AE4">
        <w:rPr>
          <w:rFonts w:cs="Tahoma"/>
        </w:rPr>
        <w:t xml:space="preserve">institucionální podpoře v členění </w:t>
      </w:r>
      <w:r w:rsidRPr="00355B4B">
        <w:rPr>
          <w:rFonts w:cs="Tahoma"/>
        </w:rPr>
        <w:t>podle skupin podporovaných vědních oborů</w:t>
      </w:r>
      <w:r w:rsidRPr="002E3AE4">
        <w:rPr>
          <w:rFonts w:cs="Tahoma"/>
        </w:rPr>
        <w:t xml:space="preserve"> zahrnují u veřejných vysokých škol a ústavů Akademie věd ČR i údaje o specifickém výzkumu na vysokých školách a podpoře infrastruktury AV ČR, jež nejsou součástí IS VaVaI, ale byly získány ČSÚ přímo od těchto institucí.</w:t>
      </w:r>
    </w:p>
    <w:p w:rsidR="009D46E6" w:rsidRPr="002E3AE4" w:rsidRDefault="009D46E6" w:rsidP="00FE4AA7">
      <w:pPr>
        <w:rPr>
          <w:rFonts w:cs="Tahoma"/>
          <w:bCs/>
        </w:rPr>
      </w:pPr>
      <w:r w:rsidRPr="002E3AE4">
        <w:rPr>
          <w:rFonts w:cs="Tahoma"/>
        </w:rPr>
        <w:t xml:space="preserve">Výše uvedené charakteristiky o státních rozpočtových výdajích a dotacích na VaV z IS VaVaI a údaje o socioekonomických cílech zpracovaných v rámci statistické úlohy GBAORD byly dále </w:t>
      </w:r>
      <w:r w:rsidRPr="002E3AE4">
        <w:rPr>
          <w:rFonts w:cs="Tahoma"/>
          <w:bCs/>
        </w:rPr>
        <w:t>propojeny</w:t>
      </w:r>
      <w:r w:rsidRPr="002E3AE4">
        <w:rPr>
          <w:rFonts w:cs="Tahoma"/>
        </w:rPr>
        <w:t xml:space="preserve"> s Registrem ekonomických subjektů (dále jen RES). </w:t>
      </w:r>
      <w:r w:rsidRPr="002E3AE4">
        <w:rPr>
          <w:rFonts w:cs="Tahoma"/>
          <w:bCs/>
        </w:rPr>
        <w:t xml:space="preserve">Na základě následujících číselníků uvedených v RESu: právní forma organizace, institucionální sektor (ISEKTOR) a převažující ekonomická činnost (OKEČ/CZ-NACE), byly identifikovány následující hlavní </w:t>
      </w:r>
      <w:r w:rsidRPr="002E3AE4">
        <w:rPr>
          <w:rFonts w:cs="Tahoma"/>
        </w:rPr>
        <w:t>typy příjemců</w:t>
      </w:r>
      <w:r w:rsidRPr="002E3AE4">
        <w:rPr>
          <w:rFonts w:cs="Tahoma"/>
          <w:bCs/>
        </w:rPr>
        <w:t xml:space="preserve"> veřejné podpory VaV: </w:t>
      </w:r>
    </w:p>
    <w:p w:rsidR="009D46E6" w:rsidRPr="00F00E47" w:rsidRDefault="009D46E6" w:rsidP="00473494">
      <w:pPr>
        <w:numPr>
          <w:ilvl w:val="0"/>
          <w:numId w:val="48"/>
        </w:numPr>
        <w:spacing w:before="40" w:line="276" w:lineRule="auto"/>
        <w:ind w:left="714" w:hanging="357"/>
        <w:rPr>
          <w:rFonts w:cs="Tahoma"/>
        </w:rPr>
      </w:pPr>
      <w:r w:rsidRPr="002E3AE4">
        <w:rPr>
          <w:rFonts w:cs="Tahoma"/>
          <w:bCs/>
          <w:i/>
        </w:rPr>
        <w:t>Veřejná vysoká škola</w:t>
      </w:r>
      <w:r w:rsidRPr="00F00E47">
        <w:rPr>
          <w:rFonts w:cs="Tahoma"/>
          <w:b/>
          <w:bCs/>
        </w:rPr>
        <w:t xml:space="preserve"> </w:t>
      </w:r>
      <w:r w:rsidRPr="00F00E47">
        <w:rPr>
          <w:rFonts w:cs="Tahoma"/>
        </w:rPr>
        <w:t>(ISEKTOR 13 Vládní instituce a právní forma 601 Vysoké školy)</w:t>
      </w:r>
    </w:p>
    <w:p w:rsidR="009D46E6" w:rsidRPr="00F00E47" w:rsidRDefault="009D46E6" w:rsidP="00473494">
      <w:pPr>
        <w:numPr>
          <w:ilvl w:val="0"/>
          <w:numId w:val="48"/>
        </w:numPr>
        <w:spacing w:before="40" w:line="276" w:lineRule="auto"/>
        <w:ind w:left="714" w:hanging="357"/>
        <w:rPr>
          <w:rFonts w:cs="Tahoma"/>
        </w:rPr>
      </w:pPr>
      <w:r w:rsidRPr="002E3AE4">
        <w:rPr>
          <w:rFonts w:cs="Tahoma"/>
          <w:bCs/>
          <w:i/>
        </w:rPr>
        <w:t>Veřejná výzkumná instituce</w:t>
      </w:r>
      <w:r w:rsidRPr="00F00E47">
        <w:rPr>
          <w:rFonts w:cs="Tahoma"/>
          <w:b/>
          <w:bCs/>
        </w:rPr>
        <w:t xml:space="preserve"> </w:t>
      </w:r>
      <w:r w:rsidRPr="00F00E47">
        <w:rPr>
          <w:rFonts w:cs="Tahoma"/>
        </w:rPr>
        <w:t xml:space="preserve">(právní forma 661) jež se dále člení na: Ústavy Akademie věd ČR a ostatní (resortní) veřejné výzkumné instituce, </w:t>
      </w:r>
    </w:p>
    <w:p w:rsidR="009D46E6" w:rsidRPr="002E3AE4" w:rsidRDefault="009D46E6" w:rsidP="00473494">
      <w:pPr>
        <w:numPr>
          <w:ilvl w:val="0"/>
          <w:numId w:val="48"/>
        </w:numPr>
        <w:spacing w:before="40" w:line="276" w:lineRule="auto"/>
        <w:rPr>
          <w:rFonts w:cs="Tahoma"/>
        </w:rPr>
      </w:pPr>
      <w:r w:rsidRPr="002E3AE4">
        <w:rPr>
          <w:rFonts w:cs="Tahoma"/>
          <w:bCs/>
          <w:i/>
        </w:rPr>
        <w:t>Vládní, veřejné a neziskové organizace</w:t>
      </w:r>
      <w:r w:rsidRPr="00F00E47" w:rsidDel="00F56CDF">
        <w:rPr>
          <w:rFonts w:cs="Tahoma"/>
          <w:b/>
          <w:bCs/>
        </w:rPr>
        <w:t xml:space="preserve"> </w:t>
      </w:r>
      <w:r w:rsidRPr="00F00E47">
        <w:rPr>
          <w:rFonts w:cs="Tahoma"/>
          <w:bCs/>
        </w:rPr>
        <w:t>(ISEKTOR 11001 a zároveň CZ NACE 71+72,</w:t>
      </w:r>
      <w:r w:rsidRPr="00F00E47">
        <w:rPr>
          <w:rFonts w:cs="Tahoma"/>
          <w:b/>
          <w:bCs/>
        </w:rPr>
        <w:t xml:space="preserve"> </w:t>
      </w:r>
      <w:r w:rsidRPr="00F00E47">
        <w:rPr>
          <w:rFonts w:cs="Tahoma"/>
        </w:rPr>
        <w:t xml:space="preserve">ISEKTOR </w:t>
      </w:r>
      <w:r w:rsidRPr="002E3AE4">
        <w:rPr>
          <w:rFonts w:cs="Tahoma"/>
        </w:rPr>
        <w:t>13 Vládní instituce bez právní formy 601 a 661, ISEKTOR 15 Neziskové instituce sloužící domácnostem a právní forma 116, 141, 331, 701, 731, 745 a 751 bez ohledu na ISEKTOR)</w:t>
      </w:r>
      <w:r w:rsidRPr="002E3AE4">
        <w:rPr>
          <w:rFonts w:cs="Tahoma"/>
          <w:bCs/>
        </w:rPr>
        <w:t xml:space="preserve"> </w:t>
      </w:r>
      <w:r w:rsidRPr="002E3AE4">
        <w:rPr>
          <w:rFonts w:cs="Tahoma"/>
        </w:rPr>
        <w:t xml:space="preserve">jež se dále člení podle </w:t>
      </w:r>
      <w:r w:rsidRPr="002E3AE4">
        <w:rPr>
          <w:rFonts w:cs="Tahoma"/>
          <w:bCs/>
        </w:rPr>
        <w:t>právní formy</w:t>
      </w:r>
      <w:r w:rsidRPr="002E3AE4">
        <w:rPr>
          <w:rFonts w:cs="Tahoma"/>
        </w:rPr>
        <w:t xml:space="preserve"> a </w:t>
      </w:r>
      <w:r w:rsidRPr="002E3AE4">
        <w:rPr>
          <w:rFonts w:cs="Tahoma"/>
          <w:bCs/>
        </w:rPr>
        <w:t xml:space="preserve">převažující ekonomické činnosti </w:t>
      </w:r>
      <w:r w:rsidRPr="002E3AE4">
        <w:rPr>
          <w:rFonts w:cs="Tahoma"/>
        </w:rPr>
        <w:t>(klasifikace CZ-NACE),</w:t>
      </w:r>
    </w:p>
    <w:p w:rsidR="009D46E6" w:rsidRPr="00F00E47" w:rsidRDefault="009D46E6" w:rsidP="00473494">
      <w:pPr>
        <w:numPr>
          <w:ilvl w:val="0"/>
          <w:numId w:val="48"/>
        </w:numPr>
        <w:spacing w:before="40" w:line="276" w:lineRule="auto"/>
        <w:ind w:left="714" w:hanging="357"/>
        <w:rPr>
          <w:rFonts w:cs="Tahoma"/>
          <w:b/>
          <w:bCs/>
        </w:rPr>
      </w:pPr>
      <w:r w:rsidRPr="002E3AE4">
        <w:rPr>
          <w:rFonts w:cs="Tahoma"/>
          <w:bCs/>
          <w:i/>
        </w:rPr>
        <w:t xml:space="preserve">Podnik </w:t>
      </w:r>
      <w:r w:rsidRPr="00F00E47">
        <w:rPr>
          <w:rFonts w:cs="Tahoma"/>
        </w:rPr>
        <w:t>(Nefinanční podniky: ISEKTOR 11001 [bez NACE 71+72] a ISEKTOR 11002 +11003; Finanční instituce: ISEKTOR 12 a Zaměstnavatelé a Osoby samostatně výdělečně činné: ISEKTOR 141+142 bez právní formy 116, 141, 331, 661, 701, 731, 745 a 751)</w:t>
      </w:r>
      <w:r w:rsidRPr="00F00E47">
        <w:rPr>
          <w:rFonts w:cs="Tahoma"/>
          <w:b/>
          <w:bCs/>
        </w:rPr>
        <w:t xml:space="preserve"> </w:t>
      </w:r>
      <w:r w:rsidRPr="00F00E47">
        <w:rPr>
          <w:rFonts w:cs="Tahoma"/>
        </w:rPr>
        <w:t xml:space="preserve">jež se dále </w:t>
      </w:r>
      <w:r w:rsidRPr="002E3AE4">
        <w:rPr>
          <w:rFonts w:cs="Tahoma"/>
        </w:rPr>
        <w:t>člení</w:t>
      </w:r>
      <w:r w:rsidRPr="002E3AE4">
        <w:rPr>
          <w:rFonts w:cs="Tahoma"/>
          <w:bCs/>
        </w:rPr>
        <w:t xml:space="preserve"> </w:t>
      </w:r>
      <w:r w:rsidRPr="002E3AE4">
        <w:rPr>
          <w:rFonts w:cs="Tahoma"/>
        </w:rPr>
        <w:t>podle</w:t>
      </w:r>
      <w:r w:rsidRPr="002E3AE4">
        <w:rPr>
          <w:rFonts w:cs="Tahoma"/>
          <w:bCs/>
        </w:rPr>
        <w:t xml:space="preserve"> vlastnictví </w:t>
      </w:r>
      <w:r w:rsidRPr="002E3AE4">
        <w:rPr>
          <w:rFonts w:cs="Tahoma"/>
        </w:rPr>
        <w:t>(veřejné podniky, soukromé podniky domácí a soukromé podniky pod</w:t>
      </w:r>
      <w:r w:rsidRPr="00F00E47">
        <w:rPr>
          <w:rFonts w:cs="Tahoma"/>
        </w:rPr>
        <w:t xml:space="preserve"> zahraniční </w:t>
      </w:r>
      <w:r w:rsidRPr="002E3AE4">
        <w:rPr>
          <w:rFonts w:cs="Tahoma"/>
        </w:rPr>
        <w:t xml:space="preserve">kontrolou), </w:t>
      </w:r>
      <w:r w:rsidRPr="002E3AE4">
        <w:rPr>
          <w:rFonts w:cs="Tahoma"/>
          <w:bCs/>
        </w:rPr>
        <w:t>právní formy</w:t>
      </w:r>
      <w:r w:rsidRPr="002E3AE4">
        <w:rPr>
          <w:rFonts w:cs="Tahoma"/>
        </w:rPr>
        <w:t xml:space="preserve">, </w:t>
      </w:r>
      <w:r w:rsidRPr="002E3AE4">
        <w:rPr>
          <w:rFonts w:cs="Tahoma"/>
          <w:bCs/>
        </w:rPr>
        <w:t>velikosti</w:t>
      </w:r>
      <w:r w:rsidRPr="002E3AE4">
        <w:rPr>
          <w:rFonts w:cs="Tahoma"/>
        </w:rPr>
        <w:t xml:space="preserve"> (počtu zaměstnanců) a </w:t>
      </w:r>
      <w:r w:rsidRPr="002E3AE4">
        <w:rPr>
          <w:rFonts w:cs="Tahoma"/>
          <w:bCs/>
        </w:rPr>
        <w:t>převažující ekonomické činnosti</w:t>
      </w:r>
      <w:r w:rsidRPr="002E3AE4">
        <w:rPr>
          <w:rFonts w:cs="Tahoma"/>
        </w:rPr>
        <w:t xml:space="preserve"> (klasifikace CZ-NACE).</w:t>
      </w:r>
    </w:p>
    <w:p w:rsidR="009D46E6" w:rsidRPr="00355B4B" w:rsidRDefault="009D46E6" w:rsidP="00355B4B">
      <w:pPr>
        <w:rPr>
          <w:rFonts w:cs="Tahoma"/>
        </w:rPr>
      </w:pPr>
      <w:r w:rsidRPr="00355B4B">
        <w:rPr>
          <w:rFonts w:cs="Tahoma"/>
        </w:rPr>
        <w:t>Výše uvedená třídění mohou být uvedena jak na základě aktuálních</w:t>
      </w:r>
      <w:r>
        <w:rPr>
          <w:rFonts w:cs="Tahoma"/>
        </w:rPr>
        <w:t xml:space="preserve"> údajů o sledovaných subjektech </w:t>
      </w:r>
      <w:r w:rsidRPr="00355B4B">
        <w:rPr>
          <w:rFonts w:cs="Tahoma"/>
        </w:rPr>
        <w:t xml:space="preserve">uvedených v RES, tak údajů platných v době poskytnutí veřejné podpory VaV. </w:t>
      </w:r>
    </w:p>
    <w:p w:rsidR="009D46E6" w:rsidRPr="002E3AE4" w:rsidRDefault="009D46E6" w:rsidP="00FE4AA7">
      <w:pPr>
        <w:spacing w:before="120"/>
        <w:rPr>
          <w:rFonts w:cs="Tahoma"/>
          <w:u w:val="single"/>
        </w:rPr>
      </w:pPr>
      <w:r w:rsidRPr="002E3AE4">
        <w:rPr>
          <w:rFonts w:cs="Tahoma"/>
          <w:u w:val="single"/>
        </w:rPr>
        <w:t>Důležité definice používané ve statistické úloze GBAORD</w:t>
      </w:r>
    </w:p>
    <w:p w:rsidR="009D46E6" w:rsidRPr="002E3AE4" w:rsidRDefault="009D46E6" w:rsidP="00FE4AA7">
      <w:pPr>
        <w:rPr>
          <w:rFonts w:cs="Tahoma"/>
          <w:bCs/>
        </w:rPr>
      </w:pPr>
      <w:r w:rsidRPr="002E3AE4">
        <w:rPr>
          <w:rFonts w:cs="Tahoma"/>
        </w:rPr>
        <w:t>Celkové státní rozpočtové výdaje a dotace na výzkum a vývoj</w:t>
      </w:r>
      <w:r w:rsidRPr="002E3AE4">
        <w:rPr>
          <w:rFonts w:cs="Tahoma"/>
          <w:bCs/>
        </w:rPr>
        <w:t xml:space="preserve"> zahrnují veškeré finanční prostředky (běžné i kapitálové) poskytnuté z veřejných rozpočtů na podporu VaV, včetně prostředků plynoucích na VaV do zahraničí.</w:t>
      </w:r>
    </w:p>
    <w:p w:rsidR="009D46E6" w:rsidRPr="00F00E47" w:rsidRDefault="009D46E6" w:rsidP="00FE4AA7">
      <w:pPr>
        <w:rPr>
          <w:rFonts w:cs="Tahoma"/>
          <w:bCs/>
        </w:rPr>
      </w:pPr>
      <w:r w:rsidRPr="00F00E47">
        <w:rPr>
          <w:rFonts w:cs="Tahoma"/>
        </w:rPr>
        <w:t>Jelikož je statistická úloha GBAORD založena na analýze a identifikaci všech částek plynoucích na VaV z veřejných rozpočtů získaných z administrativních zdrojů, liší se od údajů získaných přímo od příjemců této podpory (šetření VTR 5-01). Hlavním důvodem je odlišný přístup ve sledování částek, kdy v GBAORD jsou zachyceny přidělené částky veřejné podpory v daném roce. Ve VTR5-01 jsou naopak sledovány skutečně vynaložené částky v daném roce (včetně nároků z minulých let či bez odložených částek do dalších let). Dalším rozdílem je teritoriální hledisko, kdy GBOARD zachycuje i částky plynoucí do zahraničí na mezinárodní programy a poplatky do mezinárodních výzkumných institucí, kdežto VTR5-01 pak pouze částky vynaložené na VaV v rámci ČR. Mezinárodní srovnatelnost údajů ze statistické úlohy GBAORD je ve většině zemí obecně nižší než u údajů získaných přímo od subjektů provádějících VaV, které jsou ovšem k dispozici u většiny zemí se značným zpožděním oproti údajům GBAORD.</w:t>
      </w:r>
    </w:p>
    <w:p w:rsidR="009D46E6" w:rsidRPr="002E3AE4" w:rsidRDefault="009D46E6" w:rsidP="00FE4AA7">
      <w:pPr>
        <w:rPr>
          <w:rFonts w:cs="Tahoma"/>
          <w:bCs/>
        </w:rPr>
      </w:pPr>
      <w:r w:rsidRPr="002E3AE4">
        <w:rPr>
          <w:rFonts w:cs="Tahoma"/>
          <w:bCs/>
        </w:rPr>
        <w:t xml:space="preserve">Státní rozpočtové výdaje a dotace na výzkum a vývoj jsou poskytovány ve </w:t>
      </w:r>
      <w:r w:rsidRPr="002E3AE4">
        <w:rPr>
          <w:rFonts w:cs="Tahoma"/>
        </w:rPr>
        <w:t>dvou základních formách</w:t>
      </w:r>
      <w:r w:rsidRPr="002E3AE4">
        <w:rPr>
          <w:rFonts w:cs="Tahoma"/>
          <w:bCs/>
        </w:rPr>
        <w:t xml:space="preserve"> a to jako:</w:t>
      </w:r>
    </w:p>
    <w:p w:rsidR="009D46E6" w:rsidRPr="00F00E47" w:rsidRDefault="009D46E6" w:rsidP="00473494">
      <w:pPr>
        <w:numPr>
          <w:ilvl w:val="0"/>
          <w:numId w:val="43"/>
        </w:numPr>
        <w:spacing w:before="120" w:line="276" w:lineRule="auto"/>
        <w:rPr>
          <w:rFonts w:cs="Tahoma"/>
          <w:bCs/>
        </w:rPr>
      </w:pPr>
      <w:r w:rsidRPr="002E3AE4">
        <w:rPr>
          <w:rFonts w:cs="Tahoma"/>
          <w:i/>
        </w:rPr>
        <w:t>Účelová podpora</w:t>
      </w:r>
      <w:r w:rsidRPr="00F00E47">
        <w:rPr>
          <w:rFonts w:cs="Tahoma"/>
          <w:bCs/>
        </w:rPr>
        <w:t xml:space="preserve"> (informace k dispozici v databázi CEP)</w:t>
      </w:r>
      <w:r w:rsidRPr="00F00E47">
        <w:rPr>
          <w:rFonts w:cs="Tahoma"/>
          <w:b/>
        </w:rPr>
        <w:t xml:space="preserve"> </w:t>
      </w:r>
      <w:r w:rsidRPr="00F00E47">
        <w:rPr>
          <w:rFonts w:cs="Tahoma"/>
          <w:bCs/>
        </w:rPr>
        <w:t xml:space="preserve">je udělována na základě veřejné soutěže nebo veřejné zakázky ve VaV návrhů výzkumných projektů ucházejících se o podporu v rámci výzkumných programů s konkrétně definovanými cíli a zaměřením (programové projekty) nebo v rámci projektů širokého spektra vědních oborů, s převahou základního výzkumu (grantové projekty). </w:t>
      </w:r>
    </w:p>
    <w:p w:rsidR="009D46E6" w:rsidRPr="00F00E47" w:rsidRDefault="009D46E6" w:rsidP="00473494">
      <w:pPr>
        <w:numPr>
          <w:ilvl w:val="0"/>
          <w:numId w:val="43"/>
        </w:numPr>
        <w:spacing w:before="120" w:line="276" w:lineRule="auto"/>
        <w:rPr>
          <w:rFonts w:cs="Tahoma"/>
          <w:bCs/>
        </w:rPr>
      </w:pPr>
      <w:r w:rsidRPr="002E3AE4">
        <w:rPr>
          <w:rFonts w:cs="Tahoma"/>
          <w:i/>
        </w:rPr>
        <w:t>Institucionální podpora</w:t>
      </w:r>
      <w:r w:rsidRPr="00F00E47">
        <w:rPr>
          <w:rFonts w:cs="Tahoma"/>
          <w:bCs/>
        </w:rPr>
        <w:t xml:space="preserve"> (informace k dispozici v databázi CEZ a CEA), která je poskytována především na dlouhodobý koncepční rozvoj výzkumných organizací na základě hodnocení jí dosažených výsledků. </w:t>
      </w:r>
    </w:p>
    <w:p w:rsidR="009D46E6" w:rsidRPr="00F00E47" w:rsidRDefault="009D46E6" w:rsidP="00FE4AA7">
      <w:pPr>
        <w:ind w:left="360"/>
        <w:rPr>
          <w:rFonts w:cs="Tahoma"/>
          <w:bCs/>
        </w:rPr>
      </w:pPr>
      <w:r w:rsidRPr="00F00E47">
        <w:rPr>
          <w:rFonts w:cs="Tahoma"/>
          <w:bCs/>
        </w:rPr>
        <w:t xml:space="preserve">Pozn. Do institucionální podpory jsou ve výstupech statistické úlohy GBAORD zahrnuty i následující položky VaV jež nejsou součástí IS VaVaI: </w:t>
      </w:r>
    </w:p>
    <w:p w:rsidR="009D46E6" w:rsidRPr="00F00E47" w:rsidRDefault="009D46E6" w:rsidP="00473494">
      <w:pPr>
        <w:numPr>
          <w:ilvl w:val="1"/>
          <w:numId w:val="43"/>
        </w:numPr>
        <w:tabs>
          <w:tab w:val="clear" w:pos="1440"/>
          <w:tab w:val="num" w:pos="900"/>
        </w:tabs>
        <w:spacing w:before="120" w:line="276" w:lineRule="auto"/>
        <w:ind w:left="900" w:hanging="540"/>
        <w:rPr>
          <w:rFonts w:cs="Tahoma"/>
          <w:bCs/>
        </w:rPr>
      </w:pPr>
      <w:r w:rsidRPr="002E3AE4">
        <w:rPr>
          <w:rFonts w:cs="Tahoma"/>
          <w:i/>
        </w:rPr>
        <w:t>Specifický výzkum na vysokých školách</w:t>
      </w:r>
      <w:r w:rsidRPr="00F00E47">
        <w:rPr>
          <w:rFonts w:cs="Tahoma"/>
          <w:bCs/>
        </w:rPr>
        <w:t>, který zahrnuje výzkum prováděný studenty při uskutečňování akreditovaných doktorských nebo magisterských studijních programů a který je bezprostředně spojen s jejich vzděláváním,</w:t>
      </w:r>
    </w:p>
    <w:p w:rsidR="009D46E6" w:rsidRPr="002E3AE4" w:rsidRDefault="009D46E6" w:rsidP="00473494">
      <w:pPr>
        <w:numPr>
          <w:ilvl w:val="1"/>
          <w:numId w:val="43"/>
        </w:numPr>
        <w:tabs>
          <w:tab w:val="clear" w:pos="1440"/>
          <w:tab w:val="num" w:pos="900"/>
        </w:tabs>
        <w:spacing w:before="120" w:line="276" w:lineRule="auto"/>
        <w:ind w:left="900" w:hanging="540"/>
        <w:rPr>
          <w:rFonts w:cs="Tahoma"/>
          <w:bCs/>
          <w:i/>
        </w:rPr>
      </w:pPr>
      <w:r w:rsidRPr="002E3AE4">
        <w:rPr>
          <w:rFonts w:cs="Tahoma"/>
          <w:bCs/>
          <w:i/>
        </w:rPr>
        <w:t>Podpora infrastruktury ústavů AV ČR</w:t>
      </w:r>
    </w:p>
    <w:p w:rsidR="009D46E6" w:rsidRPr="00F00E47" w:rsidRDefault="009D46E6" w:rsidP="00473494">
      <w:pPr>
        <w:numPr>
          <w:ilvl w:val="1"/>
          <w:numId w:val="43"/>
        </w:numPr>
        <w:tabs>
          <w:tab w:val="clear" w:pos="1440"/>
          <w:tab w:val="num" w:pos="900"/>
        </w:tabs>
        <w:spacing w:before="120" w:line="276" w:lineRule="auto"/>
        <w:ind w:left="900" w:hanging="540"/>
        <w:rPr>
          <w:rFonts w:cs="Tahoma"/>
          <w:bCs/>
        </w:rPr>
      </w:pPr>
      <w:r w:rsidRPr="002E3AE4">
        <w:rPr>
          <w:rFonts w:cs="Tahoma"/>
          <w:i/>
        </w:rPr>
        <w:t>Podpora mezinárodního výzkumu a vývoje</w:t>
      </w:r>
      <w:r w:rsidRPr="00F00E47">
        <w:rPr>
          <w:rFonts w:cs="Tahoma"/>
          <w:b/>
        </w:rPr>
        <w:t xml:space="preserve">, </w:t>
      </w:r>
      <w:r w:rsidRPr="00F00E47">
        <w:rPr>
          <w:rFonts w:cs="Tahoma"/>
          <w:bCs/>
        </w:rPr>
        <w:t>která zahrnuje poplatky za účast České republiky v mezinárodních programech výzkumu a vývoje, poplatky za členství v mezinárodních organizacích výzkumu a vývoje nebo finanční podíly z prostředků České republiky na podporu projektů mezinárodní spolupráce ve výzkumu a vývoji, pokud je tento finanční podíl možno hradit z veřejných prostředků a pokud jsou projekty podporovány z rozpočtu jiných států nebo z rozpočtu Evropské unie nebo z prostředků mezinárodních organizací.</w:t>
      </w:r>
    </w:p>
    <w:p w:rsidR="009D46E6" w:rsidRPr="00F00E47" w:rsidRDefault="009D46E6" w:rsidP="00473494">
      <w:pPr>
        <w:numPr>
          <w:ilvl w:val="1"/>
          <w:numId w:val="43"/>
        </w:numPr>
        <w:tabs>
          <w:tab w:val="clear" w:pos="1440"/>
          <w:tab w:val="num" w:pos="900"/>
        </w:tabs>
        <w:spacing w:before="120" w:line="276" w:lineRule="auto"/>
        <w:ind w:left="900" w:hanging="540"/>
        <w:rPr>
          <w:rFonts w:cs="Tahoma"/>
          <w:bCs/>
        </w:rPr>
      </w:pPr>
      <w:r w:rsidRPr="002E3AE4">
        <w:rPr>
          <w:rFonts w:cs="Tahoma"/>
          <w:bCs/>
          <w:i/>
        </w:rPr>
        <w:t>Další položky související s administrativou a oceněními</w:t>
      </w:r>
      <w:r w:rsidRPr="00F00E47">
        <w:rPr>
          <w:rFonts w:cs="Tahoma"/>
          <w:bCs/>
        </w:rPr>
        <w:t>: náklady systému podpory VaV na zajištění veřejných soutěží a hodnocení projektů, ocenění výsledků v oblasti VaV, náklady spojené s činností RVVI, GA ČR, TA ČR a AV ČR.</w:t>
      </w:r>
    </w:p>
    <w:p w:rsidR="009D46E6" w:rsidRPr="002E3AE4" w:rsidRDefault="009D46E6" w:rsidP="00FE4AA7">
      <w:pPr>
        <w:rPr>
          <w:rFonts w:cs="Tahoma"/>
          <w:bCs/>
        </w:rPr>
      </w:pPr>
      <w:r w:rsidRPr="002E3AE4">
        <w:rPr>
          <w:rFonts w:cs="Tahoma"/>
          <w:i/>
        </w:rPr>
        <w:t xml:space="preserve">Příjemce </w:t>
      </w:r>
      <w:r w:rsidRPr="002E3AE4">
        <w:rPr>
          <w:rFonts w:cs="Tahoma"/>
          <w:bCs/>
          <w:i/>
        </w:rPr>
        <w:t>veřejné podpory VaV</w:t>
      </w:r>
      <w:r w:rsidRPr="002E3AE4">
        <w:rPr>
          <w:rFonts w:cs="Tahoma"/>
          <w:bCs/>
        </w:rPr>
        <w:t xml:space="preserve"> – všechny právnické a fyzické osoby, organizační složky státu a ministerstev, které získaly veřejnou podporu na své výzkumné a vývojové činnosti.</w:t>
      </w:r>
    </w:p>
    <w:p w:rsidR="009D46E6" w:rsidRPr="00F00E47" w:rsidRDefault="009D46E6" w:rsidP="00FE4AA7">
      <w:pPr>
        <w:rPr>
          <w:rFonts w:cs="Tahoma"/>
          <w:noProof/>
          <w:lang w:eastAsia="cs-CZ"/>
        </w:rPr>
      </w:pPr>
      <w:r w:rsidRPr="002E3AE4">
        <w:rPr>
          <w:rFonts w:cs="Tahoma"/>
          <w:i/>
        </w:rPr>
        <w:t>Poskytovatel veřejné podpory VaV</w:t>
      </w:r>
      <w:r w:rsidRPr="00F00E47">
        <w:rPr>
          <w:rFonts w:cs="Tahoma"/>
        </w:rPr>
        <w:t xml:space="preserve"> je organizační složka státu nebo územní samosprávný celek, který rozhoduje o poskytnutí podpory a který tuto podporu poskytuje. V roce 2012 veřejnou podporu VaV v České republice poskytovalo ze svých rozpočtových kapitol 14 poskytovatelů (</w:t>
      </w:r>
      <w:r w:rsidRPr="00F00E47">
        <w:rPr>
          <w:rFonts w:cs="Tahoma"/>
          <w:noProof/>
          <w:lang w:eastAsia="cs-CZ"/>
        </w:rPr>
        <w:t xml:space="preserve">Ministerstvo školství mládeže a tělovýchovy, Akademie věd ČR, Ministerstvo průmyslu a obchodu, Grantová agentura ČR, Ministerstvo zdravotnictví, Ministerstvo zemědělství, Ministerstvo obrany, Ministerstvo životního prostředí, Ministerstvo kultury, Ministerstvo práce a sociálních věcí, Ministerstvo vnitra, Ministerstvo spravedlnosti, Úřad vlády a Technologická agentura ČR). Z toho institucionální podporu poskytovalo ve stejném roce 13 poskytovatelů a účelovou 12. </w:t>
      </w:r>
    </w:p>
    <w:p w:rsidR="009D46E6" w:rsidRPr="00F00E47" w:rsidRDefault="009D46E6" w:rsidP="00FE4AA7">
      <w:pPr>
        <w:rPr>
          <w:rFonts w:cs="Tahoma"/>
        </w:rPr>
      </w:pPr>
      <w:r w:rsidRPr="00F00E47">
        <w:rPr>
          <w:rFonts w:cs="Tahoma"/>
        </w:rPr>
        <w:t>V údajích získaných z  IS VaVaI není zachyceno předfinancování ani spolufinancování Strukturální fondů EU.</w:t>
      </w:r>
    </w:p>
    <w:p w:rsidR="009D46E6" w:rsidRPr="002E3AE4" w:rsidRDefault="009D46E6" w:rsidP="00FE4AA7">
      <w:pPr>
        <w:pStyle w:val="BodyText2"/>
        <w:rPr>
          <w:rFonts w:cs="Tahoma"/>
          <w:i/>
          <w:sz w:val="16"/>
          <w:szCs w:val="16"/>
        </w:rPr>
      </w:pPr>
      <w:r w:rsidRPr="002E3AE4">
        <w:rPr>
          <w:rFonts w:cs="Tahoma"/>
          <w:i/>
        </w:rPr>
        <w:t>Podrobné informace jsou k dispozici na:</w:t>
      </w:r>
      <w:r>
        <w:rPr>
          <w:rFonts w:cs="Tahoma"/>
          <w:i/>
        </w:rPr>
        <w:t xml:space="preserve"> </w:t>
      </w:r>
      <w:hyperlink r:id="rId267" w:history="1">
        <w:r w:rsidRPr="002E3AE4">
          <w:rPr>
            <w:rStyle w:val="Hyperlink"/>
            <w:rFonts w:cs="Tahoma"/>
            <w:i/>
            <w:sz w:val="16"/>
            <w:szCs w:val="16"/>
          </w:rPr>
          <w:t>http://www.czso.cz/csu/redakce.nsf/i/statistika_vyzkumu_a_vyvoje</w:t>
        </w:r>
      </w:hyperlink>
      <w:r w:rsidRPr="002E3AE4">
        <w:rPr>
          <w:rFonts w:cs="Tahoma"/>
          <w:i/>
          <w:sz w:val="16"/>
          <w:szCs w:val="16"/>
        </w:rPr>
        <w:t xml:space="preserve"> </w:t>
      </w:r>
    </w:p>
    <w:p w:rsidR="009D46E6" w:rsidRPr="002E3AE4" w:rsidRDefault="009D46E6" w:rsidP="00397DAB">
      <w:pPr>
        <w:pStyle w:val="Heading4"/>
      </w:pPr>
      <w:r w:rsidRPr="002E3AE4">
        <w:t>A.3 Nepřímá podpora výzkumu a vývoje ze státního rozpočtu</w:t>
      </w:r>
    </w:p>
    <w:p w:rsidR="009D46E6" w:rsidRPr="002E3AE4" w:rsidRDefault="009D46E6" w:rsidP="00FE4AA7">
      <w:pPr>
        <w:rPr>
          <w:rFonts w:cs="Tahoma"/>
        </w:rPr>
      </w:pPr>
      <w:r w:rsidRPr="002E3AE4">
        <w:rPr>
          <w:rFonts w:cs="Tahoma"/>
        </w:rPr>
        <w:t xml:space="preserve">Nepřímá podpora výzkumu a vývoje (VaV) prostřednictvím daňových odpočtů nákladů na VaV od základu daně je sekundárním nástrojem politiky podpory výzkumu a vývoje v České republice. </w:t>
      </w:r>
    </w:p>
    <w:p w:rsidR="009D46E6" w:rsidRPr="002E3AE4" w:rsidRDefault="009D46E6" w:rsidP="00FE4AA7">
      <w:pPr>
        <w:rPr>
          <w:rFonts w:cs="Tahoma"/>
        </w:rPr>
      </w:pPr>
      <w:r w:rsidRPr="002E3AE4">
        <w:rPr>
          <w:rFonts w:cs="Tahoma"/>
        </w:rPr>
        <w:t>Odpočet uznatelných nákladů na výzkum a vývoj od daňového základu může subjekt provádějící VaV uplatnit pouze v případě, že na daný VaV projekt již nezískal přímou podporu VaV. Daňový poplatník (právnická osoba) může odepsat až 100 % výdajů vynaložených při realizaci projektů výzkumu a vývoje. Nerozhoduje, zda se jedná o základní výzkum, aplikovaných výzkum nebo experimentální vývoj. Lze odepsat pouze níže uvedené uznatelné náklady vyjmenované v pokynu MF (pokyn D288/2005):</w:t>
      </w:r>
    </w:p>
    <w:p w:rsidR="009D46E6" w:rsidRPr="00F00E47" w:rsidRDefault="009D46E6" w:rsidP="00473494">
      <w:pPr>
        <w:numPr>
          <w:ilvl w:val="0"/>
          <w:numId w:val="48"/>
        </w:numPr>
        <w:spacing w:before="40" w:line="276" w:lineRule="auto"/>
        <w:ind w:left="714" w:hanging="357"/>
        <w:rPr>
          <w:rFonts w:cs="Tahoma"/>
          <w:bCs/>
        </w:rPr>
      </w:pPr>
      <w:r w:rsidRPr="002E3AE4">
        <w:rPr>
          <w:rFonts w:cs="Tahoma"/>
          <w:bCs/>
          <w:i/>
        </w:rPr>
        <w:t>osobní náklady</w:t>
      </w:r>
      <w:r w:rsidRPr="00F00E47">
        <w:rPr>
          <w:rFonts w:cs="Tahoma"/>
          <w:bCs/>
        </w:rPr>
        <w:t xml:space="preserve"> na výzkumné a vývojové zaměstnance, akademické pracovníky, techniky a pomocný personál poplatníka, včetně zaměstnanců administrativních nebo dělnických profesí podílejících se na řešení projektu,</w:t>
      </w:r>
    </w:p>
    <w:p w:rsidR="009D46E6" w:rsidRPr="00F00E47" w:rsidRDefault="009D46E6" w:rsidP="00473494">
      <w:pPr>
        <w:numPr>
          <w:ilvl w:val="0"/>
          <w:numId w:val="48"/>
        </w:numPr>
        <w:spacing w:before="40" w:line="276" w:lineRule="auto"/>
        <w:ind w:left="714" w:hanging="357"/>
        <w:rPr>
          <w:rFonts w:cs="Tahoma"/>
          <w:bCs/>
        </w:rPr>
      </w:pPr>
      <w:r w:rsidRPr="002E3AE4">
        <w:rPr>
          <w:rFonts w:cs="Tahoma"/>
          <w:bCs/>
          <w:i/>
        </w:rPr>
        <w:t xml:space="preserve">odpisy </w:t>
      </w:r>
      <w:r w:rsidRPr="00F00E47">
        <w:rPr>
          <w:rFonts w:cs="Tahoma"/>
          <w:bCs/>
        </w:rPr>
        <w:t>(nebo jejich část) hmotného movitého majetku a nehmotného majetku používaného v přímé souvislosti s řešením VaV projektu,</w:t>
      </w:r>
    </w:p>
    <w:p w:rsidR="009D46E6" w:rsidRPr="00F00E47" w:rsidRDefault="009D46E6" w:rsidP="00473494">
      <w:pPr>
        <w:numPr>
          <w:ilvl w:val="0"/>
          <w:numId w:val="48"/>
        </w:numPr>
        <w:spacing w:before="40" w:line="276" w:lineRule="auto"/>
        <w:ind w:left="714" w:hanging="357"/>
        <w:rPr>
          <w:rFonts w:cs="Tahoma"/>
          <w:bCs/>
        </w:rPr>
      </w:pPr>
      <w:r w:rsidRPr="002E3AE4">
        <w:rPr>
          <w:rFonts w:cs="Tahoma"/>
          <w:bCs/>
          <w:i/>
        </w:rPr>
        <w:t>další provozní náklady</w:t>
      </w:r>
      <w:r w:rsidRPr="00F00E47">
        <w:rPr>
          <w:rFonts w:cs="Tahoma"/>
          <w:bCs/>
        </w:rPr>
        <w:t>, vzniklé v přímé souvislosti s řešením VaV projektu jako jsou náklady na materiál, zásoby a drobný hmotný a nehmotný majetek, výdaje na knihy a časopisy, na elektrickou energii, teplo, plyn, telekomunikační poplatky a vodné a stočné, vedené v oddělené evidenci v souladu se zákonem,</w:t>
      </w:r>
    </w:p>
    <w:p w:rsidR="009D46E6" w:rsidRPr="002E3AE4" w:rsidRDefault="009D46E6" w:rsidP="00473494">
      <w:pPr>
        <w:numPr>
          <w:ilvl w:val="0"/>
          <w:numId w:val="48"/>
        </w:numPr>
        <w:spacing w:before="40" w:line="276" w:lineRule="auto"/>
        <w:ind w:left="714" w:hanging="357"/>
        <w:rPr>
          <w:rFonts w:cs="Tahoma"/>
          <w:bCs/>
          <w:i/>
        </w:rPr>
      </w:pPr>
      <w:r w:rsidRPr="002E3AE4">
        <w:rPr>
          <w:rFonts w:cs="Tahoma"/>
          <w:bCs/>
          <w:i/>
        </w:rPr>
        <w:t>náklady na certifikaci výsledků výzkumu a vývoje,</w:t>
      </w:r>
    </w:p>
    <w:p w:rsidR="009D46E6" w:rsidRPr="00F00E47" w:rsidRDefault="009D46E6" w:rsidP="00473494">
      <w:pPr>
        <w:numPr>
          <w:ilvl w:val="0"/>
          <w:numId w:val="48"/>
        </w:numPr>
        <w:spacing w:before="40" w:line="276" w:lineRule="auto"/>
        <w:ind w:left="714" w:hanging="357"/>
        <w:rPr>
          <w:rFonts w:cs="Tahoma"/>
          <w:bCs/>
        </w:rPr>
      </w:pPr>
      <w:r w:rsidRPr="002E3AE4">
        <w:rPr>
          <w:rFonts w:cs="Tahoma"/>
          <w:bCs/>
          <w:i/>
        </w:rPr>
        <w:t>cestovní náhrady</w:t>
      </w:r>
      <w:r w:rsidRPr="00F00E47">
        <w:rPr>
          <w:rFonts w:cs="Tahoma"/>
          <w:bCs/>
        </w:rPr>
        <w:t xml:space="preserve"> poskytované zaměstnavatelem zaměstnancům v oblasti výzkumu a vývoje, pouze pokud vzniknou v přímé souvislosti s řešením projektu.</w:t>
      </w:r>
    </w:p>
    <w:p w:rsidR="009D46E6" w:rsidRPr="00355B4B" w:rsidRDefault="009D46E6" w:rsidP="00355B4B">
      <w:pPr>
        <w:rPr>
          <w:rFonts w:cs="Tahoma"/>
        </w:rPr>
      </w:pPr>
      <w:r w:rsidRPr="00355B4B">
        <w:rPr>
          <w:rFonts w:cs="Tahoma"/>
        </w:rPr>
        <w:t>Odpočet nelze uplatnit na služby a nehmotné výsledky výzkumu a vývoje.</w:t>
      </w:r>
    </w:p>
    <w:p w:rsidR="009D46E6" w:rsidRPr="00355B4B" w:rsidRDefault="009D46E6" w:rsidP="00355B4B">
      <w:pPr>
        <w:rPr>
          <w:rFonts w:cs="Tahoma"/>
        </w:rPr>
      </w:pPr>
      <w:r w:rsidRPr="00355B4B">
        <w:rPr>
          <w:rFonts w:cs="Tahoma"/>
        </w:rPr>
        <w:t xml:space="preserve">Možnost subjektů provádějících výzkum a vývoj odepsat uznatelné náklady na VaV ze základu daně existuje od roku 2005. Dle mezinárodní metodiky OECD sleduje ČSÚ nepřímou podporu VaV pouze v podnikatelském sektoru, a to v podrobném členění od roku 2007. Nepřímá podpora VaV ve zbývajících sektorech dle systému národních účtů je vzhledem celkové částce zanedbatelná. Stejně tak není statisticky sledována nepřímá podpora VaV u fyzických osob – živnostníků. Údaje o odpočtech uznatelných nákladů na výzkum a vývoj jsou získávány z administrativních zdrojů. Zdrojem dat je GFŘ. Údaje publikované ČSÚ se liší od údajů publikovaných MF jednak tím, že ČSÚ publikuje dle mezinárodní metodiky OECD údaje o nepřímě podpoře VaV pouze za podniky, a dále pak aktualizací dat, kterou provádí MF až po publikování údajů ČSÚ. </w:t>
      </w:r>
    </w:p>
    <w:tbl>
      <w:tblPr>
        <w:tblW w:w="9077" w:type="dxa"/>
        <w:tblInd w:w="55" w:type="dxa"/>
        <w:tblCellMar>
          <w:left w:w="70" w:type="dxa"/>
          <w:right w:w="70" w:type="dxa"/>
        </w:tblCellMar>
        <w:tblLook w:val="00A0"/>
      </w:tblPr>
      <w:tblGrid>
        <w:gridCol w:w="3092"/>
        <w:gridCol w:w="1197"/>
        <w:gridCol w:w="1197"/>
        <w:gridCol w:w="1197"/>
        <w:gridCol w:w="1197"/>
        <w:gridCol w:w="1197"/>
      </w:tblGrid>
      <w:tr w:rsidR="009D46E6" w:rsidRPr="00DB1559" w:rsidTr="00C80B08">
        <w:trPr>
          <w:trHeight w:val="264"/>
        </w:trPr>
        <w:tc>
          <w:tcPr>
            <w:tcW w:w="3092" w:type="dxa"/>
            <w:tcBorders>
              <w:top w:val="nil"/>
              <w:left w:val="nil"/>
              <w:bottom w:val="nil"/>
              <w:right w:val="nil"/>
            </w:tcBorders>
            <w:noWrap/>
            <w:vAlign w:val="bottom"/>
          </w:tcPr>
          <w:p w:rsidR="009D46E6" w:rsidRPr="002E3AE4" w:rsidRDefault="009D46E6" w:rsidP="00C80B08">
            <w:pPr>
              <w:spacing w:line="240" w:lineRule="auto"/>
              <w:rPr>
                <w:rFonts w:cs="Tahoma"/>
                <w:color w:val="000000"/>
                <w:sz w:val="16"/>
                <w:szCs w:val="16"/>
                <w:lang w:eastAsia="cs-CZ"/>
              </w:rPr>
            </w:pPr>
          </w:p>
        </w:tc>
        <w:tc>
          <w:tcPr>
            <w:tcW w:w="1197" w:type="dxa"/>
            <w:tcBorders>
              <w:top w:val="nil"/>
              <w:left w:val="nil"/>
              <w:bottom w:val="nil"/>
              <w:right w:val="nil"/>
            </w:tcBorders>
            <w:noWrap/>
            <w:vAlign w:val="bottom"/>
          </w:tcPr>
          <w:p w:rsidR="009D46E6" w:rsidRPr="002E3AE4" w:rsidRDefault="009D46E6" w:rsidP="00C80B08">
            <w:pPr>
              <w:spacing w:line="240" w:lineRule="auto"/>
              <w:rPr>
                <w:rFonts w:cs="Tahoma"/>
                <w:color w:val="000000"/>
                <w:sz w:val="16"/>
                <w:szCs w:val="16"/>
                <w:lang w:eastAsia="cs-CZ"/>
              </w:rPr>
            </w:pPr>
          </w:p>
        </w:tc>
        <w:tc>
          <w:tcPr>
            <w:tcW w:w="1197" w:type="dxa"/>
            <w:tcBorders>
              <w:top w:val="nil"/>
              <w:left w:val="nil"/>
              <w:bottom w:val="nil"/>
              <w:right w:val="nil"/>
            </w:tcBorders>
            <w:noWrap/>
            <w:vAlign w:val="bottom"/>
          </w:tcPr>
          <w:p w:rsidR="009D46E6" w:rsidRPr="002E3AE4" w:rsidRDefault="009D46E6" w:rsidP="00C80B08">
            <w:pPr>
              <w:spacing w:line="240" w:lineRule="auto"/>
              <w:rPr>
                <w:rFonts w:cs="Tahoma"/>
                <w:color w:val="000000"/>
                <w:sz w:val="16"/>
                <w:szCs w:val="16"/>
                <w:lang w:eastAsia="cs-CZ"/>
              </w:rPr>
            </w:pPr>
          </w:p>
        </w:tc>
        <w:tc>
          <w:tcPr>
            <w:tcW w:w="1197" w:type="dxa"/>
            <w:tcBorders>
              <w:top w:val="nil"/>
              <w:left w:val="nil"/>
              <w:bottom w:val="nil"/>
              <w:right w:val="nil"/>
            </w:tcBorders>
            <w:noWrap/>
            <w:vAlign w:val="bottom"/>
          </w:tcPr>
          <w:p w:rsidR="009D46E6" w:rsidRPr="002E3AE4" w:rsidRDefault="009D46E6" w:rsidP="00C80B08">
            <w:pPr>
              <w:spacing w:line="240" w:lineRule="auto"/>
              <w:rPr>
                <w:rFonts w:cs="Tahoma"/>
                <w:color w:val="000000"/>
                <w:sz w:val="16"/>
                <w:szCs w:val="16"/>
                <w:lang w:eastAsia="cs-CZ"/>
              </w:rPr>
            </w:pPr>
          </w:p>
        </w:tc>
        <w:tc>
          <w:tcPr>
            <w:tcW w:w="1197" w:type="dxa"/>
            <w:tcBorders>
              <w:top w:val="nil"/>
              <w:left w:val="nil"/>
              <w:bottom w:val="nil"/>
              <w:right w:val="nil"/>
            </w:tcBorders>
            <w:noWrap/>
            <w:vAlign w:val="bottom"/>
          </w:tcPr>
          <w:p w:rsidR="009D46E6" w:rsidRPr="002E3AE4" w:rsidRDefault="009D46E6" w:rsidP="00C80B08">
            <w:pPr>
              <w:spacing w:line="240" w:lineRule="auto"/>
              <w:rPr>
                <w:rFonts w:cs="Tahoma"/>
                <w:color w:val="000000"/>
                <w:sz w:val="16"/>
                <w:szCs w:val="16"/>
                <w:lang w:eastAsia="cs-CZ"/>
              </w:rPr>
            </w:pPr>
          </w:p>
        </w:tc>
        <w:tc>
          <w:tcPr>
            <w:tcW w:w="1197" w:type="dxa"/>
            <w:tcBorders>
              <w:top w:val="nil"/>
              <w:left w:val="nil"/>
              <w:bottom w:val="nil"/>
              <w:right w:val="nil"/>
            </w:tcBorders>
            <w:noWrap/>
            <w:vAlign w:val="bottom"/>
          </w:tcPr>
          <w:p w:rsidR="009D46E6" w:rsidRPr="002E3AE4" w:rsidRDefault="009D46E6" w:rsidP="00C80B08">
            <w:pPr>
              <w:spacing w:line="240" w:lineRule="auto"/>
              <w:jc w:val="right"/>
              <w:rPr>
                <w:rFonts w:cs="Tahoma"/>
                <w:color w:val="000000"/>
                <w:sz w:val="16"/>
                <w:szCs w:val="16"/>
                <w:lang w:eastAsia="cs-CZ"/>
              </w:rPr>
            </w:pPr>
            <w:r w:rsidRPr="002E3AE4">
              <w:rPr>
                <w:rFonts w:cs="Tahoma"/>
                <w:color w:val="000000"/>
                <w:sz w:val="16"/>
                <w:szCs w:val="16"/>
                <w:lang w:eastAsia="cs-CZ"/>
              </w:rPr>
              <w:t>mil. Kč</w:t>
            </w:r>
          </w:p>
        </w:tc>
      </w:tr>
      <w:tr w:rsidR="009D46E6" w:rsidRPr="00DB1559" w:rsidTr="00C80B08">
        <w:trPr>
          <w:trHeight w:val="264"/>
        </w:trPr>
        <w:tc>
          <w:tcPr>
            <w:tcW w:w="3092" w:type="dxa"/>
            <w:tcBorders>
              <w:top w:val="single" w:sz="4" w:space="0" w:color="auto"/>
              <w:left w:val="nil"/>
              <w:bottom w:val="single" w:sz="4" w:space="0" w:color="auto"/>
              <w:right w:val="nil"/>
            </w:tcBorders>
            <w:noWrap/>
            <w:vAlign w:val="bottom"/>
          </w:tcPr>
          <w:p w:rsidR="009D46E6" w:rsidRPr="002E3AE4" w:rsidRDefault="009D46E6" w:rsidP="00C80B08">
            <w:pPr>
              <w:spacing w:line="240" w:lineRule="auto"/>
              <w:jc w:val="center"/>
              <w:rPr>
                <w:rFonts w:cs="Tahoma"/>
                <w:bCs/>
                <w:color w:val="000000"/>
                <w:sz w:val="16"/>
                <w:szCs w:val="16"/>
                <w:lang w:eastAsia="cs-CZ"/>
              </w:rPr>
            </w:pPr>
            <w:r w:rsidRPr="002E3AE4">
              <w:rPr>
                <w:rFonts w:cs="Tahoma"/>
                <w:bCs/>
                <w:color w:val="000000"/>
                <w:sz w:val="16"/>
                <w:szCs w:val="16"/>
                <w:lang w:eastAsia="cs-CZ"/>
              </w:rPr>
              <w:t>Sektory</w:t>
            </w:r>
          </w:p>
        </w:tc>
        <w:tc>
          <w:tcPr>
            <w:tcW w:w="1197" w:type="dxa"/>
            <w:tcBorders>
              <w:top w:val="single" w:sz="4" w:space="0" w:color="auto"/>
              <w:left w:val="single" w:sz="4" w:space="0" w:color="auto"/>
              <w:bottom w:val="single" w:sz="4" w:space="0" w:color="auto"/>
              <w:right w:val="single" w:sz="4" w:space="0" w:color="auto"/>
            </w:tcBorders>
            <w:noWrap/>
            <w:vAlign w:val="bottom"/>
          </w:tcPr>
          <w:p w:rsidR="009D46E6" w:rsidRPr="002E3AE4" w:rsidRDefault="009D46E6" w:rsidP="00C80B08">
            <w:pPr>
              <w:spacing w:line="240" w:lineRule="auto"/>
              <w:jc w:val="right"/>
              <w:rPr>
                <w:rFonts w:cs="Tahoma"/>
                <w:bCs/>
                <w:color w:val="000000"/>
                <w:sz w:val="16"/>
                <w:szCs w:val="16"/>
                <w:lang w:eastAsia="cs-CZ"/>
              </w:rPr>
            </w:pPr>
            <w:r w:rsidRPr="002E3AE4">
              <w:rPr>
                <w:rFonts w:cs="Tahoma"/>
                <w:bCs/>
                <w:color w:val="000000"/>
                <w:sz w:val="16"/>
                <w:szCs w:val="16"/>
                <w:lang w:eastAsia="cs-CZ"/>
              </w:rPr>
              <w:t>2007</w:t>
            </w:r>
          </w:p>
        </w:tc>
        <w:tc>
          <w:tcPr>
            <w:tcW w:w="1197" w:type="dxa"/>
            <w:tcBorders>
              <w:top w:val="single" w:sz="4" w:space="0" w:color="auto"/>
              <w:left w:val="nil"/>
              <w:bottom w:val="single" w:sz="4" w:space="0" w:color="auto"/>
              <w:right w:val="single" w:sz="4" w:space="0" w:color="auto"/>
            </w:tcBorders>
            <w:noWrap/>
            <w:vAlign w:val="bottom"/>
          </w:tcPr>
          <w:p w:rsidR="009D46E6" w:rsidRPr="002E3AE4" w:rsidRDefault="009D46E6" w:rsidP="00C80B08">
            <w:pPr>
              <w:spacing w:line="240" w:lineRule="auto"/>
              <w:jc w:val="right"/>
              <w:rPr>
                <w:rFonts w:cs="Tahoma"/>
                <w:bCs/>
                <w:color w:val="000000"/>
                <w:sz w:val="16"/>
                <w:szCs w:val="16"/>
                <w:lang w:eastAsia="cs-CZ"/>
              </w:rPr>
            </w:pPr>
            <w:r w:rsidRPr="002E3AE4">
              <w:rPr>
                <w:rFonts w:cs="Tahoma"/>
                <w:bCs/>
                <w:color w:val="000000"/>
                <w:sz w:val="16"/>
                <w:szCs w:val="16"/>
                <w:lang w:eastAsia="cs-CZ"/>
              </w:rPr>
              <w:t>2008</w:t>
            </w:r>
          </w:p>
        </w:tc>
        <w:tc>
          <w:tcPr>
            <w:tcW w:w="1197" w:type="dxa"/>
            <w:tcBorders>
              <w:top w:val="single" w:sz="4" w:space="0" w:color="auto"/>
              <w:left w:val="nil"/>
              <w:bottom w:val="single" w:sz="4" w:space="0" w:color="auto"/>
              <w:right w:val="single" w:sz="4" w:space="0" w:color="auto"/>
            </w:tcBorders>
            <w:noWrap/>
            <w:vAlign w:val="bottom"/>
          </w:tcPr>
          <w:p w:rsidR="009D46E6" w:rsidRPr="002E3AE4" w:rsidRDefault="009D46E6" w:rsidP="00C80B08">
            <w:pPr>
              <w:spacing w:line="240" w:lineRule="auto"/>
              <w:jc w:val="right"/>
              <w:rPr>
                <w:rFonts w:cs="Tahoma"/>
                <w:bCs/>
                <w:color w:val="000000"/>
                <w:sz w:val="16"/>
                <w:szCs w:val="16"/>
                <w:lang w:eastAsia="cs-CZ"/>
              </w:rPr>
            </w:pPr>
            <w:r w:rsidRPr="002E3AE4">
              <w:rPr>
                <w:rFonts w:cs="Tahoma"/>
                <w:bCs/>
                <w:color w:val="000000"/>
                <w:sz w:val="16"/>
                <w:szCs w:val="16"/>
                <w:lang w:eastAsia="cs-CZ"/>
              </w:rPr>
              <w:t>2009</w:t>
            </w:r>
          </w:p>
        </w:tc>
        <w:tc>
          <w:tcPr>
            <w:tcW w:w="1197" w:type="dxa"/>
            <w:tcBorders>
              <w:top w:val="single" w:sz="4" w:space="0" w:color="auto"/>
              <w:left w:val="nil"/>
              <w:bottom w:val="single" w:sz="4" w:space="0" w:color="auto"/>
              <w:right w:val="single" w:sz="4" w:space="0" w:color="auto"/>
            </w:tcBorders>
            <w:noWrap/>
            <w:vAlign w:val="bottom"/>
          </w:tcPr>
          <w:p w:rsidR="009D46E6" w:rsidRPr="002E3AE4" w:rsidRDefault="009D46E6" w:rsidP="00C80B08">
            <w:pPr>
              <w:spacing w:line="240" w:lineRule="auto"/>
              <w:jc w:val="right"/>
              <w:rPr>
                <w:rFonts w:cs="Tahoma"/>
                <w:bCs/>
                <w:color w:val="000000"/>
                <w:sz w:val="16"/>
                <w:szCs w:val="16"/>
                <w:lang w:eastAsia="cs-CZ"/>
              </w:rPr>
            </w:pPr>
            <w:r w:rsidRPr="002E3AE4">
              <w:rPr>
                <w:rFonts w:cs="Tahoma"/>
                <w:bCs/>
                <w:color w:val="000000"/>
                <w:sz w:val="16"/>
                <w:szCs w:val="16"/>
                <w:lang w:eastAsia="cs-CZ"/>
              </w:rPr>
              <w:t>2010</w:t>
            </w:r>
          </w:p>
        </w:tc>
        <w:tc>
          <w:tcPr>
            <w:tcW w:w="1197" w:type="dxa"/>
            <w:tcBorders>
              <w:top w:val="single" w:sz="4" w:space="0" w:color="auto"/>
              <w:left w:val="nil"/>
              <w:bottom w:val="single" w:sz="4" w:space="0" w:color="auto"/>
              <w:right w:val="nil"/>
            </w:tcBorders>
            <w:noWrap/>
            <w:vAlign w:val="bottom"/>
          </w:tcPr>
          <w:p w:rsidR="009D46E6" w:rsidRPr="002E3AE4" w:rsidRDefault="009D46E6" w:rsidP="00C80B08">
            <w:pPr>
              <w:spacing w:line="240" w:lineRule="auto"/>
              <w:jc w:val="right"/>
              <w:rPr>
                <w:rFonts w:cs="Tahoma"/>
                <w:bCs/>
                <w:color w:val="000000"/>
                <w:sz w:val="16"/>
                <w:szCs w:val="16"/>
                <w:lang w:eastAsia="cs-CZ"/>
              </w:rPr>
            </w:pPr>
            <w:r w:rsidRPr="002E3AE4">
              <w:rPr>
                <w:rFonts w:cs="Tahoma"/>
                <w:bCs/>
                <w:color w:val="000000"/>
                <w:sz w:val="16"/>
                <w:szCs w:val="16"/>
                <w:lang w:eastAsia="cs-CZ"/>
              </w:rPr>
              <w:t>2011</w:t>
            </w:r>
          </w:p>
        </w:tc>
      </w:tr>
      <w:tr w:rsidR="009D46E6" w:rsidRPr="00DB1559" w:rsidTr="00C80B08">
        <w:trPr>
          <w:trHeight w:val="264"/>
        </w:trPr>
        <w:tc>
          <w:tcPr>
            <w:tcW w:w="3092" w:type="dxa"/>
            <w:tcBorders>
              <w:top w:val="nil"/>
              <w:left w:val="nil"/>
              <w:bottom w:val="nil"/>
              <w:right w:val="nil"/>
            </w:tcBorders>
            <w:noWrap/>
            <w:vAlign w:val="bottom"/>
          </w:tcPr>
          <w:p w:rsidR="009D46E6" w:rsidRPr="002E3AE4" w:rsidRDefault="009D46E6" w:rsidP="00C80B08">
            <w:pPr>
              <w:spacing w:line="240" w:lineRule="auto"/>
              <w:rPr>
                <w:rFonts w:cs="Tahoma"/>
                <w:color w:val="000000"/>
                <w:sz w:val="16"/>
                <w:szCs w:val="16"/>
                <w:lang w:eastAsia="cs-CZ"/>
              </w:rPr>
            </w:pPr>
            <w:r w:rsidRPr="002E3AE4">
              <w:rPr>
                <w:rFonts w:cs="Tahoma"/>
                <w:color w:val="000000"/>
                <w:sz w:val="16"/>
                <w:szCs w:val="16"/>
                <w:lang w:eastAsia="cs-CZ"/>
              </w:rPr>
              <w:t>Podnikatelský sektor*</w:t>
            </w:r>
          </w:p>
        </w:tc>
        <w:tc>
          <w:tcPr>
            <w:tcW w:w="1197" w:type="dxa"/>
            <w:tcBorders>
              <w:top w:val="nil"/>
              <w:left w:val="single" w:sz="4" w:space="0" w:color="auto"/>
              <w:bottom w:val="nil"/>
              <w:right w:val="single" w:sz="4" w:space="0" w:color="auto"/>
            </w:tcBorders>
            <w:noWrap/>
            <w:vAlign w:val="bottom"/>
          </w:tcPr>
          <w:p w:rsidR="009D46E6" w:rsidRPr="002E3AE4" w:rsidRDefault="009D46E6" w:rsidP="00C80B08">
            <w:pPr>
              <w:spacing w:line="240" w:lineRule="auto"/>
              <w:jc w:val="right"/>
              <w:rPr>
                <w:rFonts w:cs="Tahoma"/>
                <w:color w:val="000000"/>
                <w:sz w:val="16"/>
                <w:szCs w:val="16"/>
                <w:lang w:eastAsia="cs-CZ"/>
              </w:rPr>
            </w:pPr>
            <w:r w:rsidRPr="002E3AE4">
              <w:rPr>
                <w:rFonts w:cs="Tahoma"/>
                <w:color w:val="000000"/>
                <w:sz w:val="16"/>
                <w:szCs w:val="16"/>
                <w:lang w:eastAsia="cs-CZ"/>
              </w:rPr>
              <w:t>1 210,1</w:t>
            </w:r>
          </w:p>
        </w:tc>
        <w:tc>
          <w:tcPr>
            <w:tcW w:w="1197" w:type="dxa"/>
            <w:tcBorders>
              <w:top w:val="nil"/>
              <w:left w:val="nil"/>
              <w:bottom w:val="nil"/>
              <w:right w:val="single" w:sz="4" w:space="0" w:color="auto"/>
            </w:tcBorders>
            <w:noWrap/>
            <w:vAlign w:val="bottom"/>
          </w:tcPr>
          <w:p w:rsidR="009D46E6" w:rsidRPr="002E3AE4" w:rsidRDefault="009D46E6" w:rsidP="00C80B08">
            <w:pPr>
              <w:spacing w:line="240" w:lineRule="auto"/>
              <w:jc w:val="right"/>
              <w:rPr>
                <w:rFonts w:cs="Tahoma"/>
                <w:color w:val="000000"/>
                <w:sz w:val="16"/>
                <w:szCs w:val="16"/>
                <w:lang w:eastAsia="cs-CZ"/>
              </w:rPr>
            </w:pPr>
            <w:r w:rsidRPr="002E3AE4">
              <w:rPr>
                <w:rFonts w:cs="Tahoma"/>
                <w:color w:val="000000"/>
                <w:sz w:val="16"/>
                <w:szCs w:val="16"/>
                <w:lang w:eastAsia="cs-CZ"/>
              </w:rPr>
              <w:t>1 022,1</w:t>
            </w:r>
          </w:p>
        </w:tc>
        <w:tc>
          <w:tcPr>
            <w:tcW w:w="1197" w:type="dxa"/>
            <w:tcBorders>
              <w:top w:val="nil"/>
              <w:left w:val="nil"/>
              <w:bottom w:val="nil"/>
              <w:right w:val="single" w:sz="4" w:space="0" w:color="auto"/>
            </w:tcBorders>
            <w:noWrap/>
            <w:vAlign w:val="bottom"/>
          </w:tcPr>
          <w:p w:rsidR="009D46E6" w:rsidRPr="002E3AE4" w:rsidRDefault="009D46E6" w:rsidP="00C80B08">
            <w:pPr>
              <w:spacing w:line="240" w:lineRule="auto"/>
              <w:jc w:val="right"/>
              <w:rPr>
                <w:rFonts w:cs="Tahoma"/>
                <w:color w:val="000000"/>
                <w:sz w:val="16"/>
                <w:szCs w:val="16"/>
                <w:lang w:eastAsia="cs-CZ"/>
              </w:rPr>
            </w:pPr>
            <w:r w:rsidRPr="002E3AE4">
              <w:rPr>
                <w:rFonts w:cs="Tahoma"/>
                <w:color w:val="000000"/>
                <w:sz w:val="16"/>
                <w:szCs w:val="16"/>
                <w:lang w:eastAsia="cs-CZ"/>
              </w:rPr>
              <w:t>1 052,2</w:t>
            </w:r>
          </w:p>
        </w:tc>
        <w:tc>
          <w:tcPr>
            <w:tcW w:w="1197" w:type="dxa"/>
            <w:tcBorders>
              <w:top w:val="nil"/>
              <w:left w:val="nil"/>
              <w:bottom w:val="nil"/>
              <w:right w:val="single" w:sz="4" w:space="0" w:color="auto"/>
            </w:tcBorders>
            <w:noWrap/>
            <w:vAlign w:val="bottom"/>
          </w:tcPr>
          <w:p w:rsidR="009D46E6" w:rsidRPr="002E3AE4" w:rsidRDefault="009D46E6" w:rsidP="00C80B08">
            <w:pPr>
              <w:spacing w:line="240" w:lineRule="auto"/>
              <w:jc w:val="right"/>
              <w:rPr>
                <w:rFonts w:cs="Tahoma"/>
                <w:color w:val="000000"/>
                <w:sz w:val="16"/>
                <w:szCs w:val="16"/>
                <w:lang w:eastAsia="cs-CZ"/>
              </w:rPr>
            </w:pPr>
            <w:r w:rsidRPr="002E3AE4">
              <w:rPr>
                <w:rFonts w:cs="Tahoma"/>
                <w:color w:val="000000"/>
                <w:sz w:val="16"/>
                <w:szCs w:val="16"/>
                <w:lang w:eastAsia="cs-CZ"/>
              </w:rPr>
              <w:t>1 320,4</w:t>
            </w:r>
          </w:p>
        </w:tc>
        <w:tc>
          <w:tcPr>
            <w:tcW w:w="1197" w:type="dxa"/>
            <w:tcBorders>
              <w:top w:val="nil"/>
              <w:left w:val="nil"/>
              <w:bottom w:val="nil"/>
              <w:right w:val="nil"/>
            </w:tcBorders>
            <w:noWrap/>
            <w:vAlign w:val="bottom"/>
          </w:tcPr>
          <w:p w:rsidR="009D46E6" w:rsidRPr="002E3AE4" w:rsidRDefault="009D46E6" w:rsidP="00C80B08">
            <w:pPr>
              <w:spacing w:line="240" w:lineRule="auto"/>
              <w:jc w:val="right"/>
              <w:rPr>
                <w:rFonts w:cs="Tahoma"/>
                <w:color w:val="000000"/>
                <w:sz w:val="16"/>
                <w:szCs w:val="16"/>
                <w:lang w:eastAsia="cs-CZ"/>
              </w:rPr>
            </w:pPr>
            <w:r w:rsidRPr="002E3AE4">
              <w:rPr>
                <w:rFonts w:cs="Tahoma"/>
                <w:color w:val="000000"/>
                <w:sz w:val="16"/>
                <w:szCs w:val="16"/>
                <w:lang w:eastAsia="cs-CZ"/>
              </w:rPr>
              <w:t>1 846,4</w:t>
            </w:r>
          </w:p>
        </w:tc>
      </w:tr>
      <w:tr w:rsidR="009D46E6" w:rsidRPr="00DB1559" w:rsidTr="00C80B08">
        <w:trPr>
          <w:trHeight w:val="264"/>
        </w:trPr>
        <w:tc>
          <w:tcPr>
            <w:tcW w:w="3092" w:type="dxa"/>
            <w:tcBorders>
              <w:top w:val="nil"/>
              <w:left w:val="nil"/>
              <w:bottom w:val="nil"/>
              <w:right w:val="nil"/>
            </w:tcBorders>
            <w:noWrap/>
            <w:vAlign w:val="bottom"/>
          </w:tcPr>
          <w:p w:rsidR="009D46E6" w:rsidRPr="002E3AE4" w:rsidRDefault="009D46E6" w:rsidP="00C80B08">
            <w:pPr>
              <w:spacing w:line="240" w:lineRule="auto"/>
              <w:rPr>
                <w:rFonts w:cs="Tahoma"/>
                <w:color w:val="000000"/>
                <w:sz w:val="16"/>
                <w:szCs w:val="16"/>
                <w:lang w:eastAsia="cs-CZ"/>
              </w:rPr>
            </w:pPr>
            <w:r w:rsidRPr="002E3AE4">
              <w:rPr>
                <w:rFonts w:cs="Tahoma"/>
                <w:color w:val="000000"/>
                <w:sz w:val="16"/>
                <w:szCs w:val="16"/>
                <w:lang w:eastAsia="cs-CZ"/>
              </w:rPr>
              <w:t>Veřejný sektor</w:t>
            </w:r>
          </w:p>
        </w:tc>
        <w:tc>
          <w:tcPr>
            <w:tcW w:w="1197" w:type="dxa"/>
            <w:tcBorders>
              <w:top w:val="nil"/>
              <w:left w:val="single" w:sz="4" w:space="0" w:color="auto"/>
              <w:bottom w:val="nil"/>
              <w:right w:val="single" w:sz="4" w:space="0" w:color="auto"/>
            </w:tcBorders>
            <w:noWrap/>
            <w:vAlign w:val="bottom"/>
          </w:tcPr>
          <w:p w:rsidR="009D46E6" w:rsidRPr="002E3AE4" w:rsidRDefault="009D46E6" w:rsidP="00C80B08">
            <w:pPr>
              <w:spacing w:line="240" w:lineRule="auto"/>
              <w:jc w:val="right"/>
              <w:rPr>
                <w:rFonts w:cs="Tahoma"/>
                <w:color w:val="000000"/>
                <w:sz w:val="16"/>
                <w:szCs w:val="16"/>
                <w:lang w:eastAsia="cs-CZ"/>
              </w:rPr>
            </w:pPr>
            <w:r w:rsidRPr="002E3AE4">
              <w:rPr>
                <w:rFonts w:cs="Tahoma"/>
                <w:color w:val="000000"/>
                <w:sz w:val="16"/>
                <w:szCs w:val="16"/>
                <w:lang w:eastAsia="cs-CZ"/>
              </w:rPr>
              <w:t>0,7</w:t>
            </w:r>
          </w:p>
        </w:tc>
        <w:tc>
          <w:tcPr>
            <w:tcW w:w="1197" w:type="dxa"/>
            <w:tcBorders>
              <w:top w:val="nil"/>
              <w:left w:val="nil"/>
              <w:bottom w:val="nil"/>
              <w:right w:val="single" w:sz="4" w:space="0" w:color="auto"/>
            </w:tcBorders>
            <w:noWrap/>
            <w:vAlign w:val="bottom"/>
          </w:tcPr>
          <w:p w:rsidR="009D46E6" w:rsidRPr="002E3AE4" w:rsidRDefault="009D46E6" w:rsidP="00C80B08">
            <w:pPr>
              <w:spacing w:line="240" w:lineRule="auto"/>
              <w:jc w:val="right"/>
              <w:rPr>
                <w:rFonts w:cs="Tahoma"/>
                <w:color w:val="000000"/>
                <w:sz w:val="16"/>
                <w:szCs w:val="16"/>
                <w:lang w:eastAsia="cs-CZ"/>
              </w:rPr>
            </w:pPr>
            <w:r w:rsidRPr="002E3AE4">
              <w:rPr>
                <w:rFonts w:cs="Tahoma"/>
                <w:color w:val="000000"/>
                <w:sz w:val="16"/>
                <w:szCs w:val="16"/>
                <w:lang w:eastAsia="cs-CZ"/>
              </w:rPr>
              <w:t>0,7</w:t>
            </w:r>
          </w:p>
        </w:tc>
        <w:tc>
          <w:tcPr>
            <w:tcW w:w="1197" w:type="dxa"/>
            <w:tcBorders>
              <w:top w:val="nil"/>
              <w:left w:val="nil"/>
              <w:bottom w:val="nil"/>
              <w:right w:val="single" w:sz="4" w:space="0" w:color="auto"/>
            </w:tcBorders>
            <w:noWrap/>
            <w:vAlign w:val="bottom"/>
          </w:tcPr>
          <w:p w:rsidR="009D46E6" w:rsidRPr="002E3AE4" w:rsidRDefault="009D46E6" w:rsidP="00C80B08">
            <w:pPr>
              <w:spacing w:line="240" w:lineRule="auto"/>
              <w:jc w:val="right"/>
              <w:rPr>
                <w:rFonts w:cs="Tahoma"/>
                <w:color w:val="000000"/>
                <w:sz w:val="16"/>
                <w:szCs w:val="16"/>
                <w:lang w:eastAsia="cs-CZ"/>
              </w:rPr>
            </w:pPr>
            <w:r w:rsidRPr="002E3AE4">
              <w:rPr>
                <w:rFonts w:cs="Tahoma"/>
                <w:color w:val="000000"/>
                <w:sz w:val="16"/>
                <w:szCs w:val="16"/>
                <w:lang w:eastAsia="cs-CZ"/>
              </w:rPr>
              <w:t>0,3</w:t>
            </w:r>
          </w:p>
        </w:tc>
        <w:tc>
          <w:tcPr>
            <w:tcW w:w="1197" w:type="dxa"/>
            <w:tcBorders>
              <w:top w:val="nil"/>
              <w:left w:val="nil"/>
              <w:bottom w:val="nil"/>
              <w:right w:val="single" w:sz="4" w:space="0" w:color="auto"/>
            </w:tcBorders>
            <w:noWrap/>
            <w:vAlign w:val="bottom"/>
          </w:tcPr>
          <w:p w:rsidR="009D46E6" w:rsidRPr="002E3AE4" w:rsidRDefault="009D46E6" w:rsidP="00C80B08">
            <w:pPr>
              <w:spacing w:line="240" w:lineRule="auto"/>
              <w:jc w:val="right"/>
              <w:rPr>
                <w:rFonts w:cs="Tahoma"/>
                <w:color w:val="000000"/>
                <w:sz w:val="16"/>
                <w:szCs w:val="16"/>
                <w:lang w:eastAsia="cs-CZ"/>
              </w:rPr>
            </w:pPr>
            <w:r w:rsidRPr="002E3AE4">
              <w:rPr>
                <w:rFonts w:cs="Tahoma"/>
                <w:color w:val="000000"/>
                <w:sz w:val="16"/>
                <w:szCs w:val="16"/>
                <w:lang w:eastAsia="cs-CZ"/>
              </w:rPr>
              <w:t>0,2</w:t>
            </w:r>
          </w:p>
        </w:tc>
        <w:tc>
          <w:tcPr>
            <w:tcW w:w="1197" w:type="dxa"/>
            <w:tcBorders>
              <w:top w:val="nil"/>
              <w:left w:val="nil"/>
              <w:bottom w:val="nil"/>
              <w:right w:val="nil"/>
            </w:tcBorders>
            <w:noWrap/>
            <w:vAlign w:val="bottom"/>
          </w:tcPr>
          <w:p w:rsidR="009D46E6" w:rsidRPr="002E3AE4" w:rsidRDefault="009D46E6" w:rsidP="00C80B08">
            <w:pPr>
              <w:spacing w:line="240" w:lineRule="auto"/>
              <w:jc w:val="right"/>
              <w:rPr>
                <w:rFonts w:cs="Tahoma"/>
                <w:color w:val="000000"/>
                <w:sz w:val="16"/>
                <w:szCs w:val="16"/>
                <w:lang w:eastAsia="cs-CZ"/>
              </w:rPr>
            </w:pPr>
            <w:r w:rsidRPr="002E3AE4">
              <w:rPr>
                <w:rFonts w:cs="Tahoma"/>
                <w:color w:val="000000"/>
                <w:sz w:val="16"/>
                <w:szCs w:val="16"/>
                <w:lang w:eastAsia="cs-CZ"/>
              </w:rPr>
              <w:t>0,2</w:t>
            </w:r>
          </w:p>
        </w:tc>
      </w:tr>
      <w:tr w:rsidR="009D46E6" w:rsidRPr="00DB1559" w:rsidTr="00C80B08">
        <w:trPr>
          <w:trHeight w:val="264"/>
        </w:trPr>
        <w:tc>
          <w:tcPr>
            <w:tcW w:w="3092" w:type="dxa"/>
            <w:tcBorders>
              <w:top w:val="nil"/>
              <w:left w:val="nil"/>
              <w:bottom w:val="single" w:sz="4" w:space="0" w:color="auto"/>
              <w:right w:val="nil"/>
            </w:tcBorders>
            <w:noWrap/>
            <w:vAlign w:val="bottom"/>
          </w:tcPr>
          <w:p w:rsidR="009D46E6" w:rsidRPr="002E3AE4" w:rsidRDefault="009D46E6" w:rsidP="00C80B08">
            <w:pPr>
              <w:spacing w:line="240" w:lineRule="auto"/>
              <w:rPr>
                <w:rFonts w:cs="Tahoma"/>
                <w:color w:val="000000"/>
                <w:sz w:val="16"/>
                <w:szCs w:val="16"/>
                <w:lang w:eastAsia="cs-CZ"/>
              </w:rPr>
            </w:pPr>
            <w:r w:rsidRPr="002E3AE4">
              <w:rPr>
                <w:rFonts w:cs="Tahoma"/>
                <w:color w:val="000000"/>
                <w:sz w:val="16"/>
                <w:szCs w:val="16"/>
                <w:lang w:eastAsia="cs-CZ"/>
              </w:rPr>
              <w:t>Soukromý neziskový sektor</w:t>
            </w:r>
          </w:p>
        </w:tc>
        <w:tc>
          <w:tcPr>
            <w:tcW w:w="1197" w:type="dxa"/>
            <w:tcBorders>
              <w:top w:val="nil"/>
              <w:left w:val="single" w:sz="4" w:space="0" w:color="auto"/>
              <w:bottom w:val="single" w:sz="4" w:space="0" w:color="auto"/>
              <w:right w:val="single" w:sz="4" w:space="0" w:color="auto"/>
            </w:tcBorders>
            <w:noWrap/>
            <w:vAlign w:val="bottom"/>
          </w:tcPr>
          <w:p w:rsidR="009D46E6" w:rsidRPr="002E3AE4" w:rsidRDefault="009D46E6" w:rsidP="00C80B08">
            <w:pPr>
              <w:spacing w:line="240" w:lineRule="auto"/>
              <w:jc w:val="right"/>
              <w:rPr>
                <w:rFonts w:cs="Tahoma"/>
                <w:color w:val="000000"/>
                <w:sz w:val="16"/>
                <w:szCs w:val="16"/>
                <w:lang w:eastAsia="cs-CZ"/>
              </w:rPr>
            </w:pPr>
            <w:r w:rsidRPr="002E3AE4">
              <w:rPr>
                <w:rFonts w:cs="Tahoma"/>
                <w:color w:val="000000"/>
                <w:sz w:val="16"/>
                <w:szCs w:val="16"/>
                <w:lang w:eastAsia="cs-CZ"/>
              </w:rPr>
              <w:t>0,1</w:t>
            </w:r>
          </w:p>
        </w:tc>
        <w:tc>
          <w:tcPr>
            <w:tcW w:w="1197" w:type="dxa"/>
            <w:tcBorders>
              <w:top w:val="nil"/>
              <w:left w:val="nil"/>
              <w:bottom w:val="single" w:sz="4" w:space="0" w:color="auto"/>
              <w:right w:val="single" w:sz="4" w:space="0" w:color="auto"/>
            </w:tcBorders>
            <w:noWrap/>
            <w:vAlign w:val="bottom"/>
          </w:tcPr>
          <w:p w:rsidR="009D46E6" w:rsidRPr="002E3AE4" w:rsidRDefault="009D46E6" w:rsidP="00C80B08">
            <w:pPr>
              <w:spacing w:line="240" w:lineRule="auto"/>
              <w:jc w:val="right"/>
              <w:rPr>
                <w:rFonts w:cs="Tahoma"/>
                <w:color w:val="000000"/>
                <w:sz w:val="16"/>
                <w:szCs w:val="16"/>
                <w:lang w:eastAsia="cs-CZ"/>
              </w:rPr>
            </w:pPr>
            <w:r w:rsidRPr="002E3AE4">
              <w:rPr>
                <w:rFonts w:cs="Tahoma"/>
                <w:color w:val="000000"/>
                <w:sz w:val="16"/>
                <w:szCs w:val="16"/>
                <w:lang w:eastAsia="cs-CZ"/>
              </w:rPr>
              <w:t>0,1</w:t>
            </w:r>
          </w:p>
        </w:tc>
        <w:tc>
          <w:tcPr>
            <w:tcW w:w="1197" w:type="dxa"/>
            <w:tcBorders>
              <w:top w:val="nil"/>
              <w:left w:val="nil"/>
              <w:bottom w:val="single" w:sz="4" w:space="0" w:color="auto"/>
              <w:right w:val="single" w:sz="4" w:space="0" w:color="auto"/>
            </w:tcBorders>
            <w:noWrap/>
            <w:vAlign w:val="bottom"/>
          </w:tcPr>
          <w:p w:rsidR="009D46E6" w:rsidRPr="002E3AE4" w:rsidRDefault="009D46E6" w:rsidP="00C80B08">
            <w:pPr>
              <w:spacing w:line="240" w:lineRule="auto"/>
              <w:jc w:val="right"/>
              <w:rPr>
                <w:rFonts w:cs="Tahoma"/>
                <w:color w:val="000000"/>
                <w:sz w:val="16"/>
                <w:szCs w:val="16"/>
                <w:lang w:eastAsia="cs-CZ"/>
              </w:rPr>
            </w:pPr>
            <w:r w:rsidRPr="002E3AE4">
              <w:rPr>
                <w:rFonts w:cs="Tahoma"/>
                <w:color w:val="000000"/>
                <w:sz w:val="16"/>
                <w:szCs w:val="16"/>
                <w:lang w:eastAsia="cs-CZ"/>
              </w:rPr>
              <w:t>0,1</w:t>
            </w:r>
          </w:p>
        </w:tc>
        <w:tc>
          <w:tcPr>
            <w:tcW w:w="1197" w:type="dxa"/>
            <w:tcBorders>
              <w:top w:val="nil"/>
              <w:left w:val="nil"/>
              <w:bottom w:val="single" w:sz="4" w:space="0" w:color="auto"/>
              <w:right w:val="single" w:sz="4" w:space="0" w:color="auto"/>
            </w:tcBorders>
            <w:noWrap/>
            <w:vAlign w:val="bottom"/>
          </w:tcPr>
          <w:p w:rsidR="009D46E6" w:rsidRPr="002E3AE4" w:rsidRDefault="009D46E6" w:rsidP="00C80B08">
            <w:pPr>
              <w:spacing w:line="240" w:lineRule="auto"/>
              <w:jc w:val="right"/>
              <w:rPr>
                <w:rFonts w:cs="Tahoma"/>
                <w:color w:val="000000"/>
                <w:sz w:val="16"/>
                <w:szCs w:val="16"/>
                <w:lang w:eastAsia="cs-CZ"/>
              </w:rPr>
            </w:pPr>
            <w:r w:rsidRPr="002E3AE4">
              <w:rPr>
                <w:rFonts w:cs="Tahoma"/>
                <w:color w:val="000000"/>
                <w:sz w:val="16"/>
                <w:szCs w:val="16"/>
                <w:lang w:eastAsia="cs-CZ"/>
              </w:rPr>
              <w:t>0,2</w:t>
            </w:r>
          </w:p>
        </w:tc>
        <w:tc>
          <w:tcPr>
            <w:tcW w:w="1197" w:type="dxa"/>
            <w:tcBorders>
              <w:top w:val="nil"/>
              <w:left w:val="nil"/>
              <w:bottom w:val="single" w:sz="4" w:space="0" w:color="auto"/>
              <w:right w:val="nil"/>
            </w:tcBorders>
            <w:noWrap/>
            <w:vAlign w:val="bottom"/>
          </w:tcPr>
          <w:p w:rsidR="009D46E6" w:rsidRPr="002E3AE4" w:rsidRDefault="009D46E6" w:rsidP="00C80B08">
            <w:pPr>
              <w:spacing w:line="240" w:lineRule="auto"/>
              <w:jc w:val="right"/>
              <w:rPr>
                <w:rFonts w:cs="Tahoma"/>
                <w:color w:val="000000"/>
                <w:sz w:val="16"/>
                <w:szCs w:val="16"/>
                <w:lang w:eastAsia="cs-CZ"/>
              </w:rPr>
            </w:pPr>
            <w:r w:rsidRPr="002E3AE4">
              <w:rPr>
                <w:rFonts w:cs="Tahoma"/>
                <w:color w:val="000000"/>
                <w:sz w:val="16"/>
                <w:szCs w:val="16"/>
                <w:lang w:eastAsia="cs-CZ"/>
              </w:rPr>
              <w:t>0,5</w:t>
            </w:r>
          </w:p>
        </w:tc>
      </w:tr>
      <w:tr w:rsidR="009D46E6" w:rsidRPr="00DB1559" w:rsidTr="00C80B08">
        <w:trPr>
          <w:trHeight w:val="264"/>
        </w:trPr>
        <w:tc>
          <w:tcPr>
            <w:tcW w:w="3092" w:type="dxa"/>
            <w:tcBorders>
              <w:top w:val="nil"/>
              <w:left w:val="nil"/>
              <w:bottom w:val="single" w:sz="4" w:space="0" w:color="auto"/>
              <w:right w:val="nil"/>
            </w:tcBorders>
            <w:noWrap/>
            <w:vAlign w:val="bottom"/>
          </w:tcPr>
          <w:p w:rsidR="009D46E6" w:rsidRPr="002E3AE4" w:rsidRDefault="009D46E6" w:rsidP="00C80B08">
            <w:pPr>
              <w:spacing w:line="240" w:lineRule="auto"/>
              <w:rPr>
                <w:rFonts w:cs="Tahoma"/>
                <w:bCs/>
                <w:color w:val="000000"/>
                <w:sz w:val="16"/>
                <w:szCs w:val="16"/>
                <w:lang w:eastAsia="cs-CZ"/>
              </w:rPr>
            </w:pPr>
            <w:r w:rsidRPr="002E3AE4">
              <w:rPr>
                <w:rFonts w:cs="Tahoma"/>
                <w:bCs/>
                <w:color w:val="000000"/>
                <w:sz w:val="16"/>
                <w:szCs w:val="16"/>
                <w:lang w:eastAsia="cs-CZ"/>
              </w:rPr>
              <w:t>Celkový součet</w:t>
            </w:r>
          </w:p>
        </w:tc>
        <w:tc>
          <w:tcPr>
            <w:tcW w:w="1197" w:type="dxa"/>
            <w:tcBorders>
              <w:top w:val="nil"/>
              <w:left w:val="single" w:sz="4" w:space="0" w:color="auto"/>
              <w:bottom w:val="single" w:sz="4" w:space="0" w:color="auto"/>
              <w:right w:val="single" w:sz="4" w:space="0" w:color="auto"/>
            </w:tcBorders>
            <w:noWrap/>
            <w:vAlign w:val="bottom"/>
          </w:tcPr>
          <w:p w:rsidR="009D46E6" w:rsidRPr="002E3AE4" w:rsidRDefault="009D46E6" w:rsidP="00C80B08">
            <w:pPr>
              <w:spacing w:line="240" w:lineRule="auto"/>
              <w:jc w:val="right"/>
              <w:rPr>
                <w:rFonts w:cs="Tahoma"/>
                <w:bCs/>
                <w:color w:val="000000"/>
                <w:sz w:val="16"/>
                <w:szCs w:val="16"/>
                <w:lang w:eastAsia="cs-CZ"/>
              </w:rPr>
            </w:pPr>
            <w:r w:rsidRPr="002E3AE4">
              <w:rPr>
                <w:rFonts w:cs="Tahoma"/>
                <w:bCs/>
                <w:color w:val="000000"/>
                <w:sz w:val="16"/>
                <w:szCs w:val="16"/>
                <w:lang w:eastAsia="cs-CZ"/>
              </w:rPr>
              <w:t>1 210,9</w:t>
            </w:r>
          </w:p>
        </w:tc>
        <w:tc>
          <w:tcPr>
            <w:tcW w:w="1197" w:type="dxa"/>
            <w:tcBorders>
              <w:top w:val="nil"/>
              <w:left w:val="nil"/>
              <w:bottom w:val="single" w:sz="4" w:space="0" w:color="auto"/>
              <w:right w:val="single" w:sz="4" w:space="0" w:color="auto"/>
            </w:tcBorders>
            <w:noWrap/>
            <w:vAlign w:val="bottom"/>
          </w:tcPr>
          <w:p w:rsidR="009D46E6" w:rsidRPr="002E3AE4" w:rsidRDefault="009D46E6" w:rsidP="00C80B08">
            <w:pPr>
              <w:spacing w:line="240" w:lineRule="auto"/>
              <w:jc w:val="right"/>
              <w:rPr>
                <w:rFonts w:cs="Tahoma"/>
                <w:bCs/>
                <w:color w:val="000000"/>
                <w:sz w:val="16"/>
                <w:szCs w:val="16"/>
                <w:lang w:eastAsia="cs-CZ"/>
              </w:rPr>
            </w:pPr>
            <w:r w:rsidRPr="002E3AE4">
              <w:rPr>
                <w:rFonts w:cs="Tahoma"/>
                <w:bCs/>
                <w:color w:val="000000"/>
                <w:sz w:val="16"/>
                <w:szCs w:val="16"/>
                <w:lang w:eastAsia="cs-CZ"/>
              </w:rPr>
              <w:t>1 023,0</w:t>
            </w:r>
          </w:p>
        </w:tc>
        <w:tc>
          <w:tcPr>
            <w:tcW w:w="1197" w:type="dxa"/>
            <w:tcBorders>
              <w:top w:val="nil"/>
              <w:left w:val="nil"/>
              <w:bottom w:val="single" w:sz="4" w:space="0" w:color="auto"/>
              <w:right w:val="single" w:sz="4" w:space="0" w:color="auto"/>
            </w:tcBorders>
            <w:noWrap/>
            <w:vAlign w:val="bottom"/>
          </w:tcPr>
          <w:p w:rsidR="009D46E6" w:rsidRPr="002E3AE4" w:rsidRDefault="009D46E6" w:rsidP="00C80B08">
            <w:pPr>
              <w:spacing w:line="240" w:lineRule="auto"/>
              <w:jc w:val="right"/>
              <w:rPr>
                <w:rFonts w:cs="Tahoma"/>
                <w:bCs/>
                <w:color w:val="000000"/>
                <w:sz w:val="16"/>
                <w:szCs w:val="16"/>
                <w:lang w:eastAsia="cs-CZ"/>
              </w:rPr>
            </w:pPr>
            <w:r w:rsidRPr="002E3AE4">
              <w:rPr>
                <w:rFonts w:cs="Tahoma"/>
                <w:bCs/>
                <w:color w:val="000000"/>
                <w:sz w:val="16"/>
                <w:szCs w:val="16"/>
                <w:lang w:eastAsia="cs-CZ"/>
              </w:rPr>
              <w:t>1 052,7</w:t>
            </w:r>
          </w:p>
        </w:tc>
        <w:tc>
          <w:tcPr>
            <w:tcW w:w="1197" w:type="dxa"/>
            <w:tcBorders>
              <w:top w:val="nil"/>
              <w:left w:val="nil"/>
              <w:bottom w:val="single" w:sz="4" w:space="0" w:color="auto"/>
              <w:right w:val="single" w:sz="4" w:space="0" w:color="auto"/>
            </w:tcBorders>
            <w:noWrap/>
            <w:vAlign w:val="bottom"/>
          </w:tcPr>
          <w:p w:rsidR="009D46E6" w:rsidRPr="002E3AE4" w:rsidRDefault="009D46E6" w:rsidP="00C80B08">
            <w:pPr>
              <w:spacing w:line="240" w:lineRule="auto"/>
              <w:jc w:val="right"/>
              <w:rPr>
                <w:rFonts w:cs="Tahoma"/>
                <w:bCs/>
                <w:color w:val="000000"/>
                <w:sz w:val="16"/>
                <w:szCs w:val="16"/>
                <w:lang w:eastAsia="cs-CZ"/>
              </w:rPr>
            </w:pPr>
            <w:r w:rsidRPr="002E3AE4">
              <w:rPr>
                <w:rFonts w:cs="Tahoma"/>
                <w:bCs/>
                <w:color w:val="000000"/>
                <w:sz w:val="16"/>
                <w:szCs w:val="16"/>
                <w:lang w:eastAsia="cs-CZ"/>
              </w:rPr>
              <w:t>1 320,8</w:t>
            </w:r>
          </w:p>
        </w:tc>
        <w:tc>
          <w:tcPr>
            <w:tcW w:w="1197" w:type="dxa"/>
            <w:tcBorders>
              <w:top w:val="nil"/>
              <w:left w:val="nil"/>
              <w:bottom w:val="single" w:sz="4" w:space="0" w:color="auto"/>
              <w:right w:val="nil"/>
            </w:tcBorders>
            <w:noWrap/>
            <w:vAlign w:val="bottom"/>
          </w:tcPr>
          <w:p w:rsidR="009D46E6" w:rsidRPr="002E3AE4" w:rsidRDefault="009D46E6" w:rsidP="00C80B08">
            <w:pPr>
              <w:spacing w:line="240" w:lineRule="auto"/>
              <w:jc w:val="right"/>
              <w:rPr>
                <w:rFonts w:cs="Tahoma"/>
                <w:bCs/>
                <w:color w:val="000000"/>
                <w:sz w:val="16"/>
                <w:szCs w:val="16"/>
                <w:lang w:eastAsia="cs-CZ"/>
              </w:rPr>
            </w:pPr>
            <w:r w:rsidRPr="002E3AE4">
              <w:rPr>
                <w:rFonts w:cs="Tahoma"/>
                <w:bCs/>
                <w:color w:val="000000"/>
                <w:sz w:val="16"/>
                <w:szCs w:val="16"/>
                <w:lang w:eastAsia="cs-CZ"/>
              </w:rPr>
              <w:t>1 847,2</w:t>
            </w:r>
          </w:p>
        </w:tc>
      </w:tr>
      <w:tr w:rsidR="009D46E6" w:rsidRPr="00DB1559" w:rsidTr="00C80B08">
        <w:trPr>
          <w:trHeight w:val="264"/>
        </w:trPr>
        <w:tc>
          <w:tcPr>
            <w:tcW w:w="3092" w:type="dxa"/>
            <w:tcBorders>
              <w:top w:val="nil"/>
              <w:left w:val="nil"/>
              <w:bottom w:val="nil"/>
              <w:right w:val="nil"/>
            </w:tcBorders>
            <w:noWrap/>
            <w:vAlign w:val="bottom"/>
          </w:tcPr>
          <w:p w:rsidR="009D46E6" w:rsidRPr="002E3AE4" w:rsidRDefault="009D46E6" w:rsidP="00C80B08">
            <w:pPr>
              <w:spacing w:line="240" w:lineRule="auto"/>
              <w:rPr>
                <w:rFonts w:cs="Tahoma"/>
                <w:color w:val="000000"/>
                <w:sz w:val="16"/>
                <w:szCs w:val="16"/>
                <w:lang w:eastAsia="cs-CZ"/>
              </w:rPr>
            </w:pPr>
            <w:r w:rsidRPr="002E3AE4">
              <w:rPr>
                <w:rFonts w:cs="Tahoma"/>
                <w:color w:val="000000"/>
                <w:sz w:val="16"/>
                <w:szCs w:val="16"/>
                <w:lang w:eastAsia="cs-CZ"/>
              </w:rPr>
              <w:t>*pouze podniky bez živnostníků</w:t>
            </w:r>
          </w:p>
        </w:tc>
        <w:tc>
          <w:tcPr>
            <w:tcW w:w="1197" w:type="dxa"/>
            <w:tcBorders>
              <w:top w:val="nil"/>
              <w:left w:val="nil"/>
              <w:bottom w:val="nil"/>
              <w:right w:val="nil"/>
            </w:tcBorders>
            <w:noWrap/>
            <w:vAlign w:val="bottom"/>
          </w:tcPr>
          <w:p w:rsidR="009D46E6" w:rsidRPr="002E3AE4" w:rsidRDefault="009D46E6" w:rsidP="00C80B08">
            <w:pPr>
              <w:spacing w:line="240" w:lineRule="auto"/>
              <w:rPr>
                <w:rFonts w:cs="Tahoma"/>
                <w:color w:val="000000"/>
                <w:sz w:val="16"/>
                <w:szCs w:val="16"/>
                <w:lang w:eastAsia="cs-CZ"/>
              </w:rPr>
            </w:pPr>
          </w:p>
        </w:tc>
        <w:tc>
          <w:tcPr>
            <w:tcW w:w="1197" w:type="dxa"/>
            <w:tcBorders>
              <w:top w:val="nil"/>
              <w:left w:val="nil"/>
              <w:bottom w:val="nil"/>
              <w:right w:val="nil"/>
            </w:tcBorders>
            <w:noWrap/>
            <w:vAlign w:val="bottom"/>
          </w:tcPr>
          <w:p w:rsidR="009D46E6" w:rsidRPr="002E3AE4" w:rsidRDefault="009D46E6" w:rsidP="00C80B08">
            <w:pPr>
              <w:spacing w:line="240" w:lineRule="auto"/>
              <w:rPr>
                <w:rFonts w:cs="Tahoma"/>
                <w:color w:val="000000"/>
                <w:sz w:val="16"/>
                <w:szCs w:val="16"/>
                <w:lang w:eastAsia="cs-CZ"/>
              </w:rPr>
            </w:pPr>
          </w:p>
        </w:tc>
        <w:tc>
          <w:tcPr>
            <w:tcW w:w="1197" w:type="dxa"/>
            <w:tcBorders>
              <w:top w:val="nil"/>
              <w:left w:val="nil"/>
              <w:bottom w:val="nil"/>
              <w:right w:val="nil"/>
            </w:tcBorders>
            <w:noWrap/>
            <w:vAlign w:val="bottom"/>
          </w:tcPr>
          <w:p w:rsidR="009D46E6" w:rsidRPr="002E3AE4" w:rsidRDefault="009D46E6" w:rsidP="00C80B08">
            <w:pPr>
              <w:spacing w:line="240" w:lineRule="auto"/>
              <w:rPr>
                <w:rFonts w:cs="Tahoma"/>
                <w:color w:val="000000"/>
                <w:sz w:val="16"/>
                <w:szCs w:val="16"/>
                <w:lang w:eastAsia="cs-CZ"/>
              </w:rPr>
            </w:pPr>
          </w:p>
        </w:tc>
        <w:tc>
          <w:tcPr>
            <w:tcW w:w="1197" w:type="dxa"/>
            <w:tcBorders>
              <w:top w:val="nil"/>
              <w:left w:val="nil"/>
              <w:bottom w:val="nil"/>
              <w:right w:val="nil"/>
            </w:tcBorders>
            <w:noWrap/>
            <w:vAlign w:val="bottom"/>
          </w:tcPr>
          <w:p w:rsidR="009D46E6" w:rsidRPr="002E3AE4" w:rsidRDefault="009D46E6" w:rsidP="00C80B08">
            <w:pPr>
              <w:spacing w:line="240" w:lineRule="auto"/>
              <w:rPr>
                <w:rFonts w:cs="Tahoma"/>
                <w:color w:val="000000"/>
                <w:sz w:val="16"/>
                <w:szCs w:val="16"/>
                <w:lang w:eastAsia="cs-CZ"/>
              </w:rPr>
            </w:pPr>
          </w:p>
        </w:tc>
        <w:tc>
          <w:tcPr>
            <w:tcW w:w="1197" w:type="dxa"/>
            <w:tcBorders>
              <w:top w:val="nil"/>
              <w:left w:val="nil"/>
              <w:bottom w:val="nil"/>
              <w:right w:val="nil"/>
            </w:tcBorders>
            <w:noWrap/>
            <w:vAlign w:val="bottom"/>
          </w:tcPr>
          <w:p w:rsidR="009D46E6" w:rsidRPr="002E3AE4" w:rsidRDefault="009D46E6" w:rsidP="00C80B08">
            <w:pPr>
              <w:spacing w:line="240" w:lineRule="auto"/>
              <w:rPr>
                <w:rFonts w:cs="Tahoma"/>
                <w:color w:val="000000"/>
                <w:sz w:val="16"/>
                <w:szCs w:val="16"/>
                <w:lang w:eastAsia="cs-CZ"/>
              </w:rPr>
            </w:pPr>
          </w:p>
        </w:tc>
      </w:tr>
      <w:tr w:rsidR="009D46E6" w:rsidRPr="00DB1559" w:rsidTr="00C80B08">
        <w:trPr>
          <w:trHeight w:val="264"/>
        </w:trPr>
        <w:tc>
          <w:tcPr>
            <w:tcW w:w="3092" w:type="dxa"/>
            <w:tcBorders>
              <w:top w:val="nil"/>
              <w:left w:val="nil"/>
              <w:bottom w:val="nil"/>
              <w:right w:val="nil"/>
            </w:tcBorders>
            <w:noWrap/>
            <w:vAlign w:val="bottom"/>
          </w:tcPr>
          <w:p w:rsidR="009D46E6" w:rsidRPr="002E3AE4" w:rsidRDefault="009D46E6" w:rsidP="00C80B08">
            <w:pPr>
              <w:spacing w:line="240" w:lineRule="auto"/>
              <w:rPr>
                <w:rFonts w:cs="Tahoma"/>
                <w:color w:val="000000"/>
                <w:sz w:val="16"/>
                <w:szCs w:val="16"/>
                <w:lang w:eastAsia="cs-CZ"/>
              </w:rPr>
            </w:pPr>
            <w:r w:rsidRPr="002E3AE4">
              <w:rPr>
                <w:rFonts w:cs="Tahoma"/>
                <w:color w:val="000000"/>
                <w:sz w:val="16"/>
                <w:szCs w:val="16"/>
                <w:lang w:eastAsia="cs-CZ"/>
              </w:rPr>
              <w:t>Zdroj: GFŘ</w:t>
            </w:r>
          </w:p>
        </w:tc>
        <w:tc>
          <w:tcPr>
            <w:tcW w:w="1197" w:type="dxa"/>
            <w:tcBorders>
              <w:top w:val="nil"/>
              <w:left w:val="nil"/>
              <w:bottom w:val="nil"/>
              <w:right w:val="nil"/>
            </w:tcBorders>
            <w:noWrap/>
            <w:vAlign w:val="bottom"/>
          </w:tcPr>
          <w:p w:rsidR="009D46E6" w:rsidRPr="002E3AE4" w:rsidRDefault="009D46E6" w:rsidP="00C80B08">
            <w:pPr>
              <w:spacing w:line="240" w:lineRule="auto"/>
              <w:rPr>
                <w:rFonts w:cs="Tahoma"/>
                <w:color w:val="000000"/>
                <w:sz w:val="16"/>
                <w:szCs w:val="16"/>
                <w:lang w:eastAsia="cs-CZ"/>
              </w:rPr>
            </w:pPr>
          </w:p>
        </w:tc>
        <w:tc>
          <w:tcPr>
            <w:tcW w:w="1197" w:type="dxa"/>
            <w:tcBorders>
              <w:top w:val="nil"/>
              <w:left w:val="nil"/>
              <w:bottom w:val="nil"/>
              <w:right w:val="nil"/>
            </w:tcBorders>
            <w:noWrap/>
            <w:vAlign w:val="bottom"/>
          </w:tcPr>
          <w:p w:rsidR="009D46E6" w:rsidRPr="002E3AE4" w:rsidRDefault="009D46E6" w:rsidP="00C80B08">
            <w:pPr>
              <w:spacing w:line="240" w:lineRule="auto"/>
              <w:rPr>
                <w:rFonts w:cs="Tahoma"/>
                <w:color w:val="000000"/>
                <w:sz w:val="16"/>
                <w:szCs w:val="16"/>
                <w:lang w:eastAsia="cs-CZ"/>
              </w:rPr>
            </w:pPr>
          </w:p>
        </w:tc>
        <w:tc>
          <w:tcPr>
            <w:tcW w:w="1197" w:type="dxa"/>
            <w:tcBorders>
              <w:top w:val="nil"/>
              <w:left w:val="nil"/>
              <w:bottom w:val="nil"/>
              <w:right w:val="nil"/>
            </w:tcBorders>
            <w:noWrap/>
            <w:vAlign w:val="bottom"/>
          </w:tcPr>
          <w:p w:rsidR="009D46E6" w:rsidRPr="002E3AE4" w:rsidRDefault="009D46E6" w:rsidP="00C80B08">
            <w:pPr>
              <w:spacing w:line="240" w:lineRule="auto"/>
              <w:rPr>
                <w:rFonts w:cs="Tahoma"/>
                <w:color w:val="000000"/>
                <w:sz w:val="16"/>
                <w:szCs w:val="16"/>
                <w:lang w:eastAsia="cs-CZ"/>
              </w:rPr>
            </w:pPr>
          </w:p>
        </w:tc>
        <w:tc>
          <w:tcPr>
            <w:tcW w:w="1197" w:type="dxa"/>
            <w:tcBorders>
              <w:top w:val="nil"/>
              <w:left w:val="nil"/>
              <w:bottom w:val="nil"/>
              <w:right w:val="nil"/>
            </w:tcBorders>
            <w:noWrap/>
            <w:vAlign w:val="bottom"/>
          </w:tcPr>
          <w:p w:rsidR="009D46E6" w:rsidRPr="002E3AE4" w:rsidRDefault="009D46E6" w:rsidP="00C80B08">
            <w:pPr>
              <w:spacing w:line="240" w:lineRule="auto"/>
              <w:rPr>
                <w:rFonts w:cs="Tahoma"/>
                <w:color w:val="000000"/>
                <w:sz w:val="16"/>
                <w:szCs w:val="16"/>
                <w:lang w:eastAsia="cs-CZ"/>
              </w:rPr>
            </w:pPr>
          </w:p>
        </w:tc>
        <w:tc>
          <w:tcPr>
            <w:tcW w:w="1197" w:type="dxa"/>
            <w:tcBorders>
              <w:top w:val="nil"/>
              <w:left w:val="nil"/>
              <w:bottom w:val="nil"/>
              <w:right w:val="nil"/>
            </w:tcBorders>
            <w:noWrap/>
            <w:vAlign w:val="bottom"/>
          </w:tcPr>
          <w:p w:rsidR="009D46E6" w:rsidRPr="002E3AE4" w:rsidRDefault="009D46E6" w:rsidP="00C80B08">
            <w:pPr>
              <w:spacing w:line="240" w:lineRule="auto"/>
              <w:rPr>
                <w:rFonts w:cs="Tahoma"/>
                <w:color w:val="000000"/>
                <w:sz w:val="16"/>
                <w:szCs w:val="16"/>
                <w:lang w:eastAsia="cs-CZ"/>
              </w:rPr>
            </w:pPr>
          </w:p>
        </w:tc>
      </w:tr>
    </w:tbl>
    <w:p w:rsidR="009D46E6" w:rsidRPr="002E3AE4" w:rsidRDefault="009D46E6" w:rsidP="00355B4B">
      <w:pPr>
        <w:spacing w:before="120"/>
        <w:rPr>
          <w:rFonts w:cs="Tahoma"/>
          <w:u w:val="single"/>
        </w:rPr>
      </w:pPr>
      <w:r w:rsidRPr="002E3AE4">
        <w:rPr>
          <w:rFonts w:cs="Tahoma"/>
          <w:u w:val="single"/>
        </w:rPr>
        <w:t>Sledované charakteristiky</w:t>
      </w:r>
    </w:p>
    <w:p w:rsidR="009D46E6" w:rsidRPr="00F00E47" w:rsidRDefault="009D46E6" w:rsidP="00355B4B">
      <w:pPr>
        <w:rPr>
          <w:rFonts w:cs="Tahoma"/>
        </w:rPr>
      </w:pPr>
      <w:r w:rsidRPr="00F00E47">
        <w:rPr>
          <w:rFonts w:cs="Tahoma"/>
        </w:rPr>
        <w:t xml:space="preserve">Údaje o nepřímé podpoře VaV v podnicích se sledují podle vlastnictví a velikosti podniku, kategorií výše nepřímé podpory a odvětví CZ-NACE. </w:t>
      </w:r>
    </w:p>
    <w:p w:rsidR="009D46E6" w:rsidRPr="00355B4B" w:rsidRDefault="009D46E6" w:rsidP="00355B4B">
      <w:pPr>
        <w:rPr>
          <w:rFonts w:cs="Tahoma"/>
          <w:i/>
        </w:rPr>
      </w:pPr>
      <w:r w:rsidRPr="00355B4B">
        <w:rPr>
          <w:rFonts w:cs="Tahoma"/>
          <w:i/>
        </w:rPr>
        <w:t>Podrobné informace jsou k dispozici na:</w:t>
      </w:r>
    </w:p>
    <w:p w:rsidR="009D46E6" w:rsidRPr="002E3AE4" w:rsidRDefault="009D46E6" w:rsidP="00FE4AA7">
      <w:pPr>
        <w:pStyle w:val="BodyText2"/>
        <w:rPr>
          <w:rFonts w:cs="Tahoma"/>
          <w:i/>
          <w:sz w:val="16"/>
          <w:szCs w:val="16"/>
        </w:rPr>
      </w:pPr>
      <w:hyperlink r:id="rId268" w:history="1">
        <w:r w:rsidRPr="002E3AE4">
          <w:rPr>
            <w:rStyle w:val="Hyperlink"/>
            <w:rFonts w:cs="Tahoma"/>
            <w:i/>
            <w:sz w:val="16"/>
            <w:szCs w:val="16"/>
          </w:rPr>
          <w:t>http://www.czso.cz/csu/redakce.nsf/i/neprima_podpora_vyzkumu_a_vyvoje_v_podnikatelskem_sektoru</w:t>
        </w:r>
      </w:hyperlink>
    </w:p>
    <w:p w:rsidR="009D46E6" w:rsidRPr="00754053" w:rsidRDefault="009D46E6" w:rsidP="00FE4AA7"/>
    <w:p w:rsidR="009D46E6" w:rsidRPr="00866A68" w:rsidRDefault="009D46E6" w:rsidP="00866A68">
      <w:pPr>
        <w:spacing w:before="240"/>
        <w:rPr>
          <w:b/>
        </w:rPr>
      </w:pPr>
      <w:r w:rsidRPr="00866A68">
        <w:rPr>
          <w:b/>
        </w:rPr>
        <w:t>Metodické poznámky ke kapitole B</w:t>
      </w:r>
    </w:p>
    <w:p w:rsidR="009D46E6" w:rsidRDefault="009D46E6" w:rsidP="00397DAB">
      <w:pPr>
        <w:pStyle w:val="Heading4"/>
      </w:pPr>
      <w:r>
        <w:t>B.1 Zaměstnanci ve VaV</w:t>
      </w:r>
    </w:p>
    <w:p w:rsidR="009D46E6" w:rsidRPr="007960E7" w:rsidRDefault="009D46E6" w:rsidP="00FE4AA7">
      <w:pPr>
        <w:rPr>
          <w:rFonts w:cs="Tahoma"/>
        </w:rPr>
      </w:pPr>
      <w:r w:rsidRPr="007960E7">
        <w:rPr>
          <w:rFonts w:cs="Tahoma"/>
        </w:rPr>
        <w:t>Informace o šetření VTR 5-01, ze kterého data o zaměstnancích ve VaV pocházejí, naleznete v metodologii ke kapitole A.1</w:t>
      </w:r>
    </w:p>
    <w:p w:rsidR="009D46E6" w:rsidRPr="007960E7" w:rsidRDefault="009D46E6" w:rsidP="00FE4AA7">
      <w:pPr>
        <w:rPr>
          <w:rFonts w:eastAsia="Arial Unicode MS" w:cs="Tahoma"/>
        </w:rPr>
      </w:pPr>
      <w:r w:rsidRPr="007960E7">
        <w:rPr>
          <w:rFonts w:cs="Tahoma"/>
          <w:bCs/>
          <w:i/>
        </w:rPr>
        <w:t xml:space="preserve">Osoby zaměstnané ve VaV </w:t>
      </w:r>
      <w:r w:rsidRPr="007960E7">
        <w:rPr>
          <w:rFonts w:cs="Tahoma"/>
        </w:rPr>
        <w:t>tvoří podle</w:t>
      </w:r>
      <w:r w:rsidRPr="007960E7">
        <w:rPr>
          <w:rFonts w:cs="Tahoma"/>
          <w:bCs/>
        </w:rPr>
        <w:t xml:space="preserve"> pracovní činnosti</w:t>
      </w:r>
      <w:r w:rsidRPr="007960E7">
        <w:rPr>
          <w:rFonts w:cs="Tahoma"/>
        </w:rPr>
        <w:t>:</w:t>
      </w:r>
      <w:r w:rsidRPr="007960E7">
        <w:rPr>
          <w:rFonts w:cs="Tahoma"/>
          <w:bCs/>
        </w:rPr>
        <w:t xml:space="preserve"> </w:t>
      </w:r>
    </w:p>
    <w:p w:rsidR="009D46E6" w:rsidRPr="007960E7" w:rsidRDefault="009D46E6" w:rsidP="00473494">
      <w:pPr>
        <w:numPr>
          <w:ilvl w:val="0"/>
          <w:numId w:val="47"/>
        </w:numPr>
        <w:spacing w:before="40"/>
        <w:ind w:left="357" w:hanging="357"/>
        <w:rPr>
          <w:rFonts w:eastAsia="Arial Unicode MS" w:cs="Tahoma"/>
          <w:b/>
          <w:bCs/>
        </w:rPr>
      </w:pPr>
      <w:r w:rsidRPr="007960E7">
        <w:rPr>
          <w:rFonts w:cs="Tahoma"/>
          <w:bCs/>
          <w:i/>
        </w:rPr>
        <w:t>Výzkumní pracovníci</w:t>
      </w:r>
      <w:r w:rsidRPr="007960E7">
        <w:rPr>
          <w:rFonts w:cs="Tahoma"/>
        </w:rPr>
        <w:t>, kteří</w:t>
      </w:r>
      <w:r w:rsidRPr="007960E7">
        <w:rPr>
          <w:rFonts w:cs="Tahoma"/>
          <w:bCs/>
        </w:rPr>
        <w:t xml:space="preserve"> se zabývají</w:t>
      </w:r>
      <w:r w:rsidRPr="007960E7">
        <w:rPr>
          <w:rFonts w:cs="Tahoma"/>
          <w:b/>
          <w:bCs/>
        </w:rPr>
        <w:t xml:space="preserve"> </w:t>
      </w:r>
      <w:r w:rsidRPr="007960E7">
        <w:rPr>
          <w:rFonts w:cs="Tahoma"/>
          <w:bCs/>
        </w:rPr>
        <w:t>nebo řídí projekty zahrnující</w:t>
      </w:r>
      <w:r w:rsidRPr="007960E7">
        <w:rPr>
          <w:rFonts w:cs="Tahoma"/>
          <w:b/>
          <w:bCs/>
        </w:rPr>
        <w:t xml:space="preserve"> </w:t>
      </w:r>
      <w:r w:rsidRPr="007960E7">
        <w:rPr>
          <w:rFonts w:cs="Tahoma"/>
        </w:rPr>
        <w:t xml:space="preserve">koncepci nebo tvorbu nových znalostí, výrobků, procesů, metod a systémů. Výzkumní pracovníci jsou považováni za nejdůležitější skupinu zaměstnanců VaV, neboť tvoří pilíř vědeckovýzkumných aktivit. </w:t>
      </w:r>
    </w:p>
    <w:p w:rsidR="009D46E6" w:rsidRPr="007960E7" w:rsidRDefault="009D46E6" w:rsidP="00FE4AA7">
      <w:pPr>
        <w:spacing w:before="40"/>
        <w:ind w:left="357"/>
        <w:rPr>
          <w:rFonts w:cs="Tahoma"/>
          <w:iCs/>
        </w:rPr>
      </w:pPr>
      <w:r w:rsidRPr="007960E7">
        <w:rPr>
          <w:rFonts w:cs="Tahoma"/>
          <w:iCs/>
        </w:rPr>
        <w:t>Mezi výzkumné pracovníky patří převážně zaměstnanci zařazení do hlavní třídy 2 (Specialisté) a podskupiny 1223 (Řídící pracovníci v oblasti výzkumu a vývoje) podle platné klasifikace zaměstnání</w:t>
      </w:r>
      <w:r>
        <w:rPr>
          <w:rFonts w:cs="Tahoma"/>
          <w:iCs/>
        </w:rPr>
        <w:t xml:space="preserve"> </w:t>
      </w:r>
      <w:r w:rsidRPr="007960E7">
        <w:rPr>
          <w:rFonts w:cs="Tahoma"/>
          <w:iCs/>
        </w:rPr>
        <w:t>-</w:t>
      </w:r>
      <w:r>
        <w:rPr>
          <w:rFonts w:cs="Tahoma"/>
          <w:iCs/>
        </w:rPr>
        <w:t xml:space="preserve"> </w:t>
      </w:r>
      <w:r w:rsidRPr="007960E7">
        <w:rPr>
          <w:rFonts w:cs="Tahoma"/>
          <w:iCs/>
        </w:rPr>
        <w:t>rozšířené (CZ-ISCO).</w:t>
      </w:r>
    </w:p>
    <w:p w:rsidR="009D46E6" w:rsidRPr="007960E7" w:rsidRDefault="009D46E6" w:rsidP="00473494">
      <w:pPr>
        <w:numPr>
          <w:ilvl w:val="0"/>
          <w:numId w:val="47"/>
        </w:numPr>
        <w:spacing w:before="40"/>
        <w:ind w:left="357" w:hanging="357"/>
        <w:rPr>
          <w:rFonts w:eastAsia="Arial Unicode MS" w:cs="Tahoma"/>
          <w:b/>
          <w:bCs/>
        </w:rPr>
      </w:pPr>
      <w:r w:rsidRPr="007960E7">
        <w:rPr>
          <w:rFonts w:cs="Tahoma"/>
          <w:bCs/>
          <w:i/>
        </w:rPr>
        <w:t>Techničtí a ekvivalentní pracovníci</w:t>
      </w:r>
      <w:r w:rsidRPr="007960E7">
        <w:rPr>
          <w:rFonts w:cs="Tahoma"/>
        </w:rPr>
        <w:t>, kteří</w:t>
      </w:r>
      <w:r w:rsidRPr="007960E7">
        <w:rPr>
          <w:rFonts w:cs="Tahoma"/>
          <w:b/>
          <w:bCs/>
        </w:rPr>
        <w:t xml:space="preserve"> </w:t>
      </w:r>
      <w:r w:rsidRPr="007960E7">
        <w:rPr>
          <w:rFonts w:cs="Tahoma"/>
        </w:rPr>
        <w:t xml:space="preserve">uskutečňují vědecké a technické úkoly, aplikují koncepty a provozní metody, a to obvykle za dohledu výzkumných pracovníků. </w:t>
      </w:r>
    </w:p>
    <w:p w:rsidR="009D46E6" w:rsidRPr="007960E7" w:rsidRDefault="009D46E6" w:rsidP="00FE4AA7">
      <w:pPr>
        <w:spacing w:before="40"/>
        <w:ind w:left="357"/>
        <w:rPr>
          <w:rFonts w:cs="Tahoma"/>
          <w:iCs/>
        </w:rPr>
      </w:pPr>
      <w:r w:rsidRPr="007960E7">
        <w:rPr>
          <w:rFonts w:cs="Tahoma"/>
          <w:iCs/>
        </w:rPr>
        <w:t>Mezi technické a ekvivalentní pracovníky patří zaměstnanci zařazení do třídy 31 (Techničtí a odborní pracovníci v oblasti vědy a techniky) podle CZ-ISCO.</w:t>
      </w:r>
    </w:p>
    <w:p w:rsidR="009D46E6" w:rsidRPr="007960E7" w:rsidRDefault="009D46E6" w:rsidP="00473494">
      <w:pPr>
        <w:numPr>
          <w:ilvl w:val="0"/>
          <w:numId w:val="47"/>
        </w:numPr>
        <w:spacing w:before="40"/>
        <w:ind w:left="357" w:hanging="357"/>
        <w:rPr>
          <w:rFonts w:eastAsia="Arial Unicode MS" w:cs="Tahoma"/>
          <w:b/>
          <w:bCs/>
        </w:rPr>
      </w:pPr>
      <w:r w:rsidRPr="007960E7">
        <w:rPr>
          <w:rFonts w:cs="Tahoma"/>
          <w:bCs/>
          <w:i/>
        </w:rPr>
        <w:t>Ostatní pracovníci ve výzkumu a vývoji</w:t>
      </w:r>
      <w:r w:rsidRPr="007960E7">
        <w:rPr>
          <w:rFonts w:cs="Tahoma"/>
          <w:i/>
        </w:rPr>
        <w:t>,</w:t>
      </w:r>
      <w:r w:rsidRPr="007960E7">
        <w:rPr>
          <w:rFonts w:cs="Tahoma"/>
        </w:rPr>
        <w:t xml:space="preserve"> kteří se</w:t>
      </w:r>
      <w:r w:rsidRPr="007960E7">
        <w:rPr>
          <w:rFonts w:cs="Tahoma"/>
          <w:b/>
          <w:bCs/>
        </w:rPr>
        <w:t xml:space="preserve"> </w:t>
      </w:r>
      <w:r w:rsidRPr="007960E7">
        <w:rPr>
          <w:rFonts w:cs="Tahoma"/>
        </w:rPr>
        <w:t>podílejí nebo jsou začleněni do výzkumných a vývojových činností (např. řemeslníci, sekretářky a úředníci). Jsou zde zahrnuti i manažeři a administrativní pracovníci, jejichž činnosti jsou přímou službou výzkumu a vývoji.</w:t>
      </w:r>
    </w:p>
    <w:p w:rsidR="009D46E6" w:rsidRPr="007960E7" w:rsidRDefault="009D46E6" w:rsidP="00FE4AA7">
      <w:pPr>
        <w:rPr>
          <w:rFonts w:cs="Tahoma"/>
        </w:rPr>
      </w:pPr>
      <w:r w:rsidRPr="007960E7">
        <w:rPr>
          <w:rFonts w:cs="Tahoma"/>
        </w:rPr>
        <w:t xml:space="preserve">Počet osob zaměstnaných ve VaV je </w:t>
      </w:r>
      <w:r w:rsidRPr="007960E7">
        <w:rPr>
          <w:rFonts w:cs="Tahoma"/>
          <w:bCs/>
        </w:rPr>
        <w:t>měřen</w:t>
      </w:r>
      <w:r w:rsidRPr="007960E7">
        <w:rPr>
          <w:rFonts w:cs="Tahoma"/>
        </w:rPr>
        <w:t xml:space="preserve"> jako: </w:t>
      </w:r>
    </w:p>
    <w:p w:rsidR="009D46E6" w:rsidRPr="007960E7" w:rsidRDefault="009D46E6" w:rsidP="00473494">
      <w:pPr>
        <w:numPr>
          <w:ilvl w:val="0"/>
          <w:numId w:val="47"/>
        </w:numPr>
        <w:spacing w:before="40"/>
        <w:ind w:left="357" w:hanging="357"/>
        <w:rPr>
          <w:rFonts w:cs="Tahoma"/>
        </w:rPr>
      </w:pPr>
      <w:r w:rsidRPr="007960E7">
        <w:rPr>
          <w:rFonts w:cs="Tahoma"/>
          <w:bCs/>
          <w:i/>
        </w:rPr>
        <w:t xml:space="preserve">Evidenční počet osob (Headcount </w:t>
      </w:r>
      <w:r w:rsidRPr="007960E7">
        <w:rPr>
          <w:rFonts w:cs="Tahoma"/>
          <w:bCs/>
          <w:i/>
        </w:rPr>
        <w:noBreakHyphen/>
        <w:t xml:space="preserve"> HC)</w:t>
      </w:r>
      <w:r w:rsidRPr="007960E7">
        <w:rPr>
          <w:rFonts w:cs="Tahoma"/>
        </w:rPr>
        <w:t xml:space="preserve">, který vypovídá o počtu osob, plně či částečně aktivních ve výzkumných a vývojových činnostech, zaměstnaných na základě hlavního nebo vedlejší pracovního poměru ke konci příslušného roku ve sledovaných subjektech. </w:t>
      </w:r>
    </w:p>
    <w:p w:rsidR="009D46E6" w:rsidRPr="007960E7" w:rsidRDefault="009D46E6" w:rsidP="00FE4AA7">
      <w:pPr>
        <w:spacing w:before="60"/>
        <w:ind w:left="357"/>
        <w:rPr>
          <w:rFonts w:cs="Tahoma"/>
          <w:bCs/>
        </w:rPr>
      </w:pPr>
      <w:r w:rsidRPr="007960E7">
        <w:rPr>
          <w:rFonts w:cs="Tahoma"/>
        </w:rPr>
        <w:t>Především ve vysokoškolském a částečně i ve vládním sektoru má velké množství osob pracujících ve VaV, zvláště výzkumných pracovníků, pracovní úvazek ve více subjektech. Proto je v těchto sektorech tento ukazatel nadhodnocený a nevypovídá tak o skutečném počtu osob pracujících ve VaV.</w:t>
      </w:r>
    </w:p>
    <w:p w:rsidR="009D46E6" w:rsidRPr="007960E7" w:rsidRDefault="009D46E6" w:rsidP="00473494">
      <w:pPr>
        <w:numPr>
          <w:ilvl w:val="0"/>
          <w:numId w:val="47"/>
        </w:numPr>
        <w:spacing w:before="40"/>
        <w:ind w:left="357" w:hanging="357"/>
        <w:rPr>
          <w:rFonts w:cs="Tahoma"/>
          <w:iCs/>
        </w:rPr>
      </w:pPr>
      <w:r w:rsidRPr="007960E7">
        <w:rPr>
          <w:rFonts w:cs="Tahoma"/>
          <w:bCs/>
          <w:i/>
        </w:rPr>
        <w:t>Přepočtený počet osob (Full Time Equivalent – FTE)</w:t>
      </w:r>
      <w:r w:rsidRPr="007960E7">
        <w:rPr>
          <w:rFonts w:cs="Tahoma"/>
        </w:rPr>
        <w:t xml:space="preserve">, který nejlépe vystihuje skutečnou dobu věnovanou výzkumu a vývoji u osob zaměstnaných ve VaV ve sledovaných subjektech. Tento ukazatel započítává pouze pracovní dobu věnovanou VaV. Jeden FTE je roven jednomu roku práce na plný pracovní úvazek zaměstnance, který se plně věnuje VaV činnosti. </w:t>
      </w:r>
    </w:p>
    <w:p w:rsidR="009D46E6" w:rsidRPr="007960E7" w:rsidRDefault="009D46E6" w:rsidP="00FE4AA7">
      <w:pPr>
        <w:spacing w:before="60"/>
        <w:ind w:left="357"/>
        <w:rPr>
          <w:rFonts w:cs="Tahoma"/>
          <w:iCs/>
        </w:rPr>
      </w:pPr>
      <w:r w:rsidRPr="007960E7">
        <w:rPr>
          <w:rFonts w:cs="Tahoma"/>
          <w:iCs/>
        </w:rPr>
        <w:t xml:space="preserve">V roce 2005 došlo v souladu s požadavky OECD a z důvodu zpřesnění tohoto ukazatele a lepší mezinárodní srovnatelnosti údajů za ČR ke změně výpočtu tohoto ukazatele. Z důvodu různé metodiky výpočtu FTE především ve vysokoškolském sektoru v jednotlivých zemích nejsou údaje o přepočteném počtu osob pracujících ve VaV mezinárodně plně srovnatelné. </w:t>
      </w:r>
    </w:p>
    <w:p w:rsidR="009D46E6" w:rsidRPr="007960E7" w:rsidRDefault="009D46E6" w:rsidP="00FE4AA7">
      <w:pPr>
        <w:spacing w:before="80"/>
        <w:rPr>
          <w:rFonts w:cs="Tahoma"/>
        </w:rPr>
      </w:pPr>
      <w:r w:rsidRPr="007960E7">
        <w:rPr>
          <w:rFonts w:cs="Tahoma"/>
        </w:rPr>
        <w:t>Kromě údajů o počtu zaměstnaných ve VaV ve fyzických (HC) a přepočtených (FTE) osobách sleduje od roku 2005</w:t>
      </w:r>
      <w:r w:rsidRPr="007960E7">
        <w:rPr>
          <w:rFonts w:cs="Tahoma"/>
          <w:bCs/>
        </w:rPr>
        <w:t xml:space="preserve"> </w:t>
      </w:r>
      <w:r w:rsidRPr="007960E7">
        <w:rPr>
          <w:rFonts w:cs="Tahoma"/>
        </w:rPr>
        <w:t>ČSÚ samostatně i údaje o počtu osob pracujících</w:t>
      </w:r>
      <w:r w:rsidRPr="007960E7">
        <w:rPr>
          <w:rFonts w:cs="Tahoma"/>
          <w:bCs/>
        </w:rPr>
        <w:t xml:space="preserve"> </w:t>
      </w:r>
      <w:r w:rsidRPr="007960E7">
        <w:rPr>
          <w:rFonts w:cs="Tahoma"/>
        </w:rPr>
        <w:t>ve VaV na základě</w:t>
      </w:r>
      <w:r w:rsidRPr="007960E7">
        <w:rPr>
          <w:rFonts w:cs="Tahoma"/>
          <w:bCs/>
        </w:rPr>
        <w:t xml:space="preserve"> dohod o provedení práce nebo pracovní činnosti.</w:t>
      </w:r>
      <w:r w:rsidRPr="007960E7">
        <w:rPr>
          <w:rFonts w:cs="Tahoma"/>
        </w:rPr>
        <w:t xml:space="preserve"> Tyto údaje přepočtené dle metodiky platné pro FTE jsou součástí přepočteného počtu osob zaměstnaných ve VaV.</w:t>
      </w:r>
    </w:p>
    <w:p w:rsidR="009D46E6" w:rsidRPr="007960E7" w:rsidRDefault="009D46E6" w:rsidP="00FE4AA7">
      <w:pPr>
        <w:spacing w:before="40"/>
        <w:rPr>
          <w:rFonts w:cs="Tahoma"/>
        </w:rPr>
      </w:pPr>
      <w:r w:rsidRPr="007960E7">
        <w:rPr>
          <w:rFonts w:cs="Tahoma"/>
        </w:rPr>
        <w:t xml:space="preserve">Počet osob zaměstnaných ve VaV je </w:t>
      </w:r>
      <w:r w:rsidRPr="007960E7">
        <w:rPr>
          <w:rFonts w:cs="Tahoma"/>
          <w:bCs/>
        </w:rPr>
        <w:t>sledován</w:t>
      </w:r>
      <w:r w:rsidRPr="007960E7">
        <w:rPr>
          <w:rFonts w:cs="Tahoma"/>
        </w:rPr>
        <w:t xml:space="preserve"> podle následujících charakteristik: </w:t>
      </w:r>
    </w:p>
    <w:p w:rsidR="009D46E6" w:rsidRPr="007960E7" w:rsidRDefault="009D46E6" w:rsidP="00473494">
      <w:pPr>
        <w:numPr>
          <w:ilvl w:val="0"/>
          <w:numId w:val="47"/>
        </w:numPr>
        <w:spacing w:before="40"/>
        <w:ind w:left="357" w:hanging="357"/>
        <w:rPr>
          <w:rFonts w:cs="Tahoma"/>
          <w:bCs/>
        </w:rPr>
      </w:pPr>
      <w:r w:rsidRPr="007960E7">
        <w:rPr>
          <w:rFonts w:cs="Tahoma"/>
          <w:bCs/>
        </w:rPr>
        <w:t>pohlaví,</w:t>
      </w:r>
    </w:p>
    <w:p w:rsidR="009D46E6" w:rsidRPr="007960E7" w:rsidRDefault="009D46E6" w:rsidP="00473494">
      <w:pPr>
        <w:numPr>
          <w:ilvl w:val="0"/>
          <w:numId w:val="47"/>
        </w:numPr>
        <w:spacing w:before="40"/>
        <w:ind w:left="357" w:hanging="357"/>
        <w:rPr>
          <w:rFonts w:cs="Tahoma"/>
        </w:rPr>
      </w:pPr>
      <w:r w:rsidRPr="007960E7">
        <w:rPr>
          <w:rFonts w:cs="Tahoma"/>
          <w:bCs/>
        </w:rPr>
        <w:t xml:space="preserve">pracovní činnost </w:t>
      </w:r>
      <w:r w:rsidRPr="007960E7">
        <w:rPr>
          <w:rFonts w:cs="Tahoma"/>
        </w:rPr>
        <w:t>(výzkumní, techničtí a ostatní/pomocní pracovníci),</w:t>
      </w:r>
    </w:p>
    <w:p w:rsidR="009D46E6" w:rsidRPr="007960E7" w:rsidRDefault="009D46E6" w:rsidP="00473494">
      <w:pPr>
        <w:numPr>
          <w:ilvl w:val="0"/>
          <w:numId w:val="47"/>
        </w:numPr>
        <w:spacing w:before="40"/>
        <w:ind w:left="357" w:hanging="357"/>
        <w:rPr>
          <w:rFonts w:cs="Tahoma"/>
        </w:rPr>
      </w:pPr>
      <w:r w:rsidRPr="007960E7">
        <w:rPr>
          <w:rFonts w:cs="Tahoma"/>
          <w:bCs/>
        </w:rPr>
        <w:t>nejvyšší dokončené vzdělání</w:t>
      </w:r>
      <w:r w:rsidRPr="007960E7">
        <w:rPr>
          <w:rFonts w:cs="Tahoma"/>
        </w:rPr>
        <w:t xml:space="preserve"> definované podle klasifikace ISCED 97 v členění na terciární (doktorské – ISCED 6, vysokoškolské magisterské nebo bakalářské – ISCED 5A a vyšší odborné – ISCED 5B) a střední a nižší (ISCED 1-4).</w:t>
      </w:r>
    </w:p>
    <w:p w:rsidR="009D46E6" w:rsidRPr="007960E7" w:rsidRDefault="009D46E6" w:rsidP="00FE4AA7">
      <w:pPr>
        <w:spacing w:before="60"/>
        <w:rPr>
          <w:rFonts w:cs="Tahoma"/>
        </w:rPr>
      </w:pPr>
      <w:r w:rsidRPr="007960E7">
        <w:rPr>
          <w:rFonts w:cs="Tahoma"/>
        </w:rPr>
        <w:t>Počet výzkumných pracovníků je za rok 2011 navíc dostupný také v třídění podle věku a státní příslušnosti.</w:t>
      </w:r>
    </w:p>
    <w:p w:rsidR="009D46E6" w:rsidRPr="007960E7" w:rsidRDefault="009D46E6" w:rsidP="00FE4AA7">
      <w:pPr>
        <w:pStyle w:val="BodyText2"/>
        <w:spacing w:before="60" w:line="264" w:lineRule="auto"/>
        <w:rPr>
          <w:rFonts w:cs="Tahoma"/>
          <w:iCs/>
        </w:rPr>
      </w:pPr>
      <w:r w:rsidRPr="007960E7">
        <w:rPr>
          <w:rFonts w:cs="Tahoma"/>
          <w:iCs/>
        </w:rPr>
        <w:t xml:space="preserve">Uvedené charakteristiky osob zaměstnaných ve VaV jsou dostupné ve vzájemné kombinaci. </w:t>
      </w:r>
    </w:p>
    <w:p w:rsidR="009D46E6" w:rsidRPr="007960E7" w:rsidRDefault="009D46E6" w:rsidP="00FE4AA7">
      <w:pPr>
        <w:pStyle w:val="BodyText2"/>
        <w:spacing w:line="264" w:lineRule="auto"/>
        <w:rPr>
          <w:rFonts w:cs="Tahoma"/>
          <w:i/>
          <w:sz w:val="16"/>
          <w:szCs w:val="16"/>
        </w:rPr>
      </w:pPr>
      <w:r w:rsidRPr="007960E7">
        <w:rPr>
          <w:rFonts w:cs="Tahoma"/>
          <w:i/>
        </w:rPr>
        <w:t>Podrobné informace jsou k dispozici na:</w:t>
      </w:r>
      <w:r>
        <w:rPr>
          <w:rFonts w:cs="Tahoma"/>
          <w:i/>
        </w:rPr>
        <w:t xml:space="preserve"> </w:t>
      </w:r>
      <w:hyperlink r:id="rId269" w:history="1">
        <w:r w:rsidRPr="007960E7">
          <w:rPr>
            <w:rStyle w:val="Hyperlink"/>
            <w:rFonts w:cs="Tahoma"/>
            <w:i/>
            <w:sz w:val="16"/>
            <w:szCs w:val="16"/>
          </w:rPr>
          <w:t>http://www.czso.cz/csu/redakce.nsf/i/statistika_vyzkumu_a_vyvoje</w:t>
        </w:r>
      </w:hyperlink>
      <w:r w:rsidRPr="007960E7">
        <w:rPr>
          <w:rFonts w:cs="Tahoma"/>
          <w:i/>
          <w:sz w:val="16"/>
          <w:szCs w:val="16"/>
        </w:rPr>
        <w:t xml:space="preserve"> </w:t>
      </w:r>
    </w:p>
    <w:p w:rsidR="009D46E6" w:rsidRPr="007960E7" w:rsidRDefault="009D46E6" w:rsidP="00397DAB">
      <w:pPr>
        <w:pStyle w:val="Heading4"/>
      </w:pPr>
      <w:r w:rsidRPr="007960E7">
        <w:t>B.2 Mzdy specialistů v oblasti vědy a techniky</w:t>
      </w:r>
    </w:p>
    <w:p w:rsidR="009D46E6" w:rsidRPr="007960E7" w:rsidRDefault="009D46E6" w:rsidP="00FE4AA7">
      <w:pPr>
        <w:spacing w:before="180"/>
        <w:rPr>
          <w:rFonts w:cs="Tahoma"/>
        </w:rPr>
      </w:pPr>
      <w:r w:rsidRPr="007960E7">
        <w:rPr>
          <w:rFonts w:cs="Tahoma"/>
        </w:rPr>
        <w:t>Specialisté v oblasti vědy a techniky jsou definováni na základě klasifikace zaměstnání CZ-ISCO jako skupina zaměstnání CZ-ISCO 21.</w:t>
      </w:r>
    </w:p>
    <w:p w:rsidR="009D46E6" w:rsidRPr="007960E7" w:rsidRDefault="009D46E6" w:rsidP="00FE4AA7">
      <w:pPr>
        <w:spacing w:before="60"/>
        <w:rPr>
          <w:rFonts w:cs="Tahoma"/>
        </w:rPr>
      </w:pPr>
      <w:r w:rsidRPr="007960E7">
        <w:rPr>
          <w:rFonts w:cs="Tahoma"/>
        </w:rPr>
        <w:t>Údaje týkající se mezd specialistů v oblasti vědy a techniky pocházejí ze strukturální statistiky mezd zaměstnanců, kterou publikuje Český statistický úřad ve spolupráci s Ministerstvem práce a sociálních věcí.</w:t>
      </w:r>
    </w:p>
    <w:p w:rsidR="009D46E6" w:rsidRPr="007960E7" w:rsidRDefault="009D46E6" w:rsidP="00FE4AA7">
      <w:pPr>
        <w:pStyle w:val="BodyText2"/>
        <w:spacing w:line="264" w:lineRule="auto"/>
        <w:rPr>
          <w:rStyle w:val="Hyperlink"/>
          <w:rFonts w:cs="MetaPro-Normal"/>
          <w:i/>
          <w:sz w:val="16"/>
          <w:szCs w:val="16"/>
        </w:rPr>
      </w:pPr>
      <w:r w:rsidRPr="007960E7">
        <w:rPr>
          <w:rFonts w:cs="Tahoma"/>
          <w:i/>
        </w:rPr>
        <w:t xml:space="preserve">Více informací </w:t>
      </w:r>
      <w:r>
        <w:rPr>
          <w:rFonts w:cs="Tahoma"/>
          <w:i/>
        </w:rPr>
        <w:t>je k dispozici na</w:t>
      </w:r>
      <w:r w:rsidRPr="007960E7">
        <w:rPr>
          <w:rFonts w:cs="Tahoma"/>
          <w:i/>
        </w:rPr>
        <w:t>:</w:t>
      </w:r>
      <w:r>
        <w:rPr>
          <w:rFonts w:cs="Tahoma"/>
          <w:i/>
        </w:rPr>
        <w:t xml:space="preserve"> </w:t>
      </w:r>
      <w:hyperlink r:id="rId270" w:history="1">
        <w:r w:rsidRPr="007960E7">
          <w:rPr>
            <w:rStyle w:val="Hyperlink"/>
            <w:rFonts w:cs="MetaPro-Normal"/>
            <w:i/>
            <w:sz w:val="16"/>
            <w:szCs w:val="16"/>
          </w:rPr>
          <w:t>http://www.czso.cz/csu/redakce.nsf/i/lidske_zdroje_ve_vede_a_technologiich</w:t>
        </w:r>
      </w:hyperlink>
      <w:r w:rsidRPr="007960E7">
        <w:rPr>
          <w:rStyle w:val="Hyperlink"/>
          <w:rFonts w:cs="MetaPro-Normal"/>
          <w:i/>
          <w:sz w:val="16"/>
          <w:szCs w:val="16"/>
        </w:rPr>
        <w:t xml:space="preserve">. </w:t>
      </w:r>
    </w:p>
    <w:p w:rsidR="009D46E6" w:rsidRPr="007960E7" w:rsidRDefault="009D46E6" w:rsidP="00397DAB">
      <w:pPr>
        <w:pStyle w:val="Heading4"/>
      </w:pPr>
      <w:r w:rsidRPr="007960E7">
        <w:t>B.3 Vysokoškolské vzdělání</w:t>
      </w:r>
    </w:p>
    <w:p w:rsidR="009D46E6" w:rsidRPr="007960E7" w:rsidRDefault="009D46E6" w:rsidP="00FE4AA7">
      <w:pPr>
        <w:spacing w:before="240"/>
        <w:rPr>
          <w:rFonts w:cs="Tahoma"/>
          <w:i/>
          <w:u w:val="single"/>
        </w:rPr>
      </w:pPr>
      <w:r w:rsidRPr="007960E7">
        <w:rPr>
          <w:rFonts w:cs="Tahoma"/>
          <w:i/>
          <w:u w:val="single"/>
        </w:rPr>
        <w:t>B.3.1 Osoby s ukončeným vysokoškolským vzděláním</w:t>
      </w:r>
    </w:p>
    <w:p w:rsidR="009D46E6" w:rsidRPr="007960E7" w:rsidRDefault="009D46E6" w:rsidP="00FE4AA7">
      <w:pPr>
        <w:spacing w:before="60"/>
        <w:rPr>
          <w:rFonts w:cs="Tahoma"/>
          <w:bCs/>
          <w:iCs/>
        </w:rPr>
      </w:pPr>
      <w:r w:rsidRPr="007960E7">
        <w:rPr>
          <w:rFonts w:cs="Tahoma"/>
          <w:bCs/>
          <w:iCs/>
        </w:rPr>
        <w:t xml:space="preserve">Pro účely této analýzy jsou do této kategorie řazeny osoby starší 25 let, které úspěšně dokončily vysokoškolský stupeň studia (bakalářský – ISCED 5A, magisterský – ISCED 5A, doktorský – ISCED 6) ve všech studijních oborech. </w:t>
      </w:r>
    </w:p>
    <w:p w:rsidR="009D46E6" w:rsidRPr="007960E7" w:rsidRDefault="009D46E6" w:rsidP="00FE4AA7">
      <w:pPr>
        <w:spacing w:before="60"/>
        <w:rPr>
          <w:rFonts w:cs="Tahoma"/>
          <w:bCs/>
          <w:iCs/>
        </w:rPr>
      </w:pPr>
      <w:r w:rsidRPr="007960E7">
        <w:rPr>
          <w:rFonts w:cs="Tahoma"/>
          <w:bCs/>
          <w:iCs/>
        </w:rPr>
        <w:t>Zdrojem dat týkajících se osob s ukončeným vysokoškolským vzděláním je Výběrové šetření pracovních sil, kde základní šetřenou jednotkou jsou jednotlivci a domácnosti. Data jsou uváděna jako roční průměry a pokud je jejich hodnota menší než 3 000 osob, jsou považována za údaje s nízkou spolehlivostí.</w:t>
      </w:r>
    </w:p>
    <w:p w:rsidR="009D46E6" w:rsidRPr="007960E7" w:rsidRDefault="009D46E6" w:rsidP="00FE4AA7">
      <w:pPr>
        <w:pStyle w:val="BodyText"/>
        <w:rPr>
          <w:rStyle w:val="Hyperlink"/>
          <w:sz w:val="16"/>
          <w:szCs w:val="16"/>
        </w:rPr>
      </w:pPr>
      <w:r w:rsidRPr="007960E7">
        <w:rPr>
          <w:rFonts w:cs="Tahoma"/>
        </w:rPr>
        <w:t>Podrobné informace jsou k dispozici na:</w:t>
      </w:r>
      <w:r>
        <w:rPr>
          <w:rFonts w:cs="Tahoma"/>
        </w:rPr>
        <w:t xml:space="preserve"> </w:t>
      </w:r>
      <w:hyperlink r:id="rId271" w:history="1">
        <w:r w:rsidRPr="007960E7">
          <w:rPr>
            <w:rStyle w:val="Hyperlink"/>
            <w:sz w:val="16"/>
            <w:szCs w:val="16"/>
          </w:rPr>
          <w:t>http://www.czso.cz/csu/redakce.nsf/i/lidske_zdroje_pro_vedu_a_technologie</w:t>
        </w:r>
      </w:hyperlink>
      <w:r w:rsidRPr="007960E7">
        <w:rPr>
          <w:rStyle w:val="Hyperlink"/>
          <w:sz w:val="16"/>
          <w:szCs w:val="16"/>
        </w:rPr>
        <w:t xml:space="preserve"> </w:t>
      </w:r>
    </w:p>
    <w:p w:rsidR="009D46E6" w:rsidRPr="007960E7" w:rsidRDefault="009D46E6" w:rsidP="00FE4AA7">
      <w:pPr>
        <w:spacing w:before="240"/>
        <w:rPr>
          <w:rFonts w:cs="Tahoma"/>
          <w:i/>
          <w:u w:val="single"/>
        </w:rPr>
      </w:pPr>
      <w:r w:rsidRPr="007960E7">
        <w:rPr>
          <w:rFonts w:cs="Tahoma"/>
          <w:i/>
          <w:u w:val="single"/>
        </w:rPr>
        <w:t>B.3.2 Studenti a absolventi vysokoškolského studia</w:t>
      </w:r>
    </w:p>
    <w:p w:rsidR="009D46E6" w:rsidRPr="007960E7" w:rsidRDefault="009D46E6" w:rsidP="00FE4AA7">
      <w:pPr>
        <w:pStyle w:val="BodyText"/>
        <w:rPr>
          <w:rFonts w:cs="Tahoma"/>
          <w:i/>
        </w:rPr>
      </w:pPr>
      <w:r w:rsidRPr="007960E7">
        <w:rPr>
          <w:rFonts w:cs="Tahoma"/>
        </w:rPr>
        <w:t>Zákonem z roku 1998 bylo změněno právní postavení dosavadních státních vysokých škol na veřejnoprávní instituce. Výjimku tvoří vysoké školy Vojenská a Policejní, které jsou stále školami státními a spadají pod Ministerstvo obrany a Ministerstvo vnitra. Tímto zákonem byl také umožněn vznik soukromých vysokých škol. Vznikla také povinnost vést matriky studentů, z nichž se údaje centrálně sdružují v SIMS (Sdružené Informace Matrik Studentů). Pouze dvě, výše zmíněné, státní vysoké školy fungují v odlišném režimu než jak je tomu u veřejných a soukromých škol a nemají povinnost předávat informace do centrální evidence SIMS, a proto nejsou v prezentovaných datech zahrnuty.</w:t>
      </w:r>
    </w:p>
    <w:p w:rsidR="009D46E6" w:rsidRPr="007960E7" w:rsidRDefault="009D46E6" w:rsidP="00FE4AA7">
      <w:pPr>
        <w:pStyle w:val="BodyText"/>
        <w:rPr>
          <w:rFonts w:cs="Tahoma"/>
          <w:i/>
        </w:rPr>
      </w:pPr>
      <w:r w:rsidRPr="007960E7">
        <w:rPr>
          <w:rFonts w:cs="Tahoma"/>
        </w:rPr>
        <w:t xml:space="preserve">V roce 2001 byla striktně zavedena třístupňová struktura vysokoškolského studia, kdy se dříve charakteristické 4-6leté studium na vysokých školách transformovalo do obvykle tříletých bakalářských studijních programů a do programů magisterských. Magisterské studijní programy jsou dvojího typu a to navazující magisterské, které umožňuje pokračovat ve studiu absolventům bakalářského studia (obvykle dvouleté) a tzv. dlouhé magisterské programy, u nichž nebylo rozdělení na dva stupně možné. Mezi dlouhé magisterské programy patří například studium medicíny, veterinárního lékařství nebo architektury. Po úspěšném ukončení magisterského programu mohou studenti dále pokračovat ve studiu doktorských programů (tří až čtyřletých) po jejichž ukončení se získává titul Ph.D. a jejich studium je již zaměřeno více na vědeckou činnost. Titul Ph.D. byl v České republice zaveden v roce 1998 zákonem číslo 111/1998 Sb., o vysokých školách. </w:t>
      </w:r>
    </w:p>
    <w:p w:rsidR="009D46E6" w:rsidRPr="007960E7" w:rsidRDefault="009D46E6" w:rsidP="00FE4AA7">
      <w:pPr>
        <w:pStyle w:val="BodyText"/>
        <w:rPr>
          <w:rFonts w:cs="Tahoma"/>
          <w:bCs/>
          <w:i/>
          <w:u w:val="single"/>
        </w:rPr>
      </w:pPr>
      <w:r w:rsidRPr="007960E7">
        <w:rPr>
          <w:rFonts w:cs="Tahoma"/>
          <w:u w:val="single"/>
        </w:rPr>
        <w:t>Metodické poznámky</w:t>
      </w:r>
    </w:p>
    <w:p w:rsidR="009D46E6" w:rsidRPr="007960E7" w:rsidRDefault="009D46E6" w:rsidP="00FE4AA7">
      <w:pPr>
        <w:pStyle w:val="BodyText"/>
        <w:rPr>
          <w:rFonts w:cs="Tahoma"/>
          <w:i/>
          <w:iCs/>
        </w:rPr>
      </w:pPr>
      <w:r w:rsidRPr="007960E7">
        <w:rPr>
          <w:rFonts w:cs="Tahoma"/>
        </w:rPr>
        <w:t>Publikovaná data pocházejí z datových zdrojů Ústavu pro informace ve vzdělávání (ÚIV), který je jako příspěvková organizace přímo řízen Ministerstvem školství, mládeže a tělovýchovy. Konkrétně data pocházejí z databáze SIMS.</w:t>
      </w:r>
    </w:p>
    <w:p w:rsidR="009D46E6" w:rsidRPr="007960E7" w:rsidRDefault="009D46E6" w:rsidP="00FE4AA7">
      <w:pPr>
        <w:pStyle w:val="BodyText"/>
        <w:rPr>
          <w:rFonts w:cs="Tahoma"/>
          <w:i/>
        </w:rPr>
      </w:pPr>
      <w:r w:rsidRPr="007960E7">
        <w:rPr>
          <w:rFonts w:cs="Tahoma"/>
        </w:rPr>
        <w:t>Z důvodů metodologické srovnatelnosti v čase a dostupnosti údajů z databáze SIMS jsou prezentována data v časové řadě od roku 2002.</w:t>
      </w:r>
    </w:p>
    <w:p w:rsidR="009D46E6" w:rsidRPr="007960E7" w:rsidRDefault="009D46E6" w:rsidP="00FE4AA7">
      <w:pPr>
        <w:pStyle w:val="BodyText"/>
        <w:rPr>
          <w:rFonts w:cs="Tahoma"/>
          <w:i/>
        </w:rPr>
      </w:pPr>
      <w:r w:rsidRPr="007960E7">
        <w:rPr>
          <w:rFonts w:cs="Tahoma"/>
        </w:rPr>
        <w:t>Zařazení do studijního oboru vychází z kódu studijního programu, což v některých případech neodráží příslušnost jednotlivých studijních oborů k hlavním skupinám oborů. Z důvodů problematického zařazení jednotlivých studentů do příslušných skupin oborů jsou v případě členění podle oborů uváděny kvalifikované odhady MŠMT.</w:t>
      </w:r>
    </w:p>
    <w:p w:rsidR="009D46E6" w:rsidRPr="007960E7" w:rsidRDefault="009D46E6" w:rsidP="00FE4AA7">
      <w:pPr>
        <w:pStyle w:val="BodyText"/>
        <w:rPr>
          <w:rFonts w:cs="Tahoma"/>
          <w:i/>
        </w:rPr>
      </w:pPr>
      <w:r w:rsidRPr="007960E7">
        <w:rPr>
          <w:rFonts w:cs="Tahoma"/>
        </w:rPr>
        <w:t>Z důvodu růstu počtu studentů studujících současně na více vysokých školách či fakultách, jsou počty studentů v případě souhrnných ukazatelů publikovány ve fyzických osobách. V případě členění do jednotlivých oborů studia jsou publikované údaje za počty studií, tzn., jeden student může být započítán ve více oborech. Z tohoto důvodu neodpovídá součet studentů vysokých škol podle oborů celkovým hodnotám uváděným v časových řadách. Naším cílem bylo v první řadě ukázat, jaké obory jsou studovány s největší intenzitou a jaké je zastoupení studentů v oborech přírodních a technických věd, které jsou pro rozvoj vysoce kvalifikovaných lidských zdrojů klíčové.</w:t>
      </w:r>
    </w:p>
    <w:p w:rsidR="009D46E6" w:rsidRPr="007960E7" w:rsidRDefault="009D46E6" w:rsidP="00FE4AA7">
      <w:pPr>
        <w:pStyle w:val="BodyText"/>
        <w:rPr>
          <w:rFonts w:cs="Tahoma"/>
          <w:i/>
        </w:rPr>
      </w:pPr>
      <w:r w:rsidRPr="007960E7">
        <w:rPr>
          <w:rFonts w:cs="Tahoma"/>
        </w:rPr>
        <w:t>Počet studentů/studií je uváděn k 31.12. příslušného roku.</w:t>
      </w:r>
    </w:p>
    <w:p w:rsidR="009D46E6" w:rsidRPr="007960E7" w:rsidRDefault="009D46E6" w:rsidP="00FE4AA7">
      <w:pPr>
        <w:pStyle w:val="BodyText"/>
        <w:rPr>
          <w:rFonts w:cs="Tahoma"/>
          <w:i/>
        </w:rPr>
      </w:pPr>
      <w:r w:rsidRPr="007960E7">
        <w:rPr>
          <w:rFonts w:cs="Tahoma"/>
        </w:rPr>
        <w:t xml:space="preserve">Počet absolventů – uváděné počty jsou za kalendářní rok, tzn. počty studentů, kteří úspěšně ukončili studium na vysoké škole v období od 1.1. do 31.12. příslušného roku. </w:t>
      </w:r>
    </w:p>
    <w:p w:rsidR="009D46E6" w:rsidRPr="007960E7" w:rsidRDefault="009D46E6" w:rsidP="00FE4AA7">
      <w:pPr>
        <w:pStyle w:val="BodyText"/>
        <w:rPr>
          <w:rFonts w:cs="Tahoma"/>
          <w:i/>
          <w:iCs/>
        </w:rPr>
      </w:pPr>
      <w:r w:rsidRPr="007960E7">
        <w:rPr>
          <w:rFonts w:cs="Tahoma"/>
        </w:rPr>
        <w:t>Pozn.: Datum ukončení studia je datum úspěšného vykonání poslední státní zkoušky. Je třeba si uvědomit, že ne všichni absolventi vysokých škol odcházejí do praxe. Někteří absolventi bakalářských studijních programů pokračují dále ve studiu v magisterském studijním programu a analogicky někteří absolventi magisterských studijních programů pokračují dále ve  studiu doktorských studijních programů. Z tohoto důvodu dochází v průběhu let k výraznému nárůstu počtu absolventů, kdy například absolvent navazujícího magisterského studia, byl mezi absolventy již započítán o dva roky dříve jako bakalář.</w:t>
      </w:r>
    </w:p>
    <w:p w:rsidR="009D46E6" w:rsidRPr="007960E7" w:rsidRDefault="009D46E6" w:rsidP="00FE4AA7">
      <w:pPr>
        <w:pStyle w:val="BodyText"/>
        <w:rPr>
          <w:rFonts w:cs="Tahoma"/>
          <w:i/>
          <w:iCs/>
        </w:rPr>
      </w:pPr>
      <w:r w:rsidRPr="007960E7">
        <w:rPr>
          <w:rFonts w:cs="Tahoma"/>
        </w:rPr>
        <w:t>Obory vzdělávání jsou definovány na základě klasifikace ISCED 97.</w:t>
      </w:r>
    </w:p>
    <w:p w:rsidR="009D46E6" w:rsidRPr="007960E7" w:rsidRDefault="009D46E6" w:rsidP="00FE4AA7">
      <w:pPr>
        <w:pStyle w:val="BodyText"/>
        <w:rPr>
          <w:rFonts w:cs="Tahoma"/>
          <w:bCs/>
          <w:i/>
        </w:rPr>
      </w:pPr>
      <w:r w:rsidRPr="007960E7">
        <w:rPr>
          <w:rFonts w:cs="Tahoma"/>
        </w:rPr>
        <w:t>Vysokoškolské studijní programy:</w:t>
      </w:r>
    </w:p>
    <w:p w:rsidR="009D46E6" w:rsidRPr="007960E7" w:rsidRDefault="009D46E6" w:rsidP="00FE4AA7">
      <w:pPr>
        <w:pStyle w:val="BodyText"/>
        <w:ind w:left="181"/>
        <w:rPr>
          <w:rFonts w:cs="Tahoma"/>
          <w:i/>
        </w:rPr>
      </w:pPr>
      <w:r w:rsidRPr="007960E7">
        <w:rPr>
          <w:rFonts w:cs="Tahoma"/>
        </w:rPr>
        <w:t>Bakalářský studijní program je zaměřen zejména na přípravu k výkonu povolání, přičemž se bezprostředně využívají soudobé prostředky a metody; obsahuje též vybrané teoretické poznatky. Standardní doba studia je nejméně tři a nejvýše čtyři roky.</w:t>
      </w:r>
    </w:p>
    <w:p w:rsidR="009D46E6" w:rsidRPr="007960E7" w:rsidRDefault="009D46E6" w:rsidP="00FE4AA7">
      <w:pPr>
        <w:pStyle w:val="BodyText"/>
        <w:ind w:left="181"/>
        <w:rPr>
          <w:rFonts w:cs="Tahoma"/>
          <w:i/>
        </w:rPr>
      </w:pPr>
      <w:r w:rsidRPr="007960E7">
        <w:rPr>
          <w:rFonts w:cs="Tahoma"/>
        </w:rPr>
        <w:t>Magisterský studijní program je zaměřen na získání teoretických poznatků založených na soudobém stavu vědeckého poznání, výzkumu a vývoje, na zvládnutí jejich aplikace a na rozvinutí tvůrčí činnosti; v oblasti umění je zaměřen na náročnou uměleckou přípravu a rozvíjení talentu. Standardní doba studia je nejméně čtyři a nejvýše šest roků.</w:t>
      </w:r>
    </w:p>
    <w:p w:rsidR="009D46E6" w:rsidRPr="007960E7" w:rsidRDefault="009D46E6" w:rsidP="00FE4AA7">
      <w:pPr>
        <w:pStyle w:val="BodyText"/>
        <w:ind w:left="181"/>
        <w:rPr>
          <w:rFonts w:cs="Tahoma"/>
          <w:i/>
        </w:rPr>
      </w:pPr>
      <w:r w:rsidRPr="007960E7">
        <w:rPr>
          <w:rFonts w:cs="Tahoma"/>
        </w:rPr>
        <w:t>Doktorský studijní program je zaměřen na vědecké bádání a samostatnou tvůrčí činnost v oblasti výzkumu nebo vývoje nebo na samostatnou teoretickou a tvůrčí činnost v oblasti umění. Standardní doba studia je čtyři roky.</w:t>
      </w:r>
    </w:p>
    <w:p w:rsidR="009D46E6" w:rsidRPr="007960E7" w:rsidRDefault="009D46E6" w:rsidP="00FE4AA7">
      <w:pPr>
        <w:pStyle w:val="BodyText"/>
        <w:rPr>
          <w:rFonts w:cs="Tahoma"/>
          <w:bCs/>
          <w:i/>
        </w:rPr>
      </w:pPr>
      <w:r w:rsidRPr="007960E7">
        <w:rPr>
          <w:rFonts w:cs="Tahoma"/>
        </w:rPr>
        <w:t>Studenti podle státní příslušnosti:</w:t>
      </w:r>
    </w:p>
    <w:p w:rsidR="009D46E6" w:rsidRPr="007960E7" w:rsidRDefault="009D46E6" w:rsidP="00FE4AA7">
      <w:pPr>
        <w:pStyle w:val="BodyText"/>
        <w:ind w:left="181"/>
        <w:rPr>
          <w:rFonts w:cs="Tahoma"/>
          <w:i/>
        </w:rPr>
      </w:pPr>
      <w:r w:rsidRPr="007960E7">
        <w:rPr>
          <w:rFonts w:cs="Tahoma"/>
        </w:rPr>
        <w:t>Student se státním občanstvím ČR je občan ČR zapsaný na vysokou školu v ČR  ke studiu v bakalářském, magisterském, magisterském navazujícím nebo doktorském studijním programu k 31. 12. příslušného roku. Jsou zahrnuti všichni studenti (ať už někdy v minulosti absolvovali některý vysokoškolský studijní program, nebo ne), nezahrnují se studenti, kteří mají k 31. 12. všechna studia přerušena.</w:t>
      </w:r>
    </w:p>
    <w:p w:rsidR="009D46E6" w:rsidRPr="007960E7" w:rsidRDefault="009D46E6" w:rsidP="00FE4AA7">
      <w:pPr>
        <w:pStyle w:val="BodyText"/>
        <w:ind w:left="181"/>
        <w:rPr>
          <w:rFonts w:cs="Tahoma"/>
          <w:i/>
        </w:rPr>
      </w:pPr>
      <w:r w:rsidRPr="007960E7">
        <w:rPr>
          <w:rFonts w:cs="Tahoma"/>
        </w:rPr>
        <w:t>Student s cizím státním občanstvím je občan jiného státu zapsaný na vysokou školu v ČR ke studiu v bakalářském, magisterském, magisterském navazujícím nebo doktorském studijním programu k 31. 12. Jsou zahrnuti všichni studenti (ať už někdy v minulosti absolvovali některý vysokoškolský studijní program, nebo ne), nezahrnují se studenti, kteří mají k 31. 12. všechna studia přerušena.</w:t>
      </w:r>
    </w:p>
    <w:p w:rsidR="009D46E6" w:rsidRPr="00355B4B" w:rsidRDefault="009D46E6" w:rsidP="00FE4AA7">
      <w:pPr>
        <w:pStyle w:val="BodyText"/>
        <w:rPr>
          <w:rFonts w:cs="Tahoma"/>
          <w:i/>
          <w:sz w:val="16"/>
          <w:szCs w:val="16"/>
        </w:rPr>
      </w:pPr>
      <w:r w:rsidRPr="00355B4B">
        <w:rPr>
          <w:rFonts w:cs="Tahoma"/>
          <w:i/>
        </w:rPr>
        <w:t xml:space="preserve">Podrobné informace jsou k dispozici na: </w:t>
      </w:r>
      <w:hyperlink r:id="rId272" w:history="1">
        <w:r w:rsidRPr="00355B4B">
          <w:rPr>
            <w:rStyle w:val="Hyperlink"/>
            <w:rFonts w:cs="Tahoma"/>
            <w:i/>
            <w:sz w:val="16"/>
            <w:szCs w:val="16"/>
          </w:rPr>
          <w:t>http://www.czso.cz/csu/redakce.nsf/i/lidske_zdroje_pro_vedu_a_technologie</w:t>
        </w:r>
      </w:hyperlink>
    </w:p>
    <w:p w:rsidR="009D46E6" w:rsidRPr="00754053" w:rsidRDefault="009D46E6" w:rsidP="00FE4AA7"/>
    <w:p w:rsidR="009D46E6" w:rsidRPr="00866A68" w:rsidRDefault="009D46E6" w:rsidP="00866A68">
      <w:pPr>
        <w:spacing w:before="240"/>
        <w:rPr>
          <w:b/>
        </w:rPr>
      </w:pPr>
      <w:r w:rsidRPr="00866A68">
        <w:rPr>
          <w:b/>
        </w:rPr>
        <w:t>Metodické poznámky ke kapitole C</w:t>
      </w:r>
    </w:p>
    <w:p w:rsidR="009D46E6" w:rsidRPr="00E52CEF" w:rsidRDefault="009D46E6" w:rsidP="00397DAB">
      <w:pPr>
        <w:pStyle w:val="Heading4"/>
      </w:pPr>
      <w:r w:rsidRPr="00E52CEF">
        <w:t>C.3 Patenty, užitné vzory a jejich licencování</w:t>
      </w:r>
    </w:p>
    <w:p w:rsidR="009D46E6" w:rsidRPr="007960E7" w:rsidRDefault="009D46E6" w:rsidP="00FE4AA7">
      <w:pPr>
        <w:spacing w:before="240"/>
        <w:rPr>
          <w:rFonts w:cs="Tahoma"/>
          <w:i/>
          <w:u w:val="single"/>
        </w:rPr>
      </w:pPr>
      <w:r w:rsidRPr="007960E7">
        <w:rPr>
          <w:rFonts w:cs="Tahoma"/>
          <w:i/>
          <w:u w:val="single"/>
        </w:rPr>
        <w:t>Patentová statistika</w:t>
      </w:r>
    </w:p>
    <w:p w:rsidR="009D46E6" w:rsidRPr="007960E7" w:rsidRDefault="009D46E6" w:rsidP="00FE4AA7">
      <w:pPr>
        <w:rPr>
          <w:rFonts w:cs="Tahoma"/>
        </w:rPr>
      </w:pPr>
      <w:r w:rsidRPr="007960E7">
        <w:rPr>
          <w:rFonts w:cs="Tahoma"/>
        </w:rPr>
        <w:t>Patentová statistika přináší informace o výsledcích a úspěšnosti výzkumné, vývojové a inovační činnosti ve vybraných oblastech techniky. Patentovou ochranu na území České republiky</w:t>
      </w:r>
      <w:r w:rsidRPr="007960E7">
        <w:rPr>
          <w:rFonts w:cs="Tahoma"/>
          <w:bCs/>
        </w:rPr>
        <w:t xml:space="preserve"> </w:t>
      </w:r>
      <w:r w:rsidRPr="007960E7">
        <w:rPr>
          <w:rFonts w:cs="Tahoma"/>
        </w:rPr>
        <w:t>zajišťuje</w:t>
      </w:r>
      <w:r w:rsidRPr="007960E7">
        <w:rPr>
          <w:rFonts w:cs="Tahoma"/>
          <w:bCs/>
        </w:rPr>
        <w:t xml:space="preserve"> Úřad průmyslového vlastnictví ČR</w:t>
      </w:r>
      <w:r w:rsidRPr="007960E7">
        <w:rPr>
          <w:rFonts w:cs="Tahoma"/>
        </w:rPr>
        <w:t xml:space="preserve"> (dále jen ÚPV ČR). </w:t>
      </w:r>
    </w:p>
    <w:p w:rsidR="009D46E6" w:rsidRPr="007960E7" w:rsidRDefault="009D46E6" w:rsidP="00FE4AA7">
      <w:pPr>
        <w:rPr>
          <w:rFonts w:cs="Tahoma"/>
        </w:rPr>
      </w:pPr>
      <w:r w:rsidRPr="007960E7">
        <w:rPr>
          <w:rFonts w:cs="Tahoma"/>
        </w:rPr>
        <w:t xml:space="preserve">Český statistický úřad (dále jen ČSÚ) ve spolupráci s ÚPV ČR shromažďuje a publikuje podrobné patentové údaje v různých tříděních, a to podle </w:t>
      </w:r>
      <w:r w:rsidRPr="007960E7">
        <w:rPr>
          <w:rFonts w:cs="Tahoma"/>
          <w:bCs/>
        </w:rPr>
        <w:t>Patentového manuálu</w:t>
      </w:r>
      <w:r w:rsidRPr="007960E7">
        <w:rPr>
          <w:rFonts w:cs="Tahoma"/>
        </w:rPr>
        <w:t xml:space="preserve"> (OECD, Paříž 2009) s cílem zpřístupnit široké veřejnosti především </w:t>
      </w:r>
      <w:r w:rsidRPr="007960E7">
        <w:rPr>
          <w:rFonts w:cs="Tahoma"/>
          <w:bCs/>
        </w:rPr>
        <w:t>úroveň patentové aktivy</w:t>
      </w:r>
      <w:r w:rsidRPr="007960E7">
        <w:rPr>
          <w:rFonts w:cs="Tahoma"/>
        </w:rPr>
        <w:t xml:space="preserve"> subjektů působících na území České republiky, a to prostřednictvím statistických čísel.</w:t>
      </w:r>
    </w:p>
    <w:p w:rsidR="009D46E6" w:rsidRPr="007960E7" w:rsidRDefault="009D46E6" w:rsidP="00FE4AA7">
      <w:pPr>
        <w:pStyle w:val="BodyText2"/>
        <w:spacing w:before="60" w:line="264" w:lineRule="auto"/>
        <w:rPr>
          <w:rFonts w:cs="Tahoma"/>
        </w:rPr>
      </w:pPr>
      <w:r w:rsidRPr="007960E7">
        <w:rPr>
          <w:rFonts w:cs="Tahoma"/>
        </w:rPr>
        <w:t xml:space="preserve">ČSÚ zpracovává podrobné údaje o počtu </w:t>
      </w:r>
      <w:r w:rsidRPr="007960E7">
        <w:rPr>
          <w:rFonts w:cs="Tahoma"/>
          <w:bCs/>
        </w:rPr>
        <w:t>udělených patentů</w:t>
      </w:r>
      <w:r w:rsidRPr="007960E7">
        <w:rPr>
          <w:rFonts w:cs="Tahoma"/>
        </w:rPr>
        <w:t xml:space="preserve"> pro území České republiky, o počtu </w:t>
      </w:r>
      <w:r w:rsidRPr="007960E7">
        <w:rPr>
          <w:rFonts w:cs="Tahoma"/>
          <w:bCs/>
        </w:rPr>
        <w:t>patentových přihlášek</w:t>
      </w:r>
      <w:r w:rsidRPr="007960E7">
        <w:rPr>
          <w:rFonts w:cs="Tahoma"/>
        </w:rPr>
        <w:t xml:space="preserve"> podaných u ÚPV ČR a o </w:t>
      </w:r>
      <w:r w:rsidRPr="007960E7">
        <w:rPr>
          <w:rFonts w:cs="Tahoma"/>
          <w:bCs/>
        </w:rPr>
        <w:t xml:space="preserve">patentech platných k 31. 12. </w:t>
      </w:r>
      <w:r w:rsidRPr="007960E7">
        <w:rPr>
          <w:rFonts w:cs="Tahoma"/>
        </w:rPr>
        <w:t xml:space="preserve">pro území České republiky. Obdobné údaje byly zpracovány i za </w:t>
      </w:r>
      <w:r w:rsidRPr="007960E7">
        <w:rPr>
          <w:rFonts w:cs="Tahoma"/>
          <w:bCs/>
        </w:rPr>
        <w:t>užitné vzory.</w:t>
      </w:r>
      <w:r w:rsidRPr="007960E7">
        <w:rPr>
          <w:rFonts w:cs="Tahoma"/>
        </w:rPr>
        <w:t xml:space="preserve"> </w:t>
      </w:r>
    </w:p>
    <w:p w:rsidR="009D46E6" w:rsidRPr="007960E7" w:rsidRDefault="009D46E6" w:rsidP="00FE4AA7">
      <w:pPr>
        <w:pStyle w:val="BodyText2"/>
        <w:spacing w:line="264" w:lineRule="auto"/>
        <w:rPr>
          <w:rFonts w:cs="Tahoma"/>
        </w:rPr>
      </w:pPr>
      <w:r w:rsidRPr="007960E7">
        <w:rPr>
          <w:rFonts w:cs="Tahoma"/>
        </w:rPr>
        <w:t xml:space="preserve">Mezi </w:t>
      </w:r>
      <w:r w:rsidRPr="007960E7">
        <w:rPr>
          <w:rFonts w:cs="Tahoma"/>
          <w:bCs/>
        </w:rPr>
        <w:t>hlavní informace</w:t>
      </w:r>
      <w:r w:rsidRPr="007960E7">
        <w:rPr>
          <w:rFonts w:cs="Tahoma"/>
        </w:rPr>
        <w:t>, jež byly získány z patentové dokumentace ÚPV ČR, patří:</w:t>
      </w:r>
    </w:p>
    <w:p w:rsidR="009D46E6" w:rsidRPr="007960E7" w:rsidRDefault="009D46E6" w:rsidP="00473494">
      <w:pPr>
        <w:pStyle w:val="BodyText2"/>
        <w:numPr>
          <w:ilvl w:val="0"/>
          <w:numId w:val="50"/>
        </w:numPr>
        <w:tabs>
          <w:tab w:val="clear" w:pos="645"/>
          <w:tab w:val="num" w:pos="360"/>
        </w:tabs>
        <w:spacing w:before="60" w:line="264" w:lineRule="auto"/>
        <w:ind w:left="360"/>
        <w:rPr>
          <w:rFonts w:cs="Tahoma"/>
          <w:bCs/>
          <w:i/>
          <w:iCs/>
        </w:rPr>
      </w:pPr>
      <w:r w:rsidRPr="007960E7">
        <w:rPr>
          <w:rFonts w:cs="Tahoma"/>
          <w:bCs/>
        </w:rPr>
        <w:t xml:space="preserve">rok </w:t>
      </w:r>
      <w:r w:rsidRPr="007960E7">
        <w:rPr>
          <w:rFonts w:cs="Tahoma"/>
        </w:rPr>
        <w:t xml:space="preserve">podání patentové přihlášky, udělení patentu nebo priority patentu – </w:t>
      </w:r>
      <w:r w:rsidRPr="007960E7">
        <w:rPr>
          <w:rFonts w:cs="Tahoma"/>
          <w:bCs/>
        </w:rPr>
        <w:t>časové hledisko</w:t>
      </w:r>
    </w:p>
    <w:p w:rsidR="009D46E6" w:rsidRPr="007960E7" w:rsidRDefault="009D46E6" w:rsidP="00473494">
      <w:pPr>
        <w:pStyle w:val="BodyText2"/>
        <w:numPr>
          <w:ilvl w:val="0"/>
          <w:numId w:val="50"/>
        </w:numPr>
        <w:tabs>
          <w:tab w:val="clear" w:pos="645"/>
          <w:tab w:val="num" w:pos="360"/>
        </w:tabs>
        <w:spacing w:before="60" w:line="264" w:lineRule="auto"/>
        <w:ind w:left="360"/>
        <w:rPr>
          <w:rFonts w:cs="Tahoma"/>
        </w:rPr>
      </w:pPr>
      <w:r w:rsidRPr="007960E7">
        <w:rPr>
          <w:rFonts w:cs="Tahoma"/>
          <w:bCs/>
        </w:rPr>
        <w:t>adresa</w:t>
      </w:r>
      <w:r w:rsidRPr="007960E7">
        <w:rPr>
          <w:rFonts w:cs="Tahoma"/>
        </w:rPr>
        <w:t xml:space="preserve"> vynálezce a/nebo přihlašovatele – </w:t>
      </w:r>
      <w:r w:rsidRPr="007960E7">
        <w:rPr>
          <w:rFonts w:cs="Tahoma"/>
          <w:bCs/>
        </w:rPr>
        <w:t>teritoriální hledisko</w:t>
      </w:r>
      <w:r w:rsidRPr="007960E7">
        <w:rPr>
          <w:rFonts w:cs="Tahoma"/>
        </w:rPr>
        <w:t xml:space="preserve">. Základní členění je na patenty udělené pro území České republiky </w:t>
      </w:r>
      <w:r w:rsidRPr="007960E7">
        <w:rPr>
          <w:rFonts w:cs="Tahoma"/>
          <w:bCs/>
        </w:rPr>
        <w:t xml:space="preserve">tuzemským a zahraničním </w:t>
      </w:r>
      <w:r w:rsidRPr="007960E7">
        <w:rPr>
          <w:rFonts w:cs="Tahoma"/>
        </w:rPr>
        <w:t>přihlašovatelům.</w:t>
      </w:r>
      <w:r w:rsidRPr="007960E7">
        <w:rPr>
          <w:rFonts w:cs="Tahoma"/>
          <w:bCs/>
        </w:rPr>
        <w:t xml:space="preserve"> </w:t>
      </w:r>
      <w:r w:rsidRPr="007960E7">
        <w:rPr>
          <w:rFonts w:cs="Tahoma"/>
        </w:rPr>
        <w:t xml:space="preserve">V případě tuzemských přihlašovatelů jsou dále k dispozici informace v </w:t>
      </w:r>
      <w:r w:rsidRPr="007960E7">
        <w:rPr>
          <w:rFonts w:cs="Tahoma"/>
          <w:bCs/>
        </w:rPr>
        <w:t>regionální členění</w:t>
      </w:r>
      <w:r w:rsidRPr="007960E7">
        <w:rPr>
          <w:rFonts w:cs="Tahoma"/>
        </w:rPr>
        <w:t xml:space="preserve"> podle krajů (CZ-NUTS 3) u zahraničních přihlašovatelů pak </w:t>
      </w:r>
      <w:r w:rsidRPr="007960E7">
        <w:rPr>
          <w:rFonts w:cs="Tahoma"/>
          <w:bCs/>
        </w:rPr>
        <w:t>členění podle zemí.</w:t>
      </w:r>
    </w:p>
    <w:p w:rsidR="009D46E6" w:rsidRPr="007960E7" w:rsidRDefault="009D46E6" w:rsidP="00FE4AA7">
      <w:pPr>
        <w:pStyle w:val="BodyText2"/>
        <w:tabs>
          <w:tab w:val="num" w:pos="360"/>
        </w:tabs>
        <w:spacing w:before="60" w:line="264" w:lineRule="auto"/>
        <w:ind w:left="360"/>
        <w:rPr>
          <w:rFonts w:cs="Tahoma"/>
          <w:highlight w:val="yellow"/>
        </w:rPr>
      </w:pPr>
      <w:r w:rsidRPr="007960E7">
        <w:rPr>
          <w:rFonts w:cs="Tahoma"/>
          <w:i/>
          <w:iCs/>
        </w:rPr>
        <w:t xml:space="preserve">Patentové údaje členěné podle teritoriálního hlediska jsou spočítány </w:t>
      </w:r>
      <w:r w:rsidRPr="007960E7">
        <w:rPr>
          <w:rFonts w:cs="Tahoma"/>
          <w:bCs/>
          <w:i/>
          <w:iCs/>
        </w:rPr>
        <w:t>tzv. zlomkovou metodou</w:t>
      </w:r>
      <w:r w:rsidRPr="007960E7">
        <w:rPr>
          <w:rFonts w:cs="Tahoma"/>
          <w:i/>
          <w:iCs/>
        </w:rPr>
        <w:t>, tj. vyplní-li např. patentovou přihlášku společně čtyři vynálezci různých národností, jedna čtvrtina tohoto patentu se připíše každé zemi.</w:t>
      </w:r>
      <w:r w:rsidRPr="007960E7">
        <w:rPr>
          <w:rFonts w:cs="Tahoma"/>
        </w:rPr>
        <w:t xml:space="preserve"> </w:t>
      </w:r>
    </w:p>
    <w:p w:rsidR="009D46E6" w:rsidRPr="007960E7" w:rsidRDefault="009D46E6" w:rsidP="00473494">
      <w:pPr>
        <w:pStyle w:val="BodyText2"/>
        <w:numPr>
          <w:ilvl w:val="0"/>
          <w:numId w:val="50"/>
        </w:numPr>
        <w:tabs>
          <w:tab w:val="clear" w:pos="645"/>
          <w:tab w:val="num" w:pos="360"/>
        </w:tabs>
        <w:spacing w:before="60" w:line="264" w:lineRule="auto"/>
        <w:ind w:left="360"/>
        <w:rPr>
          <w:rFonts w:cs="Tahoma"/>
          <w:bCs/>
          <w:i/>
          <w:iCs/>
        </w:rPr>
      </w:pPr>
      <w:r w:rsidRPr="007960E7">
        <w:rPr>
          <w:rFonts w:cs="Tahoma"/>
          <w:bCs/>
        </w:rPr>
        <w:t xml:space="preserve">způsob </w:t>
      </w:r>
      <w:r w:rsidRPr="007960E7">
        <w:rPr>
          <w:rFonts w:cs="Tahoma"/>
        </w:rPr>
        <w:t xml:space="preserve">udělení patentu. Základní členění je na patenty udělené </w:t>
      </w:r>
      <w:r w:rsidRPr="007960E7">
        <w:rPr>
          <w:rFonts w:cs="Tahoma"/>
          <w:bCs/>
        </w:rPr>
        <w:t xml:space="preserve">národní cestou ÚPV ČR </w:t>
      </w:r>
      <w:r w:rsidRPr="007960E7">
        <w:rPr>
          <w:rFonts w:cs="Tahoma"/>
        </w:rPr>
        <w:t xml:space="preserve">nebo </w:t>
      </w:r>
      <w:r w:rsidRPr="007960E7">
        <w:rPr>
          <w:rFonts w:cs="Tahoma"/>
          <w:bCs/>
        </w:rPr>
        <w:t>validované evropské patentové přihlášky</w:t>
      </w:r>
      <w:r w:rsidRPr="007960E7">
        <w:rPr>
          <w:rFonts w:cs="Tahoma"/>
        </w:rPr>
        <w:t xml:space="preserve"> pro území České republiky ÚPV ČR. </w:t>
      </w:r>
      <w:r w:rsidRPr="007960E7">
        <w:rPr>
          <w:rFonts w:cs="Tahoma"/>
          <w:i/>
          <w:iCs/>
        </w:rPr>
        <w:t>Druhá možnost existuje v případě České republiky od roku 2002, ale do praxe se promítla ve větší míře až v roce 2004.</w:t>
      </w:r>
    </w:p>
    <w:p w:rsidR="009D46E6" w:rsidRPr="002C5C93" w:rsidRDefault="009D46E6" w:rsidP="00473494">
      <w:pPr>
        <w:pStyle w:val="BodyText2"/>
        <w:numPr>
          <w:ilvl w:val="0"/>
          <w:numId w:val="51"/>
        </w:numPr>
        <w:tabs>
          <w:tab w:val="clear" w:pos="645"/>
          <w:tab w:val="num" w:pos="360"/>
        </w:tabs>
        <w:spacing w:before="60" w:line="264" w:lineRule="auto"/>
        <w:ind w:left="357"/>
        <w:rPr>
          <w:rFonts w:cs="Tahoma"/>
        </w:rPr>
      </w:pPr>
      <w:r w:rsidRPr="002C5C93">
        <w:rPr>
          <w:rFonts w:cs="Tahoma"/>
          <w:bCs/>
        </w:rPr>
        <w:t>oblast techniky,</w:t>
      </w:r>
      <w:r w:rsidRPr="002C5C93">
        <w:rPr>
          <w:rFonts w:cs="Tahoma"/>
        </w:rPr>
        <w:t xml:space="preserve"> jež je předmětem nároku zahrnutého v uděleném patentu, je definována podle Mezinárodního patentového třídění (dále jen MPT). ČSÚ zpracoval dle metodiky OECD, kromě základního třídění podle hlavních sekcí MPT klasifikace, i údaje za </w:t>
      </w:r>
      <w:r w:rsidRPr="002C5C93">
        <w:rPr>
          <w:rFonts w:cs="Tahoma"/>
          <w:bCs/>
        </w:rPr>
        <w:t>vybrané oblasti techniky</w:t>
      </w:r>
      <w:r w:rsidRPr="002C5C93">
        <w:rPr>
          <w:rFonts w:cs="Tahoma"/>
        </w:rPr>
        <w:t xml:space="preserve"> jako je high-tech, ICT, biotechnologie a obnovitelné zdroje, více viz příloha klasifikace – Mezinárodní patentové třídění. </w:t>
      </w:r>
      <w:r w:rsidRPr="002C5C93">
        <w:rPr>
          <w:rFonts w:cs="Tahoma"/>
          <w:iCs/>
        </w:rPr>
        <w:t>Pokud patent zahrnuje více oblastí techniky, je započítáván podle oblasti (MPT třídy) uvedené na prvním místě.</w:t>
      </w:r>
    </w:p>
    <w:p w:rsidR="009D46E6" w:rsidRPr="002C5C93" w:rsidRDefault="009D46E6" w:rsidP="00FE4AA7">
      <w:pPr>
        <w:pStyle w:val="BodyText2"/>
        <w:spacing w:line="264" w:lineRule="auto"/>
        <w:rPr>
          <w:rFonts w:cs="Tahoma"/>
          <w:iCs/>
        </w:rPr>
      </w:pPr>
      <w:r w:rsidRPr="002C5C93">
        <w:rPr>
          <w:rFonts w:cs="Tahoma"/>
          <w:iCs/>
        </w:rPr>
        <w:t xml:space="preserve">Uvedené charakteristiky jsou dostupné ve vzájemné kombinaci. </w:t>
      </w:r>
    </w:p>
    <w:p w:rsidR="009D46E6" w:rsidRPr="007960E7" w:rsidRDefault="009D46E6" w:rsidP="00FE4AA7">
      <w:pPr>
        <w:pStyle w:val="BodyText2"/>
        <w:spacing w:line="264" w:lineRule="auto"/>
        <w:rPr>
          <w:rFonts w:cs="Tahoma"/>
        </w:rPr>
      </w:pPr>
      <w:r w:rsidRPr="007960E7">
        <w:rPr>
          <w:rFonts w:cs="Tahoma"/>
        </w:rPr>
        <w:t xml:space="preserve">Údaje o počtu patentů patřících tuzemským subjektům jsou dále dostupné v následujícím třídění: </w:t>
      </w:r>
    </w:p>
    <w:p w:rsidR="009D46E6" w:rsidRPr="007960E7" w:rsidRDefault="009D46E6" w:rsidP="00473494">
      <w:pPr>
        <w:numPr>
          <w:ilvl w:val="0"/>
          <w:numId w:val="48"/>
        </w:numPr>
        <w:spacing w:before="40"/>
        <w:ind w:left="714" w:hanging="357"/>
        <w:rPr>
          <w:rFonts w:cs="Tahoma"/>
        </w:rPr>
      </w:pPr>
      <w:r w:rsidRPr="002C5C93">
        <w:rPr>
          <w:rFonts w:cs="Tahoma"/>
          <w:bCs/>
          <w:i/>
        </w:rPr>
        <w:t>podle typu přihlašovatele</w:t>
      </w:r>
      <w:r w:rsidRPr="007960E7">
        <w:rPr>
          <w:rFonts w:cs="Tahoma"/>
          <w:b/>
          <w:bCs/>
        </w:rPr>
        <w:t xml:space="preserve"> </w:t>
      </w:r>
      <w:r w:rsidRPr="007960E7">
        <w:rPr>
          <w:rFonts w:cs="Tahoma"/>
        </w:rPr>
        <w:t>(veřejné vysoké školy, veřejné výzkumné instituce, podniky, fyzické osoby apod.) definovaných na základě právní formy organizace, institucionálního sektoru (ISEKTOR) a převažující ekonomické činnosti (CZ-NACE).</w:t>
      </w:r>
    </w:p>
    <w:p w:rsidR="009D46E6" w:rsidRPr="007960E7" w:rsidRDefault="009D46E6" w:rsidP="00473494">
      <w:pPr>
        <w:numPr>
          <w:ilvl w:val="0"/>
          <w:numId w:val="48"/>
        </w:numPr>
        <w:spacing w:before="40"/>
        <w:ind w:left="714" w:hanging="357"/>
        <w:rPr>
          <w:rFonts w:cs="Tahoma"/>
        </w:rPr>
      </w:pPr>
      <w:r w:rsidRPr="007960E7">
        <w:rPr>
          <w:rFonts w:cs="Tahoma"/>
        </w:rPr>
        <w:t xml:space="preserve">u právnických a fyzických osob zapsaných v RESu patřících do podnikatelského sektoru navíc podle </w:t>
      </w:r>
      <w:r w:rsidRPr="002C5C93">
        <w:rPr>
          <w:rFonts w:cs="Tahoma"/>
          <w:bCs/>
          <w:i/>
        </w:rPr>
        <w:t>vlastnictví</w:t>
      </w:r>
      <w:r w:rsidRPr="007960E7">
        <w:rPr>
          <w:rFonts w:cs="Tahoma"/>
        </w:rPr>
        <w:t xml:space="preserve"> (veřejné podniky, soukromé podniky domácí a soukromé podniky pod zahraniční kontrolou), </w:t>
      </w:r>
      <w:r w:rsidRPr="002C5C93">
        <w:rPr>
          <w:rFonts w:cs="Tahoma"/>
          <w:bCs/>
          <w:i/>
        </w:rPr>
        <w:t>velikosti</w:t>
      </w:r>
      <w:r w:rsidRPr="007960E7">
        <w:rPr>
          <w:rFonts w:cs="Tahoma"/>
        </w:rPr>
        <w:t xml:space="preserve"> (tj. počtu zaměstnanců) a </w:t>
      </w:r>
      <w:r w:rsidRPr="002C5C93">
        <w:rPr>
          <w:rFonts w:cs="Tahoma"/>
          <w:bCs/>
          <w:i/>
        </w:rPr>
        <w:t>odvětví/převažující ekonomické činnosti</w:t>
      </w:r>
      <w:r w:rsidRPr="007960E7">
        <w:rPr>
          <w:rFonts w:cs="Tahoma"/>
        </w:rPr>
        <w:t xml:space="preserve"> (klasifikace CZ-NACE),</w:t>
      </w:r>
    </w:p>
    <w:p w:rsidR="009D46E6" w:rsidRPr="007960E7" w:rsidRDefault="009D46E6" w:rsidP="00473494">
      <w:pPr>
        <w:numPr>
          <w:ilvl w:val="0"/>
          <w:numId w:val="48"/>
        </w:numPr>
        <w:spacing w:before="40"/>
        <w:ind w:left="714" w:hanging="357"/>
        <w:rPr>
          <w:rFonts w:cs="Tahoma"/>
        </w:rPr>
      </w:pPr>
      <w:r w:rsidRPr="007960E7">
        <w:rPr>
          <w:rFonts w:cs="Tahoma"/>
        </w:rPr>
        <w:t xml:space="preserve">ve vládním a vysokoškolském sektoru navíc podle </w:t>
      </w:r>
      <w:r w:rsidRPr="002C5C93">
        <w:rPr>
          <w:rFonts w:cs="Tahoma"/>
          <w:bCs/>
          <w:i/>
        </w:rPr>
        <w:t>druhu pracoviště</w:t>
      </w:r>
      <w:r w:rsidRPr="007960E7">
        <w:rPr>
          <w:rFonts w:cs="Tahoma"/>
        </w:rPr>
        <w:t>.</w:t>
      </w:r>
    </w:p>
    <w:p w:rsidR="009D46E6" w:rsidRPr="002C5C93" w:rsidRDefault="009D46E6" w:rsidP="00FE4AA7">
      <w:pPr>
        <w:pStyle w:val="BodyText2"/>
        <w:spacing w:line="264" w:lineRule="auto"/>
        <w:rPr>
          <w:rFonts w:cs="Tahoma"/>
          <w:iCs/>
        </w:rPr>
      </w:pPr>
      <w:r w:rsidRPr="007960E7">
        <w:rPr>
          <w:rFonts w:cs="Tahoma"/>
        </w:rPr>
        <w:t>Výše uvedená třídění se prováděla na základě údajů uváděných v RESu platných k 31. 12. 2012, tj. nemusí odpovídat skutečnosti v době udělení patentu. Patentové údaje v těchto tříděních jsou vypočítány pomocí výše uvedené zlomkové metody.</w:t>
      </w:r>
      <w:r>
        <w:rPr>
          <w:rFonts w:cs="Tahoma"/>
        </w:rPr>
        <w:t xml:space="preserve"> </w:t>
      </w:r>
      <w:r w:rsidRPr="002C5C93">
        <w:rPr>
          <w:rFonts w:cs="Tahoma"/>
          <w:iCs/>
        </w:rPr>
        <w:t>Agregované patentové údaje zpracované ČSÚ ve výše uvedeném členění se z metodických důvodů mohou nepatrně lišit od údajů, které zveřejňuje ÚPV ČR ve svých výročních zprávách.</w:t>
      </w:r>
    </w:p>
    <w:p w:rsidR="009D46E6" w:rsidRPr="00E64218" w:rsidRDefault="009D46E6" w:rsidP="00FE4AA7">
      <w:pPr>
        <w:spacing w:before="240"/>
        <w:rPr>
          <w:rFonts w:cs="Tahoma"/>
          <w:u w:val="single"/>
        </w:rPr>
      </w:pPr>
      <w:r w:rsidRPr="00E64218">
        <w:rPr>
          <w:rFonts w:cs="Tahoma"/>
          <w:u w:val="single"/>
        </w:rPr>
        <w:t>Důležité definice používané v patentové statistice</w:t>
      </w:r>
    </w:p>
    <w:p w:rsidR="009D46E6" w:rsidRPr="007960E7" w:rsidRDefault="009D46E6" w:rsidP="00FE4AA7">
      <w:pPr>
        <w:spacing w:before="60"/>
        <w:rPr>
          <w:rFonts w:cs="Tahoma"/>
          <w:i/>
          <w:iCs/>
        </w:rPr>
      </w:pPr>
      <w:r w:rsidRPr="00E64218">
        <w:rPr>
          <w:rFonts w:cs="Tahoma"/>
          <w:bCs/>
          <w:i/>
        </w:rPr>
        <w:t>Patent</w:t>
      </w:r>
      <w:r w:rsidRPr="007960E7">
        <w:rPr>
          <w:rFonts w:cs="Tahoma"/>
          <w:b/>
          <w:bCs/>
        </w:rPr>
        <w:t xml:space="preserve"> </w:t>
      </w:r>
      <w:r w:rsidRPr="007960E7">
        <w:rPr>
          <w:rFonts w:cs="Tahoma"/>
        </w:rPr>
        <w:t xml:space="preserve">- veřejná listina vydaná příslušným patentovým úřadem, která poskytuje právní ochranu na vynález po dobu až 20 let (jsou-li placeny udržovací poplatky), a to na teritoriu, pro něž byl tímto úřadem vydán (např. ÚPV ČR uděluje tzv. národní cestou patenty s platností na území ČR). O patent se žádá podáním patentové přihlášky u příslušného patentového úřadu. </w:t>
      </w:r>
      <w:r w:rsidRPr="007960E7">
        <w:rPr>
          <w:rFonts w:cs="Tahoma"/>
          <w:bCs/>
        </w:rPr>
        <w:t>Patenty</w:t>
      </w:r>
      <w:r w:rsidRPr="007960E7">
        <w:rPr>
          <w:rFonts w:cs="Tahoma"/>
        </w:rPr>
        <w:t xml:space="preserve"> se </w:t>
      </w:r>
      <w:r w:rsidRPr="007960E7">
        <w:rPr>
          <w:rFonts w:cs="Tahoma"/>
          <w:bCs/>
        </w:rPr>
        <w:t>udělují</w:t>
      </w:r>
      <w:r w:rsidRPr="007960E7">
        <w:rPr>
          <w:rFonts w:cs="Tahoma"/>
        </w:rPr>
        <w:t xml:space="preserve"> na </w:t>
      </w:r>
      <w:r w:rsidRPr="007960E7">
        <w:rPr>
          <w:rFonts w:cs="Tahoma"/>
          <w:bCs/>
        </w:rPr>
        <w:t>vynálezy</w:t>
      </w:r>
      <w:r w:rsidRPr="007960E7">
        <w:rPr>
          <w:rFonts w:cs="Tahoma"/>
        </w:rPr>
        <w:t xml:space="preserve">, které jsou </w:t>
      </w:r>
      <w:r w:rsidRPr="007960E7">
        <w:rPr>
          <w:rFonts w:cs="Tahoma"/>
          <w:bCs/>
        </w:rPr>
        <w:t>nové</w:t>
      </w:r>
      <w:r w:rsidRPr="007960E7">
        <w:rPr>
          <w:rFonts w:cs="Tahoma"/>
        </w:rPr>
        <w:t xml:space="preserve">, jsou </w:t>
      </w:r>
      <w:r w:rsidRPr="007960E7">
        <w:rPr>
          <w:rFonts w:cs="Tahoma"/>
          <w:bCs/>
        </w:rPr>
        <w:t>výsledkem vynálezecké činnosti</w:t>
      </w:r>
      <w:r w:rsidRPr="007960E7">
        <w:rPr>
          <w:rFonts w:cs="Tahoma"/>
        </w:rPr>
        <w:t xml:space="preserve"> a jsou </w:t>
      </w:r>
      <w:r w:rsidRPr="007960E7">
        <w:rPr>
          <w:rFonts w:cs="Tahoma"/>
          <w:bCs/>
        </w:rPr>
        <w:t>průmyslově využitelné</w:t>
      </w:r>
      <w:r w:rsidRPr="007960E7">
        <w:rPr>
          <w:rFonts w:cs="Tahoma"/>
          <w:b/>
          <w:bCs/>
        </w:rPr>
        <w:t>.</w:t>
      </w:r>
      <w:r w:rsidRPr="007960E7">
        <w:rPr>
          <w:rFonts w:cs="Tahoma"/>
        </w:rPr>
        <w:t xml:space="preserve"> Patentovat lze nejen výrobky a technologie, ale i chemicky vyrobené látky, léčiva, průmyslové produkční mikroorganismy, jakož i mikrobiologické způsoby a výrobky těmito způsoby získané. </w:t>
      </w:r>
      <w:r w:rsidRPr="007960E7">
        <w:rPr>
          <w:rFonts w:cs="Tahoma"/>
          <w:i/>
          <w:iCs/>
        </w:rPr>
        <w:t>Patentovat naopak nelze objevy nebo vědecké teorie, programy pro počítače, nové odrůdy rostlin a plemena zvířat či způsoby chirurgického nebo terapeutického ošetřování lidského nebo zvířecího těla a diagnostické metody používané na lidském nebo zvířecím těle.</w:t>
      </w:r>
    </w:p>
    <w:p w:rsidR="009D46E6" w:rsidRPr="007960E7" w:rsidRDefault="009D46E6" w:rsidP="00FE4AA7">
      <w:pPr>
        <w:spacing w:before="60"/>
        <w:rPr>
          <w:rFonts w:cs="Tahoma"/>
        </w:rPr>
      </w:pPr>
      <w:r w:rsidRPr="007960E7">
        <w:rPr>
          <w:rFonts w:cs="Tahoma"/>
        </w:rPr>
        <w:t xml:space="preserve">Technické řešení </w:t>
      </w:r>
      <w:r w:rsidRPr="00E64218">
        <w:rPr>
          <w:rFonts w:cs="Tahoma"/>
          <w:i/>
        </w:rPr>
        <w:t>užitného vzoru,</w:t>
      </w:r>
      <w:r w:rsidRPr="007960E7">
        <w:rPr>
          <w:rFonts w:cs="Tahoma"/>
        </w:rPr>
        <w:t xml:space="preserve"> které je jeho podstatou a je jím po vydání osvědčení o zápisu chráněno, nemusí dosahovat tvůrčí úrovně patentovatelného vynálezu. Požaduje se však, aby přesahovalo rámec pouhé odborné dovednosti, nebylo jen vnější úpravou výrobku, a bylo průmyslově využitelné. U užitného vzoru se nezkoumá způsobilost k ochraně, tzn., že užitný vzor je zapsán vždy, pokud splňuje zápisné podmínky dané zákonem. Užitným vzorem nelze chránit výrobní postupy. Ochranu užitným vzorům poskytuje asi 40 států.</w:t>
      </w:r>
    </w:p>
    <w:p w:rsidR="009D46E6" w:rsidRPr="007960E7" w:rsidRDefault="009D46E6" w:rsidP="00FE4AA7">
      <w:pPr>
        <w:spacing w:before="60"/>
        <w:rPr>
          <w:rFonts w:cs="Tahoma"/>
        </w:rPr>
      </w:pPr>
      <w:r w:rsidRPr="00E64218">
        <w:rPr>
          <w:rFonts w:cs="Tahoma"/>
          <w:i/>
        </w:rPr>
        <w:t xml:space="preserve">Původcem patentovaného </w:t>
      </w:r>
      <w:r w:rsidRPr="00E64218">
        <w:rPr>
          <w:rFonts w:cs="Tahoma"/>
          <w:bCs/>
          <w:i/>
        </w:rPr>
        <w:t>vynálezu</w:t>
      </w:r>
      <w:r w:rsidRPr="007960E7">
        <w:rPr>
          <w:rFonts w:cs="Tahoma"/>
        </w:rPr>
        <w:t xml:space="preserve"> je ten, kdo jej vytvořil vlastní tvořivou prací. Původcem či spolupůvodcem může být pouze fyzická osoba. Tato osoba má právo na původcovství (je to </w:t>
      </w:r>
      <w:r w:rsidRPr="007960E7">
        <w:rPr>
          <w:rFonts w:cs="Tahoma"/>
          <w:bCs/>
        </w:rPr>
        <w:t>osobnostní</w:t>
      </w:r>
      <w:r w:rsidRPr="007960E7">
        <w:rPr>
          <w:rFonts w:cs="Tahoma"/>
        </w:rPr>
        <w:t xml:space="preserve"> právo, nepřevoditelné na třetí osoby). Osoba původce je uváděna v přihlášce vynálezu a v patentové listině a údaje o původci jsou zapisovány do patentového rejstříku. </w:t>
      </w:r>
    </w:p>
    <w:p w:rsidR="009D46E6" w:rsidRPr="007960E7" w:rsidRDefault="009D46E6" w:rsidP="00FE4AA7">
      <w:pPr>
        <w:spacing w:before="60"/>
        <w:rPr>
          <w:rFonts w:cs="Tahoma"/>
        </w:rPr>
      </w:pPr>
      <w:r w:rsidRPr="00E64218">
        <w:rPr>
          <w:rFonts w:cs="Tahoma"/>
          <w:i/>
        </w:rPr>
        <w:t xml:space="preserve">Přihlašovatelem </w:t>
      </w:r>
      <w:r w:rsidRPr="00E64218">
        <w:rPr>
          <w:rFonts w:cs="Tahoma"/>
          <w:bCs/>
          <w:i/>
        </w:rPr>
        <w:t>patentu</w:t>
      </w:r>
      <w:r w:rsidRPr="007960E7">
        <w:rPr>
          <w:rFonts w:cs="Tahoma"/>
        </w:rPr>
        <w:t xml:space="preserve"> může být původce nebo jeho právní nástupce. Osoba přihlašovatele je rovněž uváděna v přihlášce vynálezu a v patentové listině a údaje o přihlašovateli jsou zapisovány do patentového rejstříku. Udělením patentu se přihlašovatel stává majitelem patentu. Majitel patentu má výlučné právo vynález využívat, poskytovat souhlas k jeho využívání jiným osobám (licence), anebo na ně patent převést písemnou smlouvou.</w:t>
      </w:r>
    </w:p>
    <w:p w:rsidR="009D46E6" w:rsidRPr="007960E7" w:rsidRDefault="009D46E6" w:rsidP="00FE4AA7">
      <w:pPr>
        <w:spacing w:before="60"/>
        <w:rPr>
          <w:rFonts w:cs="Tahoma"/>
          <w:bCs/>
        </w:rPr>
      </w:pPr>
      <w:r w:rsidRPr="00E64218">
        <w:rPr>
          <w:rFonts w:cs="Tahoma"/>
          <w:i/>
        </w:rPr>
        <w:t>Rok priority</w:t>
      </w:r>
      <w:r w:rsidRPr="007960E7">
        <w:rPr>
          <w:rFonts w:cs="Tahoma"/>
          <w:b/>
        </w:rPr>
        <w:t xml:space="preserve"> </w:t>
      </w:r>
      <w:r w:rsidRPr="007960E7">
        <w:rPr>
          <w:rFonts w:cs="Tahoma"/>
          <w:bCs/>
        </w:rPr>
        <w:t>je rok prvního podání patentové přihlášky v jakékoliv zemi.</w:t>
      </w:r>
    </w:p>
    <w:p w:rsidR="009D46E6" w:rsidRPr="007960E7" w:rsidRDefault="009D46E6" w:rsidP="00FE4AA7">
      <w:pPr>
        <w:spacing w:before="60"/>
        <w:rPr>
          <w:rFonts w:cs="Tahoma"/>
        </w:rPr>
      </w:pPr>
      <w:r w:rsidRPr="00E64218">
        <w:rPr>
          <w:rFonts w:cs="Tahoma"/>
          <w:i/>
        </w:rPr>
        <w:t>Evropský patent</w:t>
      </w:r>
      <w:r w:rsidRPr="007960E7">
        <w:rPr>
          <w:rFonts w:cs="Tahoma"/>
          <w:b/>
        </w:rPr>
        <w:t xml:space="preserve"> </w:t>
      </w:r>
      <w:r w:rsidRPr="007960E7">
        <w:rPr>
          <w:rFonts w:cs="Tahoma"/>
        </w:rPr>
        <w:t xml:space="preserve">poskytuje svému majiteli v každém smluvním státě, pro který byl designován, po jeho validaci národním patentovým úřadem, stejná práva, jaká by pro něho vyplývala z národního patentu uděleného v tomto státě národní (klasickou) cestou. Evropskou patentovou přihlášku pro získání </w:t>
      </w:r>
      <w:r w:rsidRPr="00E64218">
        <w:rPr>
          <w:rFonts w:cs="Tahoma"/>
        </w:rPr>
        <w:t>evropského patentu může podat kterákoli osoba, a to u Evropského patentového úřadu (EPO), a</w:t>
      </w:r>
      <w:r w:rsidRPr="007960E7">
        <w:rPr>
          <w:rFonts w:cs="Tahoma"/>
        </w:rPr>
        <w:t xml:space="preserve"> pokud to právo smluvního státu připouští nebo předepisuje, i u ústředního úřadu průmyslového vlastnictví nebo jiného příslušného orgánu smluvního státu. Od 1. července 2002 lze podat evropskou patentovou přihlášku i u Úřadu průmyslového vlastnictví České republiky.</w:t>
      </w:r>
    </w:p>
    <w:p w:rsidR="009D46E6" w:rsidRPr="007960E7" w:rsidRDefault="009D46E6" w:rsidP="00FE4AA7">
      <w:pPr>
        <w:spacing w:before="60"/>
        <w:rPr>
          <w:rFonts w:cs="Tahoma"/>
        </w:rPr>
      </w:pPr>
      <w:r w:rsidRPr="00E64218">
        <w:rPr>
          <w:rFonts w:cs="Tahoma"/>
          <w:bCs/>
          <w:i/>
        </w:rPr>
        <w:t>Mezinárodní patentové třídění MPT (International Patent Classification IPC)</w:t>
      </w:r>
      <w:r w:rsidRPr="007960E7">
        <w:rPr>
          <w:rFonts w:cs="Tahoma"/>
          <w:b/>
          <w:bCs/>
        </w:rPr>
        <w:t xml:space="preserve"> </w:t>
      </w:r>
      <w:r w:rsidRPr="007960E7">
        <w:rPr>
          <w:rFonts w:cs="Tahoma"/>
          <w:bCs/>
        </w:rPr>
        <w:t>je základem k ukládání a vyhledávání patentových dokumentů podle oborů. Vzniklo v roce 1968 sjednocením národních třídících systémů pro patentové dokumenty. Obsahuje zhruba 60 tisíc oborových skupin a podskupin a od roku 2006 je průběžně aktualizováno - začleňují se nové podskupiny či skupiny, případně i třídy, nebo se podskupiny či skupiny slučují či ruší. Od roku 2006 platí jeho 8. verze. Třídníky</w:t>
      </w:r>
      <w:r w:rsidRPr="007960E7">
        <w:rPr>
          <w:rFonts w:cs="Tahoma"/>
          <w:b/>
          <w:bCs/>
        </w:rPr>
        <w:t xml:space="preserve"> </w:t>
      </w:r>
      <w:r w:rsidRPr="007960E7">
        <w:rPr>
          <w:rFonts w:cs="Tahoma"/>
        </w:rPr>
        <w:t xml:space="preserve">MPT naleznete na stránkách ÚPV ČR. </w:t>
      </w:r>
    </w:p>
    <w:p w:rsidR="009D46E6" w:rsidRPr="00E64218" w:rsidRDefault="009D46E6" w:rsidP="00FE4AA7">
      <w:pPr>
        <w:pStyle w:val="BodyText2"/>
        <w:spacing w:before="60" w:line="264" w:lineRule="auto"/>
        <w:rPr>
          <w:rFonts w:cs="Tahoma"/>
          <w:bCs/>
          <w:i/>
        </w:rPr>
      </w:pPr>
      <w:r w:rsidRPr="00E64218">
        <w:rPr>
          <w:rFonts w:cs="Tahoma"/>
          <w:i/>
        </w:rPr>
        <w:t xml:space="preserve">Podrobné informace jsou k dispozici na: </w:t>
      </w:r>
      <w:hyperlink r:id="rId273" w:history="1">
        <w:r w:rsidRPr="00E64218">
          <w:rPr>
            <w:rStyle w:val="Hyperlink"/>
            <w:rFonts w:cs="Tahoma"/>
            <w:bCs/>
            <w:i/>
            <w:sz w:val="16"/>
            <w:szCs w:val="16"/>
          </w:rPr>
          <w:t>http://www.czso.cz/csu/redakce.nsf/i/patentova_statistika</w:t>
        </w:r>
      </w:hyperlink>
      <w:r w:rsidRPr="00E64218">
        <w:rPr>
          <w:rFonts w:cs="Tahoma"/>
          <w:bCs/>
          <w:i/>
        </w:rPr>
        <w:t xml:space="preserve"> </w:t>
      </w:r>
    </w:p>
    <w:p w:rsidR="009D46E6" w:rsidRPr="00E64218" w:rsidRDefault="009D46E6" w:rsidP="00FE4AA7">
      <w:pPr>
        <w:spacing w:before="240"/>
        <w:rPr>
          <w:rFonts w:cs="Tahoma"/>
          <w:i/>
          <w:u w:val="single"/>
        </w:rPr>
      </w:pPr>
      <w:r w:rsidRPr="00E64218">
        <w:rPr>
          <w:rFonts w:cs="Tahoma"/>
          <w:i/>
          <w:u w:val="single"/>
        </w:rPr>
        <w:t>Statistické šetření o licencích v oblasti ochrany průmyslového vlastnictví LIC 5-01</w:t>
      </w:r>
    </w:p>
    <w:p w:rsidR="009D46E6" w:rsidRPr="00E64218" w:rsidRDefault="009D46E6" w:rsidP="00FE4AA7">
      <w:pPr>
        <w:pStyle w:val="Bn"/>
        <w:spacing w:after="60" w:line="264" w:lineRule="auto"/>
        <w:ind w:firstLine="0"/>
        <w:rPr>
          <w:rFonts w:ascii="Tahoma" w:hAnsi="Tahoma" w:cs="Tahoma"/>
          <w:sz w:val="20"/>
          <w:szCs w:val="20"/>
        </w:rPr>
      </w:pPr>
      <w:r w:rsidRPr="00E64218">
        <w:rPr>
          <w:rFonts w:ascii="Tahoma" w:hAnsi="Tahoma" w:cs="Tahoma"/>
          <w:sz w:val="20"/>
          <w:szCs w:val="20"/>
        </w:rPr>
        <w:t xml:space="preserve">Český statistický úřad sleduje údaje o </w:t>
      </w:r>
      <w:r w:rsidRPr="00E64218">
        <w:rPr>
          <w:rFonts w:ascii="Tahoma" w:hAnsi="Tahoma" w:cs="Tahoma"/>
          <w:bCs/>
          <w:sz w:val="20"/>
          <w:szCs w:val="20"/>
        </w:rPr>
        <w:t>licencích</w:t>
      </w:r>
      <w:r w:rsidRPr="00E64218">
        <w:rPr>
          <w:rFonts w:ascii="Tahoma" w:hAnsi="Tahoma" w:cs="Tahoma"/>
          <w:sz w:val="20"/>
          <w:szCs w:val="20"/>
        </w:rPr>
        <w:t xml:space="preserve"> platných na území České republiky v oblasti ochrany průmyslového vlastnictví od roku 2005 prostřednictvím </w:t>
      </w:r>
      <w:r w:rsidRPr="00E64218">
        <w:rPr>
          <w:rFonts w:ascii="Tahoma" w:hAnsi="Tahoma" w:cs="Tahoma"/>
          <w:bCs/>
          <w:sz w:val="20"/>
          <w:szCs w:val="20"/>
        </w:rPr>
        <w:t>Ročního výkazu o licencích (Lic 5-01).</w:t>
      </w:r>
    </w:p>
    <w:p w:rsidR="009D46E6" w:rsidRPr="00E64218" w:rsidRDefault="009D46E6" w:rsidP="00FE4AA7">
      <w:pPr>
        <w:pStyle w:val="Bn"/>
        <w:spacing w:after="60" w:line="264" w:lineRule="auto"/>
        <w:ind w:firstLine="0"/>
        <w:rPr>
          <w:rFonts w:ascii="Tahoma" w:hAnsi="Tahoma" w:cs="Tahoma"/>
          <w:sz w:val="20"/>
          <w:szCs w:val="20"/>
        </w:rPr>
      </w:pPr>
      <w:r w:rsidRPr="00E64218">
        <w:rPr>
          <w:rFonts w:ascii="Tahoma" w:hAnsi="Tahoma" w:cs="Tahoma"/>
          <w:sz w:val="20"/>
          <w:szCs w:val="20"/>
        </w:rPr>
        <w:t xml:space="preserve">Cílem tohoto šetření je zjistit </w:t>
      </w:r>
      <w:r w:rsidRPr="00E64218">
        <w:rPr>
          <w:rFonts w:ascii="Tahoma" w:hAnsi="Tahoma" w:cs="Tahoma"/>
          <w:bCs/>
          <w:sz w:val="20"/>
          <w:szCs w:val="20"/>
        </w:rPr>
        <w:t>počet aktivních (poskytnutých) licencí</w:t>
      </w:r>
      <w:r w:rsidRPr="00E64218">
        <w:rPr>
          <w:rFonts w:ascii="Tahoma" w:hAnsi="Tahoma" w:cs="Tahoma"/>
          <w:sz w:val="20"/>
          <w:szCs w:val="20"/>
        </w:rPr>
        <w:t xml:space="preserve"> na některou z ochran průmyslového vlastnictví a </w:t>
      </w:r>
      <w:r w:rsidRPr="00E64218">
        <w:rPr>
          <w:rFonts w:ascii="Tahoma" w:hAnsi="Tahoma" w:cs="Tahoma"/>
          <w:bCs/>
          <w:sz w:val="20"/>
          <w:szCs w:val="20"/>
        </w:rPr>
        <w:t>hodnotu licenčních poplatků</w:t>
      </w:r>
      <w:r w:rsidRPr="00E64218">
        <w:rPr>
          <w:rFonts w:ascii="Tahoma" w:hAnsi="Tahoma" w:cs="Tahoma"/>
          <w:sz w:val="20"/>
          <w:szCs w:val="20"/>
        </w:rPr>
        <w:t xml:space="preserve"> přijatých ekonomickými subjekty působícími v ČR ve sledovaném roce. </w:t>
      </w:r>
    </w:p>
    <w:p w:rsidR="009D46E6" w:rsidRPr="00E64218" w:rsidRDefault="009D46E6" w:rsidP="00FE4AA7">
      <w:pPr>
        <w:pStyle w:val="Bn"/>
        <w:spacing w:after="60" w:line="264" w:lineRule="auto"/>
        <w:ind w:firstLine="0"/>
        <w:rPr>
          <w:rFonts w:ascii="Tahoma" w:hAnsi="Tahoma" w:cs="Tahoma"/>
          <w:sz w:val="20"/>
          <w:szCs w:val="20"/>
        </w:rPr>
      </w:pPr>
      <w:r w:rsidRPr="00E64218">
        <w:rPr>
          <w:rFonts w:ascii="Tahoma" w:hAnsi="Tahoma" w:cs="Tahoma"/>
          <w:sz w:val="20"/>
          <w:szCs w:val="20"/>
        </w:rPr>
        <w:t xml:space="preserve">Z hlediska šíření výsledků výzkumu a vývoje a jejich finančního zhodnocení patří mezi nejvýznamnější předměty licenčních smluv </w:t>
      </w:r>
      <w:r w:rsidRPr="00E64218">
        <w:rPr>
          <w:rFonts w:ascii="Tahoma" w:hAnsi="Tahoma" w:cs="Tahoma"/>
          <w:bCs/>
          <w:sz w:val="20"/>
          <w:szCs w:val="20"/>
        </w:rPr>
        <w:t>licence na patent nebo užitný vzor</w:t>
      </w:r>
      <w:r w:rsidRPr="00E64218">
        <w:rPr>
          <w:rFonts w:ascii="Tahoma" w:hAnsi="Tahoma" w:cs="Tahoma"/>
          <w:sz w:val="20"/>
          <w:szCs w:val="20"/>
        </w:rPr>
        <w:t>, na které se ČSÚ ve svém šetření primárně zaměřuje.</w:t>
      </w:r>
    </w:p>
    <w:p w:rsidR="009D46E6" w:rsidRPr="00E64218" w:rsidRDefault="009D46E6" w:rsidP="00FE4AA7">
      <w:pPr>
        <w:pStyle w:val="Bn"/>
        <w:spacing w:after="60" w:line="264" w:lineRule="auto"/>
        <w:ind w:firstLine="0"/>
        <w:rPr>
          <w:rFonts w:ascii="Tahoma" w:hAnsi="Tahoma" w:cs="Tahoma"/>
          <w:iCs/>
          <w:sz w:val="20"/>
          <w:szCs w:val="20"/>
        </w:rPr>
      </w:pPr>
      <w:r w:rsidRPr="00E64218">
        <w:rPr>
          <w:rFonts w:ascii="Tahoma" w:hAnsi="Tahoma" w:cs="Tahoma"/>
          <w:bCs/>
          <w:sz w:val="20"/>
          <w:szCs w:val="20"/>
        </w:rPr>
        <w:t xml:space="preserve">Zpravodajské jednotky </w:t>
      </w:r>
      <w:r w:rsidRPr="00E64218">
        <w:rPr>
          <w:rFonts w:ascii="Tahoma" w:hAnsi="Tahoma" w:cs="Tahoma"/>
          <w:sz w:val="20"/>
          <w:szCs w:val="20"/>
        </w:rPr>
        <w:t xml:space="preserve">- ročním výkazem o licencích jsou obesílány všechny právnické a fyzické osoby zapsané v Registru ekonomických činností, u kterých se zná nebo předpovídá </w:t>
      </w:r>
      <w:r w:rsidRPr="00E64218">
        <w:rPr>
          <w:rFonts w:ascii="Tahoma" w:hAnsi="Tahoma" w:cs="Tahoma"/>
          <w:bCs/>
          <w:sz w:val="20"/>
          <w:szCs w:val="20"/>
        </w:rPr>
        <w:t>platná licenční smlouva</w:t>
      </w:r>
      <w:r w:rsidRPr="00E64218">
        <w:rPr>
          <w:rFonts w:ascii="Tahoma" w:hAnsi="Tahoma" w:cs="Tahoma"/>
          <w:sz w:val="20"/>
          <w:szCs w:val="20"/>
        </w:rPr>
        <w:t xml:space="preserve"> uzavřená na poskytnutí nebo nabytí práva používat některou z ochran průmyslového vlastnictví, a to bez ohledu na počet jejich zaměstnanců, převažující ekonomickou činnost, právní formu nebo institucionální sektor. </w:t>
      </w:r>
      <w:r w:rsidRPr="00E64218">
        <w:rPr>
          <w:rFonts w:ascii="Tahoma" w:hAnsi="Tahoma" w:cs="Tahoma"/>
          <w:iCs/>
          <w:sz w:val="20"/>
          <w:szCs w:val="20"/>
        </w:rPr>
        <w:t>Mezi lety 2008 - 2010 byly výkazem Lic 5-01 obesílány pouze právnické osoby, a proto nejsou výsledky plně srovnatelné s ostatními roky (od roku 2011 jsou do souboru zpravodajských jednotek opět zahrnuty i podnikající fyzické osoby).</w:t>
      </w:r>
    </w:p>
    <w:p w:rsidR="009D46E6" w:rsidRPr="00E64218" w:rsidRDefault="009D46E6" w:rsidP="00FE4AA7">
      <w:pPr>
        <w:rPr>
          <w:rFonts w:cs="Tahoma"/>
        </w:rPr>
      </w:pPr>
      <w:r w:rsidRPr="00E64218">
        <w:rPr>
          <w:rFonts w:cs="Tahoma"/>
        </w:rPr>
        <w:t xml:space="preserve">Mezi základní </w:t>
      </w:r>
      <w:r w:rsidRPr="00E64218">
        <w:rPr>
          <w:rFonts w:cs="Tahoma"/>
          <w:bCs/>
        </w:rPr>
        <w:t xml:space="preserve">charakteristiky </w:t>
      </w:r>
      <w:r w:rsidRPr="00E64218">
        <w:rPr>
          <w:rFonts w:cs="Tahoma"/>
        </w:rPr>
        <w:t xml:space="preserve">zjišťované v tomto šetření patří: </w:t>
      </w:r>
    </w:p>
    <w:p w:rsidR="009D46E6" w:rsidRPr="007960E7" w:rsidRDefault="009D46E6" w:rsidP="00473494">
      <w:pPr>
        <w:numPr>
          <w:ilvl w:val="0"/>
          <w:numId w:val="53"/>
        </w:numPr>
        <w:spacing w:before="60"/>
        <w:rPr>
          <w:rFonts w:cs="Tahoma"/>
        </w:rPr>
      </w:pPr>
      <w:r w:rsidRPr="00E64218">
        <w:rPr>
          <w:rFonts w:cs="Tahoma"/>
          <w:bCs/>
          <w:i/>
        </w:rPr>
        <w:t>počet licencí</w:t>
      </w:r>
      <w:r w:rsidRPr="007960E7">
        <w:rPr>
          <w:rFonts w:cs="Tahoma"/>
          <w:b/>
          <w:bCs/>
        </w:rPr>
        <w:t xml:space="preserve"> </w:t>
      </w:r>
      <w:r w:rsidRPr="007960E7">
        <w:rPr>
          <w:rFonts w:cs="Tahoma"/>
        </w:rPr>
        <w:t>platných ve sledovaném roce na území České republiky</w:t>
      </w:r>
      <w:r w:rsidRPr="007960E7">
        <w:rPr>
          <w:rFonts w:cs="Tahoma"/>
          <w:b/>
          <w:bCs/>
        </w:rPr>
        <w:t xml:space="preserve"> </w:t>
      </w:r>
      <w:r w:rsidRPr="007960E7">
        <w:rPr>
          <w:rFonts w:cs="Tahoma"/>
        </w:rPr>
        <w:t xml:space="preserve">dále charakterizovaný: </w:t>
      </w:r>
    </w:p>
    <w:p w:rsidR="009D46E6" w:rsidRPr="00E64218" w:rsidRDefault="009D46E6" w:rsidP="00473494">
      <w:pPr>
        <w:numPr>
          <w:ilvl w:val="0"/>
          <w:numId w:val="54"/>
        </w:numPr>
        <w:spacing w:before="60"/>
        <w:rPr>
          <w:rFonts w:cs="Tahoma"/>
        </w:rPr>
      </w:pPr>
      <w:r w:rsidRPr="00E64218">
        <w:rPr>
          <w:rFonts w:cs="Tahoma"/>
        </w:rPr>
        <w:t xml:space="preserve">podle toho zda jde o </w:t>
      </w:r>
      <w:r w:rsidRPr="00E64218">
        <w:rPr>
          <w:rFonts w:cs="Tahoma"/>
          <w:bCs/>
        </w:rPr>
        <w:t xml:space="preserve">nově </w:t>
      </w:r>
      <w:r w:rsidRPr="00E64218">
        <w:rPr>
          <w:rFonts w:cs="Tahoma"/>
        </w:rPr>
        <w:t>uzavřené</w:t>
      </w:r>
      <w:r w:rsidRPr="00E64218">
        <w:rPr>
          <w:rFonts w:cs="Tahoma"/>
          <w:bCs/>
        </w:rPr>
        <w:t xml:space="preserve"> </w:t>
      </w:r>
      <w:r w:rsidRPr="00E64218">
        <w:rPr>
          <w:rFonts w:cs="Tahoma"/>
        </w:rPr>
        <w:t>licence</w:t>
      </w:r>
      <w:r w:rsidRPr="00E64218">
        <w:rPr>
          <w:rFonts w:cs="Tahoma"/>
          <w:bCs/>
        </w:rPr>
        <w:t xml:space="preserve"> </w:t>
      </w:r>
      <w:r w:rsidRPr="00E64218">
        <w:rPr>
          <w:rFonts w:cs="Tahoma"/>
        </w:rPr>
        <w:t>nebo o licence uzavřené</w:t>
      </w:r>
      <w:r w:rsidRPr="00E64218">
        <w:rPr>
          <w:rFonts w:cs="Tahoma"/>
          <w:bCs/>
        </w:rPr>
        <w:t xml:space="preserve"> v předchozím období</w:t>
      </w:r>
      <w:r w:rsidRPr="00E64218">
        <w:rPr>
          <w:rFonts w:cs="Tahoma"/>
        </w:rPr>
        <w:t xml:space="preserve">, </w:t>
      </w:r>
    </w:p>
    <w:p w:rsidR="009D46E6" w:rsidRPr="00E64218" w:rsidRDefault="009D46E6" w:rsidP="00473494">
      <w:pPr>
        <w:numPr>
          <w:ilvl w:val="0"/>
          <w:numId w:val="54"/>
        </w:numPr>
        <w:spacing w:before="60"/>
        <w:rPr>
          <w:rFonts w:cs="Tahoma"/>
        </w:rPr>
      </w:pPr>
      <w:r w:rsidRPr="00E64218">
        <w:rPr>
          <w:rFonts w:cs="Tahoma"/>
          <w:bCs/>
        </w:rPr>
        <w:t xml:space="preserve">typem licence </w:t>
      </w:r>
      <w:r w:rsidRPr="00E64218">
        <w:rPr>
          <w:rFonts w:cs="Tahoma"/>
        </w:rPr>
        <w:t>podle předmětu ochrany průmyslového vlastnictví</w:t>
      </w:r>
      <w:r w:rsidRPr="00E64218">
        <w:rPr>
          <w:rFonts w:cs="Tahoma"/>
          <w:bCs/>
        </w:rPr>
        <w:t xml:space="preserve"> </w:t>
      </w:r>
      <w:r w:rsidRPr="00E64218">
        <w:rPr>
          <w:rFonts w:cs="Tahoma"/>
        </w:rPr>
        <w:t xml:space="preserve">(licence patentové, vzorové, na know-how, nové odrůdy rostlin a plemen zvířat), </w:t>
      </w:r>
    </w:p>
    <w:p w:rsidR="009D46E6" w:rsidRPr="00E64218" w:rsidRDefault="009D46E6" w:rsidP="00473494">
      <w:pPr>
        <w:numPr>
          <w:ilvl w:val="0"/>
          <w:numId w:val="54"/>
        </w:numPr>
        <w:spacing w:before="60"/>
        <w:rPr>
          <w:rFonts w:cs="Tahoma"/>
        </w:rPr>
      </w:pPr>
      <w:r w:rsidRPr="00E64218">
        <w:rPr>
          <w:rFonts w:cs="Tahoma"/>
          <w:bCs/>
        </w:rPr>
        <w:t>zemí smluvního partnera</w:t>
      </w:r>
      <w:r w:rsidRPr="00E64218">
        <w:rPr>
          <w:rFonts w:cs="Tahoma"/>
        </w:rPr>
        <w:t>,</w:t>
      </w:r>
    </w:p>
    <w:p w:rsidR="009D46E6" w:rsidRPr="00E64218" w:rsidRDefault="009D46E6" w:rsidP="00473494">
      <w:pPr>
        <w:numPr>
          <w:ilvl w:val="0"/>
          <w:numId w:val="54"/>
        </w:numPr>
        <w:spacing w:before="60"/>
        <w:rPr>
          <w:rFonts w:cs="Tahoma"/>
          <w:bCs/>
        </w:rPr>
      </w:pPr>
      <w:r w:rsidRPr="00E64218">
        <w:rPr>
          <w:rFonts w:cs="Tahoma"/>
          <w:bCs/>
        </w:rPr>
        <w:t>kódem produkce, jež</w:t>
      </w:r>
      <w:r w:rsidRPr="00E64218">
        <w:rPr>
          <w:rFonts w:cs="Tahoma"/>
        </w:rPr>
        <w:t xml:space="preserve"> je předmětem licenční smlouvy definovaný podle klasifikace CZ-CPA.</w:t>
      </w:r>
    </w:p>
    <w:p w:rsidR="009D46E6" w:rsidRPr="007960E7" w:rsidRDefault="009D46E6" w:rsidP="00473494">
      <w:pPr>
        <w:numPr>
          <w:ilvl w:val="0"/>
          <w:numId w:val="53"/>
        </w:numPr>
        <w:spacing w:before="60"/>
        <w:rPr>
          <w:rFonts w:cs="Tahoma"/>
        </w:rPr>
      </w:pPr>
      <w:r w:rsidRPr="00E64218">
        <w:rPr>
          <w:rFonts w:cs="Tahoma"/>
          <w:bCs/>
          <w:i/>
        </w:rPr>
        <w:t>finanční hodnota licenčních poplatků</w:t>
      </w:r>
      <w:r w:rsidRPr="007960E7">
        <w:rPr>
          <w:rFonts w:cs="Tahoma"/>
          <w:b/>
          <w:bCs/>
        </w:rPr>
        <w:t xml:space="preserve"> </w:t>
      </w:r>
      <w:r w:rsidRPr="007960E7">
        <w:rPr>
          <w:rFonts w:cs="Tahoma"/>
        </w:rPr>
        <w:t>přijatých ekonomickými subjekty působícími v ČR ve sledovaném roce</w:t>
      </w:r>
      <w:r w:rsidRPr="007960E7">
        <w:rPr>
          <w:rFonts w:cs="Tahoma"/>
          <w:b/>
          <w:bCs/>
        </w:rPr>
        <w:t xml:space="preserve"> </w:t>
      </w:r>
      <w:r w:rsidRPr="007960E7">
        <w:rPr>
          <w:rFonts w:cs="Tahoma"/>
        </w:rPr>
        <w:t>a to ve stejném třídění jako je uvedeno u počtu licencí.</w:t>
      </w:r>
    </w:p>
    <w:p w:rsidR="009D46E6" w:rsidRPr="00E64218" w:rsidRDefault="009D46E6" w:rsidP="00FE4AA7">
      <w:pPr>
        <w:pStyle w:val="BodyText"/>
        <w:rPr>
          <w:rFonts w:cs="Tahoma"/>
          <w:bCs/>
          <w:i/>
        </w:rPr>
      </w:pPr>
      <w:r w:rsidRPr="00E64218">
        <w:rPr>
          <w:rFonts w:cs="Tahoma"/>
        </w:rPr>
        <w:t>Zmiňované charakteristiky jsou dostupné ve vzájemné kombinaci. Podrobné informace o zjišťovaných licenčních charakteristikách lze zjistit z ročního výkazu Lic 5-01 uvedeného na stránkách ČSÚ.</w:t>
      </w:r>
    </w:p>
    <w:p w:rsidR="009D46E6" w:rsidRPr="00E64218" w:rsidRDefault="009D46E6" w:rsidP="00FE4AA7">
      <w:pPr>
        <w:rPr>
          <w:rFonts w:cs="Tahoma"/>
        </w:rPr>
      </w:pPr>
      <w:r w:rsidRPr="00E64218">
        <w:rPr>
          <w:rFonts w:cs="Tahoma"/>
        </w:rPr>
        <w:t xml:space="preserve">Výše uvedené charakteristiky jsou k dispozici v následujícím třídění: </w:t>
      </w:r>
    </w:p>
    <w:p w:rsidR="009D46E6" w:rsidRPr="00E64218" w:rsidRDefault="009D46E6" w:rsidP="00473494">
      <w:pPr>
        <w:numPr>
          <w:ilvl w:val="0"/>
          <w:numId w:val="54"/>
        </w:numPr>
        <w:spacing w:before="60"/>
        <w:rPr>
          <w:rFonts w:cs="Tahoma"/>
        </w:rPr>
      </w:pPr>
      <w:r w:rsidRPr="00E64218">
        <w:rPr>
          <w:rFonts w:cs="Tahoma"/>
        </w:rPr>
        <w:t>podle typu přihlašovatele (veřejné vysoké školy, veřejné výzkumné instituce, podniky, fyzické osoby apod.) definovaných na základě právní formy organizace, institucionálního sektoru (ISEKTOR) a převažující ekonomické činnosti (CZ-NACE).</w:t>
      </w:r>
    </w:p>
    <w:p w:rsidR="009D46E6" w:rsidRPr="00E64218" w:rsidRDefault="009D46E6" w:rsidP="00473494">
      <w:pPr>
        <w:numPr>
          <w:ilvl w:val="0"/>
          <w:numId w:val="54"/>
        </w:numPr>
        <w:spacing w:before="60"/>
        <w:rPr>
          <w:rFonts w:cs="Tahoma"/>
        </w:rPr>
      </w:pPr>
      <w:r w:rsidRPr="00E64218">
        <w:rPr>
          <w:rFonts w:cs="Tahoma"/>
        </w:rPr>
        <w:t xml:space="preserve">podle </w:t>
      </w:r>
      <w:r w:rsidRPr="00E64218">
        <w:rPr>
          <w:rFonts w:cs="Tahoma"/>
          <w:bCs/>
        </w:rPr>
        <w:t>krajů</w:t>
      </w:r>
      <w:r w:rsidRPr="00E64218">
        <w:rPr>
          <w:rFonts w:cs="Tahoma"/>
        </w:rPr>
        <w:t xml:space="preserve"> (CZ-NUTS 3),</w:t>
      </w:r>
    </w:p>
    <w:p w:rsidR="009D46E6" w:rsidRPr="00E64218" w:rsidRDefault="009D46E6" w:rsidP="00473494">
      <w:pPr>
        <w:numPr>
          <w:ilvl w:val="0"/>
          <w:numId w:val="54"/>
        </w:numPr>
        <w:spacing w:before="60"/>
        <w:rPr>
          <w:rFonts w:cs="Tahoma"/>
        </w:rPr>
      </w:pPr>
      <w:r w:rsidRPr="00E64218">
        <w:rPr>
          <w:rFonts w:cs="Tahoma"/>
        </w:rPr>
        <w:t xml:space="preserve">v podnikatelském sektoru navíc podle </w:t>
      </w:r>
      <w:r w:rsidRPr="00E64218">
        <w:rPr>
          <w:rFonts w:cs="Tahoma"/>
          <w:bCs/>
        </w:rPr>
        <w:t>vlastnictví</w:t>
      </w:r>
      <w:r w:rsidRPr="00E64218">
        <w:rPr>
          <w:rFonts w:cs="Tahoma"/>
        </w:rPr>
        <w:t xml:space="preserve"> (veřejné podniky, soukromé podniky domácí a soukromé podniky pod zahraniční kontrolou definované dle ISEKTORu), velikosti (tj. počtu zaměstnanců) a </w:t>
      </w:r>
      <w:r w:rsidRPr="00E64218">
        <w:rPr>
          <w:rFonts w:cs="Tahoma"/>
          <w:bCs/>
        </w:rPr>
        <w:t>převažující ekonomické činnosti/odvětví</w:t>
      </w:r>
      <w:r w:rsidRPr="00E64218">
        <w:rPr>
          <w:rFonts w:cs="Tahoma"/>
        </w:rPr>
        <w:t xml:space="preserve"> (klasifikace OKEČ/CZ-NACE),</w:t>
      </w:r>
    </w:p>
    <w:p w:rsidR="009D46E6" w:rsidRPr="00E64218" w:rsidRDefault="009D46E6" w:rsidP="00473494">
      <w:pPr>
        <w:numPr>
          <w:ilvl w:val="0"/>
          <w:numId w:val="54"/>
        </w:numPr>
        <w:spacing w:before="60"/>
        <w:rPr>
          <w:rFonts w:cs="Tahoma"/>
        </w:rPr>
      </w:pPr>
      <w:r w:rsidRPr="00E64218">
        <w:rPr>
          <w:rFonts w:cs="Tahoma"/>
        </w:rPr>
        <w:t xml:space="preserve">ve vládním a vysokoškolském sektoru navíc podle </w:t>
      </w:r>
      <w:r w:rsidRPr="00E64218">
        <w:rPr>
          <w:rFonts w:cs="Tahoma"/>
          <w:bCs/>
        </w:rPr>
        <w:t>druhu pracoviště</w:t>
      </w:r>
      <w:r w:rsidRPr="00E64218">
        <w:rPr>
          <w:rFonts w:cs="Tahoma"/>
        </w:rPr>
        <w:t>.</w:t>
      </w:r>
    </w:p>
    <w:p w:rsidR="009D46E6" w:rsidRPr="007960E7" w:rsidRDefault="009D46E6" w:rsidP="00FE4AA7">
      <w:pPr>
        <w:pStyle w:val="Bn"/>
        <w:spacing w:after="60" w:line="264" w:lineRule="auto"/>
        <w:ind w:firstLine="0"/>
        <w:rPr>
          <w:rFonts w:ascii="Tahoma" w:hAnsi="Tahoma" w:cs="Tahoma"/>
          <w:bCs/>
          <w:sz w:val="20"/>
          <w:szCs w:val="20"/>
        </w:rPr>
      </w:pPr>
      <w:r w:rsidRPr="007960E7">
        <w:rPr>
          <w:rFonts w:ascii="Tahoma" w:hAnsi="Tahoma" w:cs="Tahoma"/>
          <w:bCs/>
          <w:sz w:val="20"/>
          <w:szCs w:val="20"/>
        </w:rPr>
        <w:t>U subjektů mající uzavřenu licenční smlouvy na patent, bylo provedeno doplňující zjišťování, které identifikovalo patenty, kterých se licenční smlouva týká. Takto bylo možné zjistit počty patentů, ke kterým byla uzavřena licenční smlouva.</w:t>
      </w:r>
    </w:p>
    <w:p w:rsidR="009D46E6" w:rsidRPr="00E64218" w:rsidRDefault="009D46E6" w:rsidP="00FE4AA7">
      <w:pPr>
        <w:pStyle w:val="Styl1"/>
        <w:spacing w:before="120" w:line="264" w:lineRule="auto"/>
        <w:ind w:firstLine="0"/>
        <w:rPr>
          <w:rFonts w:ascii="Tahoma" w:hAnsi="Tahoma" w:cs="Tahoma"/>
          <w:bCs/>
          <w:color w:val="auto"/>
          <w:szCs w:val="20"/>
        </w:rPr>
      </w:pPr>
      <w:r w:rsidRPr="00E64218">
        <w:rPr>
          <w:rFonts w:ascii="Tahoma" w:hAnsi="Tahoma" w:cs="Tahoma"/>
          <w:bCs/>
          <w:color w:val="auto"/>
          <w:szCs w:val="20"/>
        </w:rPr>
        <w:t>Existuje několik kritérií pro rozlišení licencí. Základní rozdělení je podle toho, zda předmět licence poskytujeme (</w:t>
      </w:r>
      <w:r w:rsidRPr="00E64218">
        <w:rPr>
          <w:rFonts w:ascii="Tahoma" w:hAnsi="Tahoma" w:cs="Tahoma"/>
          <w:bCs/>
          <w:i/>
          <w:color w:val="auto"/>
          <w:szCs w:val="20"/>
        </w:rPr>
        <w:t>aktivní licence</w:t>
      </w:r>
      <w:r w:rsidRPr="00E64218">
        <w:rPr>
          <w:rFonts w:ascii="Tahoma" w:hAnsi="Tahoma" w:cs="Tahoma"/>
          <w:bCs/>
          <w:color w:val="auto"/>
          <w:szCs w:val="20"/>
        </w:rPr>
        <w:t>) nebo zda předmět licence nabýváme (</w:t>
      </w:r>
      <w:r w:rsidRPr="00E64218">
        <w:rPr>
          <w:rFonts w:ascii="Tahoma" w:hAnsi="Tahoma" w:cs="Tahoma"/>
          <w:bCs/>
          <w:i/>
          <w:color w:val="auto"/>
          <w:szCs w:val="20"/>
        </w:rPr>
        <w:t>pasivní licence</w:t>
      </w:r>
      <w:r w:rsidRPr="00E64218">
        <w:rPr>
          <w:rFonts w:ascii="Tahoma" w:hAnsi="Tahoma" w:cs="Tahoma"/>
          <w:bCs/>
          <w:color w:val="auto"/>
          <w:szCs w:val="20"/>
        </w:rPr>
        <w:t xml:space="preserve">). </w:t>
      </w:r>
    </w:p>
    <w:p w:rsidR="009D46E6" w:rsidRPr="00E64218" w:rsidRDefault="009D46E6" w:rsidP="00FE4AA7">
      <w:pPr>
        <w:autoSpaceDE w:val="0"/>
        <w:autoSpaceDN w:val="0"/>
        <w:adjustRightInd w:val="0"/>
        <w:rPr>
          <w:rFonts w:cs="Tahoma"/>
          <w:bCs/>
          <w:color w:val="231F20"/>
        </w:rPr>
      </w:pPr>
      <w:r w:rsidRPr="00E64218">
        <w:rPr>
          <w:rFonts w:cs="Tahoma"/>
          <w:bCs/>
          <w:color w:val="231F20"/>
        </w:rPr>
        <w:t>Podle předmětu licence rozeznáváme:</w:t>
      </w:r>
    </w:p>
    <w:p w:rsidR="009D46E6" w:rsidRPr="007960E7" w:rsidRDefault="009D46E6" w:rsidP="00473494">
      <w:pPr>
        <w:numPr>
          <w:ilvl w:val="0"/>
          <w:numId w:val="52"/>
        </w:numPr>
        <w:tabs>
          <w:tab w:val="num" w:pos="540"/>
        </w:tabs>
        <w:autoSpaceDE w:val="0"/>
        <w:autoSpaceDN w:val="0"/>
        <w:adjustRightInd w:val="0"/>
        <w:spacing w:before="60"/>
        <w:ind w:left="879" w:hanging="357"/>
        <w:rPr>
          <w:rFonts w:cs="Tahoma"/>
          <w:color w:val="231F20"/>
        </w:rPr>
      </w:pPr>
      <w:r w:rsidRPr="00E64218">
        <w:rPr>
          <w:rFonts w:cs="Tahoma"/>
          <w:bCs/>
          <w:i/>
          <w:color w:val="231F20"/>
        </w:rPr>
        <w:t>licence patentové</w:t>
      </w:r>
      <w:r w:rsidRPr="007960E7">
        <w:rPr>
          <w:rFonts w:cs="Tahoma"/>
          <w:b/>
          <w:bCs/>
          <w:color w:val="231F20"/>
        </w:rPr>
        <w:t>,</w:t>
      </w:r>
      <w:r w:rsidRPr="007960E7">
        <w:rPr>
          <w:rFonts w:cs="Tahoma"/>
          <w:color w:val="231F20"/>
        </w:rPr>
        <w:t xml:space="preserve"> jejichž předmětem je poskytnutí práva využívat platný patent buď v zemi nabyvatele, nebo v zemích, kam má nabyvatel licence úmysl licenční výrobek vyvážet,</w:t>
      </w:r>
    </w:p>
    <w:p w:rsidR="009D46E6" w:rsidRPr="007960E7" w:rsidRDefault="009D46E6" w:rsidP="00473494">
      <w:pPr>
        <w:numPr>
          <w:ilvl w:val="0"/>
          <w:numId w:val="52"/>
        </w:numPr>
        <w:tabs>
          <w:tab w:val="num" w:pos="540"/>
        </w:tabs>
        <w:autoSpaceDE w:val="0"/>
        <w:autoSpaceDN w:val="0"/>
        <w:adjustRightInd w:val="0"/>
        <w:spacing w:before="60"/>
        <w:ind w:left="879" w:hanging="357"/>
        <w:rPr>
          <w:rFonts w:cs="Tahoma"/>
          <w:color w:val="231F20"/>
        </w:rPr>
      </w:pPr>
      <w:r w:rsidRPr="00E64218">
        <w:rPr>
          <w:rFonts w:cs="Tahoma"/>
          <w:bCs/>
          <w:i/>
          <w:color w:val="231F20"/>
        </w:rPr>
        <w:t>licence vzorové</w:t>
      </w:r>
      <w:r w:rsidRPr="007960E7">
        <w:rPr>
          <w:rFonts w:cs="Tahoma"/>
          <w:color w:val="231F20"/>
        </w:rPr>
        <w:t>, jejichž předmětem je průmyslový nebo užitný vzor,</w:t>
      </w:r>
    </w:p>
    <w:p w:rsidR="009D46E6" w:rsidRPr="00E64218" w:rsidRDefault="009D46E6" w:rsidP="00473494">
      <w:pPr>
        <w:numPr>
          <w:ilvl w:val="0"/>
          <w:numId w:val="52"/>
        </w:numPr>
        <w:tabs>
          <w:tab w:val="num" w:pos="540"/>
        </w:tabs>
        <w:autoSpaceDE w:val="0"/>
        <w:autoSpaceDN w:val="0"/>
        <w:adjustRightInd w:val="0"/>
        <w:spacing w:before="60"/>
        <w:ind w:left="879" w:hanging="357"/>
        <w:rPr>
          <w:rFonts w:cs="Tahoma"/>
          <w:color w:val="000000"/>
        </w:rPr>
      </w:pPr>
      <w:r w:rsidRPr="00E64218">
        <w:rPr>
          <w:rFonts w:cs="Tahoma"/>
          <w:i/>
          <w:color w:val="231F20"/>
        </w:rPr>
        <w:t>licence na know-how</w:t>
      </w:r>
      <w:r w:rsidRPr="007960E7">
        <w:rPr>
          <w:rFonts w:cs="Tahoma"/>
          <w:color w:val="231F20"/>
        </w:rPr>
        <w:t xml:space="preserve">, jejichž předmětem je poskytnutí nechráněných výrobně-technických poznatků, znalostí či zkušeností. Předání příslušných výrobně-technických poznatků je předpokladem a zárukou dokonalého osvojení prakticky každé licenční výroby, a proto velká většina licenčních smluv všech typů uzavíraných v dnešní době obsahuje v nějaké míře </w:t>
      </w:r>
      <w:r w:rsidRPr="00E64218">
        <w:rPr>
          <w:rFonts w:cs="Tahoma"/>
          <w:color w:val="231F20"/>
        </w:rPr>
        <w:t xml:space="preserve">příslušné know-how. Tato licence je též nazývána </w:t>
      </w:r>
      <w:r w:rsidRPr="00E64218">
        <w:rPr>
          <w:rFonts w:cs="Tahoma"/>
          <w:bCs/>
          <w:color w:val="231F20"/>
        </w:rPr>
        <w:t>nepravou licencí</w:t>
      </w:r>
      <w:r w:rsidRPr="00E64218">
        <w:rPr>
          <w:rFonts w:cs="Tahoma"/>
          <w:color w:val="231F20"/>
        </w:rPr>
        <w:t>,</w:t>
      </w:r>
    </w:p>
    <w:p w:rsidR="009D46E6" w:rsidRPr="007960E7" w:rsidRDefault="009D46E6" w:rsidP="00473494">
      <w:pPr>
        <w:numPr>
          <w:ilvl w:val="0"/>
          <w:numId w:val="52"/>
        </w:numPr>
        <w:tabs>
          <w:tab w:val="num" w:pos="540"/>
        </w:tabs>
        <w:autoSpaceDE w:val="0"/>
        <w:autoSpaceDN w:val="0"/>
        <w:adjustRightInd w:val="0"/>
        <w:spacing w:before="60"/>
        <w:ind w:left="879" w:hanging="357"/>
        <w:rPr>
          <w:rFonts w:cs="Tahoma"/>
          <w:color w:val="231F20"/>
        </w:rPr>
      </w:pPr>
      <w:r w:rsidRPr="00E64218">
        <w:rPr>
          <w:rFonts w:cs="Tahoma"/>
          <w:bCs/>
          <w:i/>
          <w:color w:val="231F20"/>
        </w:rPr>
        <w:t>licence známkové</w:t>
      </w:r>
      <w:r w:rsidRPr="007960E7">
        <w:rPr>
          <w:rFonts w:cs="Tahoma"/>
          <w:color w:val="231F20"/>
        </w:rPr>
        <w:t>, jejichž předmětem je využití ochranných známek.</w:t>
      </w:r>
    </w:p>
    <w:p w:rsidR="009D46E6" w:rsidRPr="007960E7" w:rsidRDefault="009D46E6" w:rsidP="00FE4AA7">
      <w:pPr>
        <w:pStyle w:val="Bn"/>
        <w:spacing w:after="60" w:line="264" w:lineRule="auto"/>
        <w:ind w:firstLine="0"/>
        <w:rPr>
          <w:rFonts w:ascii="Tahoma" w:hAnsi="Tahoma" w:cs="Tahoma"/>
          <w:noProof/>
          <w:sz w:val="20"/>
          <w:szCs w:val="20"/>
        </w:rPr>
      </w:pPr>
      <w:r w:rsidRPr="00E64218">
        <w:rPr>
          <w:rFonts w:ascii="Tahoma" w:hAnsi="Tahoma" w:cs="Tahoma"/>
          <w:i/>
          <w:noProof/>
          <w:sz w:val="20"/>
          <w:szCs w:val="20"/>
        </w:rPr>
        <w:t>Licenční smlouva</w:t>
      </w:r>
      <w:r w:rsidRPr="007960E7">
        <w:rPr>
          <w:rFonts w:ascii="Tahoma" w:hAnsi="Tahoma" w:cs="Tahoma"/>
          <w:noProof/>
          <w:sz w:val="20"/>
          <w:szCs w:val="20"/>
        </w:rPr>
        <w:t xml:space="preserve"> je definována jako poskytnutí práva ve sjednaném rozsahu a na sjednaném území na nabytí či poskytnutí licence na některou z ochran průmyslového vlastnictví. Licenční smlouvy se uzavírají k </w:t>
      </w:r>
      <w:r w:rsidRPr="007960E7">
        <w:rPr>
          <w:rFonts w:ascii="Tahoma" w:hAnsi="Tahoma" w:cs="Tahoma"/>
          <w:bCs/>
          <w:noProof/>
          <w:sz w:val="20"/>
          <w:szCs w:val="20"/>
        </w:rPr>
        <w:t xml:space="preserve">patentovaným vynálezům, resp. zapsaným užitným vzorům, průmyslovým vzorům, topografii polovodičových výrobků, novým odrůdám rostlin a plemenům zvířat či k ochranným známkám písemnou smlouvou. </w:t>
      </w:r>
      <w:r w:rsidRPr="007960E7">
        <w:rPr>
          <w:rFonts w:ascii="Tahoma" w:hAnsi="Tahoma" w:cs="Tahoma"/>
          <w:noProof/>
          <w:sz w:val="20"/>
          <w:szCs w:val="20"/>
        </w:rPr>
        <w:t xml:space="preserve">Poskytovatel opravňuje nabyvatele ve sjednaném rozsahu a na sjednaném území k výkonu práv z průmyslového vlastnictví a nabyvatel se zavazuje k poskytování určité úplaty (licenční poplatky) nebo jiné majetkové hodnoty. Licenční poplatky lze platit v pravidelných splátkách (např. ročních), nebo platba proběhne jednorázově při uzavření licenční smlouvy. Vyskytují se také případy, kdy je licence poskytnuta bezplatně. </w:t>
      </w:r>
    </w:p>
    <w:p w:rsidR="009D46E6" w:rsidRPr="00E64218" w:rsidRDefault="009D46E6" w:rsidP="00FE4AA7">
      <w:pPr>
        <w:pStyle w:val="Bn"/>
        <w:spacing w:after="60" w:line="264" w:lineRule="auto"/>
        <w:ind w:firstLine="0"/>
        <w:rPr>
          <w:rFonts w:ascii="Tahoma" w:hAnsi="Tahoma" w:cs="Tahoma"/>
          <w:bCs/>
          <w:sz w:val="20"/>
          <w:szCs w:val="20"/>
          <w:u w:val="single"/>
        </w:rPr>
      </w:pPr>
      <w:r w:rsidRPr="00E64218">
        <w:rPr>
          <w:rFonts w:ascii="Tahoma" w:hAnsi="Tahoma" w:cs="Tahoma"/>
          <w:bCs/>
          <w:sz w:val="20"/>
          <w:szCs w:val="20"/>
          <w:u w:val="single"/>
        </w:rPr>
        <w:t>Mezinárodní srovnání</w:t>
      </w:r>
    </w:p>
    <w:p w:rsidR="009D46E6" w:rsidRPr="007960E7" w:rsidRDefault="009D46E6" w:rsidP="00FE4AA7">
      <w:pPr>
        <w:pStyle w:val="Bn"/>
        <w:spacing w:after="60" w:line="264" w:lineRule="auto"/>
        <w:ind w:firstLine="0"/>
        <w:rPr>
          <w:rFonts w:ascii="Tahoma" w:hAnsi="Tahoma" w:cs="Tahoma"/>
          <w:sz w:val="20"/>
          <w:szCs w:val="20"/>
        </w:rPr>
      </w:pPr>
      <w:r w:rsidRPr="007960E7">
        <w:rPr>
          <w:rFonts w:ascii="Tahoma" w:hAnsi="Tahoma" w:cs="Tahoma"/>
          <w:sz w:val="20"/>
          <w:szCs w:val="20"/>
        </w:rPr>
        <w:t xml:space="preserve">Jelikož šetření LIC 5-01 se neprovádí v ostatních zemí, vychází se pro mezinárodní srovnání za příjmy a výdaje z ekonomických transakcí se zahraničím v oblasti licenčních poplatků a ochranných známek z datových zdrojů Eurostatu, získaných v rámci statistiky platební bilance, jež vychází z „Příručky k sestavování platební bilance“ „The International Monetary Fund Balance of Payments Manual (BPM5, 5. vydání)“. Samotná definice služeb v oblasti licenčních poplatků a autorských honorářů vychází z rozšířené klasifikace služeb EBOPS (Extended Balance of Payments Services).  </w:t>
      </w:r>
    </w:p>
    <w:p w:rsidR="009D46E6" w:rsidRPr="007960E7" w:rsidRDefault="009D46E6" w:rsidP="00FE4AA7">
      <w:pPr>
        <w:pStyle w:val="Bn"/>
        <w:spacing w:after="60" w:line="264" w:lineRule="auto"/>
        <w:ind w:firstLine="0"/>
        <w:rPr>
          <w:rFonts w:ascii="Tahoma" w:hAnsi="Tahoma" w:cs="Tahoma"/>
          <w:sz w:val="20"/>
          <w:szCs w:val="20"/>
        </w:rPr>
      </w:pPr>
      <w:r w:rsidRPr="007960E7">
        <w:rPr>
          <w:rFonts w:ascii="Tahoma" w:hAnsi="Tahoma" w:cs="Tahoma"/>
          <w:sz w:val="20"/>
          <w:szCs w:val="20"/>
        </w:rPr>
        <w:t xml:space="preserve">EBOPS kód 266 zahrnuje mezinárodní platby a příjmy za autorizované používání patentů, autorských práv, technologických postupů, průmyslových vzorů, vytvořených originálů nebo prototypů na základě licenčních smluv. Pozn.: Nezahrnuje nákup a prodej těchto práv (EBOPS kód 640). </w:t>
      </w:r>
    </w:p>
    <w:p w:rsidR="009D46E6" w:rsidRPr="007960E7" w:rsidRDefault="009D46E6" w:rsidP="00FE4AA7">
      <w:pPr>
        <w:pStyle w:val="Bn"/>
        <w:spacing w:after="60" w:line="264" w:lineRule="auto"/>
        <w:ind w:firstLine="0"/>
        <w:rPr>
          <w:rFonts w:ascii="Tahoma" w:hAnsi="Tahoma" w:cs="Tahoma"/>
          <w:sz w:val="20"/>
          <w:szCs w:val="20"/>
        </w:rPr>
      </w:pPr>
      <w:r w:rsidRPr="007960E7">
        <w:rPr>
          <w:rFonts w:ascii="Tahoma" w:hAnsi="Tahoma" w:cs="Tahoma"/>
          <w:sz w:val="20"/>
          <w:szCs w:val="20"/>
        </w:rPr>
        <w:t>V případě mezinárodního srovnání jsou v kódu 266 zahrnuta i data za inkasa a platby spojené s využíváním autorských práv, a proto nejsou údaje za mezinárodní srovnání srovnatelné s výsledky šetření Lic 5-01, jež se zaměřuje pouze na hodnotu přijatých nebo zaplacených licenčních poplatků za poskytnutí nebo nabytí průmyslových práv.</w:t>
      </w:r>
    </w:p>
    <w:p w:rsidR="009D46E6" w:rsidRPr="00355B4B" w:rsidRDefault="009D46E6" w:rsidP="00FE4AA7">
      <w:pPr>
        <w:pStyle w:val="BodyText2"/>
        <w:spacing w:before="60" w:line="264" w:lineRule="auto"/>
        <w:rPr>
          <w:rFonts w:cs="Tahoma"/>
          <w:i/>
          <w:color w:val="0000FF"/>
          <w:u w:val="single"/>
        </w:rPr>
      </w:pPr>
      <w:r w:rsidRPr="00355B4B">
        <w:rPr>
          <w:rFonts w:cs="Tahoma"/>
          <w:i/>
        </w:rPr>
        <w:t xml:space="preserve">Podrobné informace jsou k dispozici na: </w:t>
      </w:r>
      <w:hyperlink r:id="rId274" w:history="1">
        <w:r w:rsidRPr="00355B4B">
          <w:rPr>
            <w:rStyle w:val="Hyperlink"/>
            <w:rFonts w:cs="MetaPro-Normal"/>
            <w:bCs/>
            <w:i/>
            <w:sz w:val="16"/>
            <w:szCs w:val="16"/>
          </w:rPr>
          <w:t>http://www.czso.cz/csu/redakce.nsf/i/licence</w:t>
        </w:r>
      </w:hyperlink>
      <w:r w:rsidRPr="00355B4B">
        <w:rPr>
          <w:rFonts w:cs="Tahoma"/>
          <w:i/>
          <w:color w:val="0000FF"/>
          <w:u w:val="single"/>
        </w:rPr>
        <w:t xml:space="preserve"> </w:t>
      </w:r>
    </w:p>
    <w:p w:rsidR="009D46E6" w:rsidRPr="007C27E4" w:rsidRDefault="009D46E6" w:rsidP="007C27E4"/>
    <w:p w:rsidR="009D46E6" w:rsidRPr="00866A68" w:rsidRDefault="009D46E6" w:rsidP="00866A68">
      <w:pPr>
        <w:spacing w:before="240"/>
        <w:rPr>
          <w:b/>
        </w:rPr>
      </w:pPr>
      <w:r w:rsidRPr="00866A68">
        <w:rPr>
          <w:b/>
        </w:rPr>
        <w:t>Metodické poznámky ke kapitole D</w:t>
      </w:r>
    </w:p>
    <w:p w:rsidR="009D46E6" w:rsidRPr="00E64218" w:rsidRDefault="009D46E6" w:rsidP="00FE4AA7">
      <w:pPr>
        <w:rPr>
          <w:i/>
          <w:u w:val="single"/>
        </w:rPr>
      </w:pPr>
      <w:r w:rsidRPr="00E64218">
        <w:rPr>
          <w:i/>
          <w:u w:val="single"/>
        </w:rPr>
        <w:t xml:space="preserve">Šetření o inovačních aktivitách podniků </w:t>
      </w:r>
    </w:p>
    <w:p w:rsidR="009D46E6" w:rsidRPr="00E64218" w:rsidRDefault="009D46E6" w:rsidP="00FE4AA7">
      <w:r w:rsidRPr="00E64218">
        <w:t>Statistické šetření o inovačních aktivitách podniků (TI200X) je výběrové statistické šetření prováděné Českým statistickým úřadem za účelem získání mezinárodně srovnatelných statistických informací pro určení kvantitativních a kvalitativních charakteristik inovačního prostředí v podnikatelském sektoru České republiky. V České republice bylo toto šetření poprvé provedeno v roce 2001, dále pak v letech 2003, 2005, 2006, 2008 a 2010. V současnosti je periodicita tohoto šetření stanovena na dva roky s tříletým referenčním obdobím. Poslední šetření provedené v roce 2010 (TI2010) sledovalo období 2008-2010 a bylo uskutečněno pomocí harmonizovaného dotazníku členských zemí EU ke společnému unijnímu šetření CIS 2010 (Community Innovation Survey 2010).</w:t>
      </w:r>
    </w:p>
    <w:p w:rsidR="009D46E6" w:rsidRPr="00E64218" w:rsidRDefault="009D46E6" w:rsidP="00FE4AA7">
      <w:r w:rsidRPr="00E64218">
        <w:t xml:space="preserve">Toto šetření je prováděno na základě </w:t>
      </w:r>
      <w:r w:rsidRPr="00E64218">
        <w:rPr>
          <w:bCs/>
        </w:rPr>
        <w:t>Nařízení komise (ES) č.1450/2004 ze dne 13. srpna 2004</w:t>
      </w:r>
      <w:r w:rsidRPr="00E64218">
        <w:t>, kterým se provádí rozhodnutí Evropského parlamentu a Rady č. 1608/2003/ES o tvorbě a rozvoji statistiky Společenství v oblasti inovací. Šetření tedy plně respektuje metodické principy EU a OECD uvedené v </w:t>
      </w:r>
      <w:r w:rsidRPr="00E64218">
        <w:rPr>
          <w:bCs/>
        </w:rPr>
        <w:t xml:space="preserve">Oslo manuálu (OECD, 2005). Národní legislativní rámec pro oblast podpory inovací z veřejných zdrojů je uveden v zákoně č. 211/2009 Sb. </w:t>
      </w:r>
      <w:r w:rsidRPr="00E64218">
        <w:rPr>
          <w:bCs/>
          <w:lang w:val="pt-BR"/>
        </w:rPr>
        <w:t>o podpoře výzkumu, experimentálního vývoje a inovací</w:t>
      </w:r>
      <w:r w:rsidRPr="00E64218">
        <w:rPr>
          <w:bCs/>
        </w:rPr>
        <w:t>, kde jsou definovány technické inovace. Dokument Inovační strategie České republiky 2004</w:t>
      </w:r>
      <w:r w:rsidRPr="00E64218">
        <w:t xml:space="preserve"> obsahuje základní definice inovací a zhodnocení inovačního prostředí v ČR.</w:t>
      </w:r>
    </w:p>
    <w:p w:rsidR="009D46E6" w:rsidRPr="00E64218" w:rsidRDefault="009D46E6" w:rsidP="00FE4AA7">
      <w:r w:rsidRPr="00E64218">
        <w:t xml:space="preserve">Mezi charakteristiky získané z tohoto šetření patří: </w:t>
      </w:r>
    </w:p>
    <w:p w:rsidR="009D46E6" w:rsidRPr="00C674AD" w:rsidRDefault="009D46E6" w:rsidP="00473494">
      <w:pPr>
        <w:numPr>
          <w:ilvl w:val="0"/>
          <w:numId w:val="49"/>
        </w:numPr>
        <w:spacing w:before="40"/>
        <w:ind w:left="714" w:hanging="357"/>
      </w:pPr>
      <w:r w:rsidRPr="00C674AD">
        <w:t>Všeobecné údaje o sledovaném podniku (tržby, počet zaměstnanců)</w:t>
      </w:r>
    </w:p>
    <w:p w:rsidR="009D46E6" w:rsidRPr="00C674AD" w:rsidRDefault="009D46E6" w:rsidP="00473494">
      <w:pPr>
        <w:numPr>
          <w:ilvl w:val="0"/>
          <w:numId w:val="49"/>
        </w:numPr>
        <w:spacing w:before="40"/>
      </w:pPr>
      <w:r w:rsidRPr="00C674AD">
        <w:t>Produktové inovace</w:t>
      </w:r>
    </w:p>
    <w:p w:rsidR="009D46E6" w:rsidRPr="00C674AD" w:rsidRDefault="009D46E6" w:rsidP="00473494">
      <w:pPr>
        <w:numPr>
          <w:ilvl w:val="0"/>
          <w:numId w:val="49"/>
        </w:numPr>
        <w:spacing w:before="40"/>
      </w:pPr>
      <w:r w:rsidRPr="00C674AD">
        <w:t>Procesní inovace</w:t>
      </w:r>
    </w:p>
    <w:p w:rsidR="009D46E6" w:rsidRPr="00C674AD" w:rsidRDefault="009D46E6" w:rsidP="00473494">
      <w:pPr>
        <w:numPr>
          <w:ilvl w:val="0"/>
          <w:numId w:val="49"/>
        </w:numPr>
        <w:spacing w:before="40"/>
      </w:pPr>
      <w:r w:rsidRPr="00C674AD">
        <w:t>Marketingové inovace</w:t>
      </w:r>
    </w:p>
    <w:p w:rsidR="009D46E6" w:rsidRPr="00C674AD" w:rsidRDefault="009D46E6" w:rsidP="00473494">
      <w:pPr>
        <w:numPr>
          <w:ilvl w:val="0"/>
          <w:numId w:val="49"/>
        </w:numPr>
        <w:spacing w:before="40"/>
      </w:pPr>
      <w:r w:rsidRPr="00C674AD">
        <w:t>Organizační inovace</w:t>
      </w:r>
    </w:p>
    <w:p w:rsidR="009D46E6" w:rsidRPr="00C674AD" w:rsidRDefault="009D46E6" w:rsidP="00473494">
      <w:pPr>
        <w:numPr>
          <w:ilvl w:val="0"/>
          <w:numId w:val="49"/>
        </w:numPr>
        <w:spacing w:before="40"/>
      </w:pPr>
      <w:r w:rsidRPr="00C674AD">
        <w:t>Zdroje financování inovačních projektů</w:t>
      </w:r>
    </w:p>
    <w:p w:rsidR="009D46E6" w:rsidRPr="00C674AD" w:rsidRDefault="009D46E6" w:rsidP="00473494">
      <w:pPr>
        <w:numPr>
          <w:ilvl w:val="0"/>
          <w:numId w:val="49"/>
        </w:numPr>
        <w:spacing w:before="40"/>
      </w:pPr>
      <w:r w:rsidRPr="00C674AD">
        <w:t>Inovační spolupráce</w:t>
      </w:r>
    </w:p>
    <w:p w:rsidR="009D46E6" w:rsidRPr="00C674AD" w:rsidRDefault="009D46E6" w:rsidP="00473494">
      <w:pPr>
        <w:numPr>
          <w:ilvl w:val="0"/>
          <w:numId w:val="49"/>
        </w:numPr>
        <w:spacing w:before="40"/>
      </w:pPr>
      <w:r w:rsidRPr="00C674AD">
        <w:t>Bariéry bránící inovačním aktivitám</w:t>
      </w:r>
    </w:p>
    <w:p w:rsidR="009D46E6" w:rsidRPr="00C674AD" w:rsidRDefault="009D46E6" w:rsidP="00473494">
      <w:pPr>
        <w:numPr>
          <w:ilvl w:val="0"/>
          <w:numId w:val="49"/>
        </w:numPr>
        <w:spacing w:before="40"/>
      </w:pPr>
      <w:r w:rsidRPr="00C674AD">
        <w:t>Jiné údaje týkající se např. managementu znalostí, ekologických inovací, lidských zdrojů v inovacích, nákupu a prodeje licencí, zápisu užitného vzoru, atd.</w:t>
      </w:r>
    </w:p>
    <w:p w:rsidR="009D46E6" w:rsidRPr="00E64218" w:rsidRDefault="009D46E6" w:rsidP="00FE4AA7">
      <w:r w:rsidRPr="00E64218">
        <w:t xml:space="preserve">Zjišťované charakteristiky jsou tříděny následovně: </w:t>
      </w:r>
    </w:p>
    <w:p w:rsidR="009D46E6" w:rsidRPr="00C674AD" w:rsidRDefault="009D46E6" w:rsidP="00473494">
      <w:pPr>
        <w:numPr>
          <w:ilvl w:val="0"/>
          <w:numId w:val="48"/>
        </w:numPr>
        <w:spacing w:before="40"/>
        <w:ind w:left="714" w:hanging="357"/>
      </w:pPr>
      <w:r w:rsidRPr="00C674AD">
        <w:t>podle CZ-NACE (dvoumístné),</w:t>
      </w:r>
    </w:p>
    <w:p w:rsidR="009D46E6" w:rsidRPr="00C674AD" w:rsidRDefault="009D46E6" w:rsidP="00473494">
      <w:pPr>
        <w:numPr>
          <w:ilvl w:val="0"/>
          <w:numId w:val="48"/>
        </w:numPr>
        <w:spacing w:before="40"/>
        <w:ind w:left="714" w:hanging="357"/>
      </w:pPr>
      <w:r w:rsidRPr="00C674AD">
        <w:t>podle velikosti podniku (tj. počtu zaměstnanců),</w:t>
      </w:r>
    </w:p>
    <w:p w:rsidR="009D46E6" w:rsidRPr="00C674AD" w:rsidRDefault="009D46E6" w:rsidP="00473494">
      <w:pPr>
        <w:numPr>
          <w:ilvl w:val="0"/>
          <w:numId w:val="48"/>
        </w:numPr>
        <w:spacing w:before="40"/>
        <w:ind w:left="714" w:hanging="357"/>
      </w:pPr>
      <w:r w:rsidRPr="00C674AD">
        <w:t>podle regionálního členění (CZ-NUTS 3).</w:t>
      </w:r>
    </w:p>
    <w:p w:rsidR="009D46E6" w:rsidRPr="00E64218" w:rsidRDefault="009D46E6" w:rsidP="00FE4AA7">
      <w:pPr>
        <w:spacing w:before="240"/>
        <w:rPr>
          <w:rFonts w:cs="Arial"/>
          <w:u w:val="single"/>
        </w:rPr>
      </w:pPr>
      <w:r w:rsidRPr="00E64218">
        <w:rPr>
          <w:rFonts w:cs="Arial"/>
          <w:u w:val="single"/>
        </w:rPr>
        <w:t>Důležité definice šetření TI</w:t>
      </w:r>
    </w:p>
    <w:p w:rsidR="009D46E6" w:rsidRPr="00E64218" w:rsidRDefault="009D46E6" w:rsidP="00FE4AA7">
      <w:r w:rsidRPr="00E64218">
        <w:rPr>
          <w:i/>
        </w:rPr>
        <w:t>Zpravodajské jednotky</w:t>
      </w:r>
      <w:r w:rsidRPr="00E64218">
        <w:t xml:space="preserve"> – ekonomické subjekty z podnikatelského sektoru (podniky) z vybraných oblastí průmyslu a služeb (finančních a nefinančních) s alespoň 10 zaměstnanci, které byly vybrány ze všech ekonomických subjektů zapsaných v Registru ekonomických subjektů (RES) kombinací plošného a stratifikovaného náhodného výběru v příslušných odvětvích a se zohledněním regionální dimenze CZ-NUTS 2. </w:t>
      </w:r>
    </w:p>
    <w:p w:rsidR="009D46E6" w:rsidRPr="00E64218" w:rsidRDefault="009D46E6" w:rsidP="00FE4AA7">
      <w:r w:rsidRPr="00E64218">
        <w:t>Pozn</w:t>
      </w:r>
      <w:r>
        <w:t>ámka</w:t>
      </w:r>
      <w:r w:rsidRPr="00E64218">
        <w:t>: V šetření TI2010 bylo rozesláno 6 229 výkazů s návratností 83 %. Údaje získané výběrovým šetřením byly aplikací matematicko-statistických metod dopočteny na celý základní soubor.</w:t>
      </w:r>
    </w:p>
    <w:p w:rsidR="009D46E6" w:rsidRPr="00E64218" w:rsidRDefault="009D46E6" w:rsidP="00FE4AA7">
      <w:r w:rsidRPr="00E64218">
        <w:rPr>
          <w:i/>
        </w:rPr>
        <w:t>Inovace</w:t>
      </w:r>
      <w:r w:rsidRPr="00E64218">
        <w:t xml:space="preserve"> – představuje zavedení nového nebo podstatně zlepšeného produktu (zboží nebo služby), nebo procesu, nové marketingové metody, nebo nové organizační metody do podnikatelských praktik, organizace pracoviště nebo externích vztahů.</w:t>
      </w:r>
    </w:p>
    <w:p w:rsidR="009D46E6" w:rsidRPr="00E64218" w:rsidRDefault="009D46E6" w:rsidP="00FE4AA7">
      <w:r w:rsidRPr="00E64218">
        <w:t>Inovace musí splňovat následující požadavky:</w:t>
      </w:r>
    </w:p>
    <w:p w:rsidR="009D46E6" w:rsidRPr="00C674AD" w:rsidRDefault="009D46E6" w:rsidP="00473494">
      <w:pPr>
        <w:numPr>
          <w:ilvl w:val="0"/>
          <w:numId w:val="56"/>
        </w:numPr>
        <w:spacing w:before="120"/>
      </w:pPr>
      <w:r w:rsidRPr="00C674AD">
        <w:t xml:space="preserve">Má-li být produkt, proces, marketingová či organizační metoda označena za inovaci, pak tato metoda musí být </w:t>
      </w:r>
      <w:r w:rsidRPr="00C674AD">
        <w:rPr>
          <w:bCs/>
          <w:iCs/>
        </w:rPr>
        <w:t>nová (nebo podstatně zlepšená) pro podnik</w:t>
      </w:r>
      <w:r w:rsidRPr="00C674AD">
        <w:rPr>
          <w:i/>
          <w:iCs/>
        </w:rPr>
        <w:t>.</w:t>
      </w:r>
      <w:r w:rsidRPr="00C674AD">
        <w:t xml:space="preserve"> To zahrnuje produkty, procesy a metody, které podniky vyvíjejí jako první, a ty, které byly převzaty od jiných podniků či organizací.</w:t>
      </w:r>
    </w:p>
    <w:p w:rsidR="009D46E6" w:rsidRPr="00C674AD" w:rsidRDefault="009D46E6" w:rsidP="00473494">
      <w:pPr>
        <w:numPr>
          <w:ilvl w:val="0"/>
          <w:numId w:val="56"/>
        </w:numPr>
        <w:spacing w:before="120"/>
      </w:pPr>
      <w:r w:rsidRPr="00C674AD">
        <w:t xml:space="preserve">Společným znakem jakékoliv inovace je, že </w:t>
      </w:r>
      <w:r w:rsidRPr="00C674AD">
        <w:rPr>
          <w:bCs/>
        </w:rPr>
        <w:t xml:space="preserve">musela být </w:t>
      </w:r>
      <w:r w:rsidRPr="00C674AD">
        <w:rPr>
          <w:bCs/>
          <w:iCs/>
        </w:rPr>
        <w:t>zavedena</w:t>
      </w:r>
      <w:r w:rsidRPr="00C674AD">
        <w:rPr>
          <w:i/>
          <w:iCs/>
        </w:rPr>
        <w:t>.</w:t>
      </w:r>
      <w:r w:rsidRPr="00C674AD">
        <w:t xml:space="preserve"> Nový nebo zlepšený produkt je zaveden tehdy, je-li uveden na trh. Nové procesy, marketingové metody nebo organizační metody jsou implementovány v okamžiku, kdy jsou skutečně používány v podnikových operacích.</w:t>
      </w:r>
    </w:p>
    <w:p w:rsidR="009D46E6" w:rsidRPr="00C674AD" w:rsidRDefault="009D46E6" w:rsidP="00FE4AA7">
      <w:r w:rsidRPr="00E64218">
        <w:rPr>
          <w:i/>
        </w:rPr>
        <w:t>Inovační (inovující) podnik</w:t>
      </w:r>
      <w:r w:rsidRPr="00C674AD">
        <w:t xml:space="preserve"> – podle aktualizované metodiky Eurostatu z roku 2010 se za inovační/inovující podniky považují ty podniky, které v uvedeném období buď zavedly produktovou inovaci nebo procesní inovaci nebo měly probíhající nebo přerušené inovační aktivity (technické inovace), anebo zavedly marketingovou nebo organizační inovaci (netechnické inovace). Počínaje šetřením CIS 2008 byly netechnické inovace zrovnoprávněny s technickými inovacemi.</w:t>
      </w:r>
    </w:p>
    <w:p w:rsidR="009D46E6" w:rsidRPr="00E64218" w:rsidRDefault="009D46E6" w:rsidP="00FE4AA7">
      <w:r w:rsidRPr="00E64218">
        <w:t>Schéma inovujících podniků:</w:t>
      </w:r>
    </w:p>
    <w:p w:rsidR="009D46E6" w:rsidRPr="00C674AD" w:rsidRDefault="009D46E6" w:rsidP="00473494">
      <w:pPr>
        <w:numPr>
          <w:ilvl w:val="0"/>
          <w:numId w:val="55"/>
        </w:numPr>
        <w:spacing w:before="40"/>
        <w:ind w:left="993" w:hanging="357"/>
      </w:pPr>
      <w:r w:rsidRPr="00C674AD">
        <w:t>Podniky s technickými inovacemi</w:t>
      </w:r>
    </w:p>
    <w:p w:rsidR="009D46E6" w:rsidRPr="00C674AD" w:rsidRDefault="009D46E6" w:rsidP="00473494">
      <w:pPr>
        <w:numPr>
          <w:ilvl w:val="1"/>
          <w:numId w:val="55"/>
        </w:numPr>
        <w:spacing w:before="40"/>
        <w:ind w:left="1418" w:hanging="357"/>
      </w:pPr>
      <w:r w:rsidRPr="00C674AD">
        <w:t>Produktové inovace</w:t>
      </w:r>
    </w:p>
    <w:p w:rsidR="009D46E6" w:rsidRPr="00C674AD" w:rsidRDefault="009D46E6" w:rsidP="00473494">
      <w:pPr>
        <w:numPr>
          <w:ilvl w:val="1"/>
          <w:numId w:val="55"/>
        </w:numPr>
        <w:spacing w:before="40"/>
        <w:ind w:left="1418" w:hanging="357"/>
      </w:pPr>
      <w:r w:rsidRPr="00C674AD">
        <w:t>Procesní inovace</w:t>
      </w:r>
    </w:p>
    <w:p w:rsidR="009D46E6" w:rsidRPr="00C674AD" w:rsidRDefault="009D46E6" w:rsidP="00473494">
      <w:pPr>
        <w:numPr>
          <w:ilvl w:val="1"/>
          <w:numId w:val="55"/>
        </w:numPr>
        <w:spacing w:before="40"/>
        <w:ind w:left="1418" w:hanging="357"/>
      </w:pPr>
      <w:r w:rsidRPr="00C674AD">
        <w:t>Probíhající nebo přerušené inovační aktivity</w:t>
      </w:r>
    </w:p>
    <w:p w:rsidR="009D46E6" w:rsidRPr="00C674AD" w:rsidRDefault="009D46E6" w:rsidP="00473494">
      <w:pPr>
        <w:numPr>
          <w:ilvl w:val="0"/>
          <w:numId w:val="55"/>
        </w:numPr>
        <w:spacing w:before="80"/>
        <w:ind w:left="992" w:hanging="357"/>
      </w:pPr>
      <w:r w:rsidRPr="00C674AD">
        <w:t>Podniky s netechnickými inovacemi</w:t>
      </w:r>
    </w:p>
    <w:p w:rsidR="009D46E6" w:rsidRPr="00C674AD" w:rsidRDefault="009D46E6" w:rsidP="00473494">
      <w:pPr>
        <w:numPr>
          <w:ilvl w:val="1"/>
          <w:numId w:val="55"/>
        </w:numPr>
        <w:spacing w:before="40"/>
        <w:ind w:left="1418" w:hanging="357"/>
      </w:pPr>
      <w:r w:rsidRPr="00C674AD">
        <w:t>Marketingové inovace</w:t>
      </w:r>
    </w:p>
    <w:p w:rsidR="009D46E6" w:rsidRPr="00C674AD" w:rsidRDefault="009D46E6" w:rsidP="00473494">
      <w:pPr>
        <w:numPr>
          <w:ilvl w:val="1"/>
          <w:numId w:val="55"/>
        </w:numPr>
        <w:spacing w:before="40"/>
        <w:ind w:left="1418" w:hanging="357"/>
      </w:pPr>
      <w:r w:rsidRPr="00C674AD">
        <w:t>Organizační inovace</w:t>
      </w:r>
    </w:p>
    <w:p w:rsidR="009D46E6" w:rsidRPr="00C674AD" w:rsidRDefault="009D46E6" w:rsidP="00FE4AA7">
      <w:r w:rsidRPr="00E64218">
        <w:rPr>
          <w:i/>
          <w:iCs/>
        </w:rPr>
        <w:t>Produktová inovace</w:t>
      </w:r>
      <w:r w:rsidRPr="00C674AD">
        <w:rPr>
          <w:iCs/>
        </w:rPr>
        <w:t xml:space="preserve"> </w:t>
      </w:r>
      <w:r w:rsidRPr="00C674AD">
        <w:rPr>
          <w:bCs/>
          <w:iCs/>
        </w:rPr>
        <w:t xml:space="preserve">– </w:t>
      </w:r>
      <w:r w:rsidRPr="00C674AD">
        <w:rPr>
          <w:iCs/>
        </w:rPr>
        <w:t>představuje zavedení zboží nebo služeb nových nebo významně zlepšených s ohledem na jejich charakteristiky nebo zamýšlené užití. To zahrnuje významná zlepšení v technických specifikacích, komponentech a materiálech, software, uživatelské vstřícnosti nebo jiných funkčních charakteristikách. Na rozdíl od inovací procesu jsou přímo prodávané zákazníkům.</w:t>
      </w:r>
    </w:p>
    <w:p w:rsidR="009D46E6" w:rsidRPr="00C674AD" w:rsidRDefault="009D46E6" w:rsidP="00FE4AA7">
      <w:pPr>
        <w:rPr>
          <w:iCs/>
        </w:rPr>
      </w:pPr>
      <w:r w:rsidRPr="00E64218">
        <w:rPr>
          <w:i/>
          <w:iCs/>
        </w:rPr>
        <w:t>Procesní inovace</w:t>
      </w:r>
      <w:r w:rsidRPr="00C674AD">
        <w:rPr>
          <w:bCs/>
          <w:iCs/>
        </w:rPr>
        <w:t xml:space="preserve"> – </w:t>
      </w:r>
      <w:r w:rsidRPr="00C674AD">
        <w:rPr>
          <w:iCs/>
        </w:rPr>
        <w:t>představuje zavedení nové nebo významně zlepšené produkce (výrobních metod) anebo dodavatelských metod. To zahrnuje významné změny ve výrobní technice, zařízení a/nebo softwaru a distribučních systémech. Patří sem i snížení ohrožení (zátěže) životního prostředí či bezpečnostních rizik.</w:t>
      </w:r>
    </w:p>
    <w:p w:rsidR="009D46E6" w:rsidRPr="00C674AD" w:rsidRDefault="009D46E6" w:rsidP="00FE4AA7">
      <w:r w:rsidRPr="00E64218">
        <w:rPr>
          <w:i/>
        </w:rPr>
        <w:t>Marketingová inovace</w:t>
      </w:r>
      <w:r w:rsidRPr="00C674AD">
        <w:t xml:space="preserve"> – představuje zavedení nové marketingové metody obsahující významné změny v designu produktu nebo balení, umístění produktu, podpoře produktu či ocenění.</w:t>
      </w:r>
    </w:p>
    <w:p w:rsidR="009D46E6" w:rsidRPr="00C674AD" w:rsidRDefault="009D46E6" w:rsidP="00FE4AA7">
      <w:r w:rsidRPr="00E64218">
        <w:rPr>
          <w:i/>
        </w:rPr>
        <w:t>Organizační inovace</w:t>
      </w:r>
      <w:r w:rsidRPr="00C674AD">
        <w:t xml:space="preserve"> – představuje zavedení nové organizační metody v podnikových obchodních praktikách, organizaci pracovního místa nebo externích vztazích s cílem zkvalitnit inovační kapacitu podniku či charakteristiky výkonnosti.</w:t>
      </w:r>
    </w:p>
    <w:p w:rsidR="009D46E6" w:rsidRPr="00E64218" w:rsidRDefault="009D46E6" w:rsidP="00FE4AA7">
      <w:pPr>
        <w:spacing w:before="120"/>
        <w:rPr>
          <w:i/>
          <w:sz w:val="16"/>
          <w:szCs w:val="16"/>
        </w:rPr>
      </w:pPr>
      <w:r w:rsidRPr="00E64218">
        <w:rPr>
          <w:i/>
        </w:rPr>
        <w:t xml:space="preserve">Podrobné informace jsou k dispozici na: </w:t>
      </w:r>
      <w:hyperlink r:id="rId275" w:history="1">
        <w:r w:rsidRPr="00E64218">
          <w:rPr>
            <w:rStyle w:val="Hyperlink"/>
            <w:rFonts w:cs="MetaPro-Normal"/>
            <w:i/>
            <w:sz w:val="16"/>
            <w:szCs w:val="16"/>
          </w:rPr>
          <w:t>http://www.czso.cz/csu/redakce.nsf/i/statistika_inovaci</w:t>
        </w:r>
      </w:hyperlink>
      <w:r w:rsidRPr="00E64218">
        <w:rPr>
          <w:i/>
          <w:sz w:val="16"/>
          <w:szCs w:val="16"/>
        </w:rPr>
        <w:t xml:space="preserve"> </w:t>
      </w:r>
    </w:p>
    <w:p w:rsidR="009D46E6" w:rsidRPr="003F2025" w:rsidRDefault="009D46E6" w:rsidP="00FE4AA7">
      <w:r w:rsidRPr="003F2025">
        <w:t xml:space="preserve"> </w:t>
      </w:r>
    </w:p>
    <w:p w:rsidR="009D46E6" w:rsidRDefault="009D46E6" w:rsidP="00FE4AA7">
      <w:pPr>
        <w:pStyle w:val="Heading2"/>
      </w:pPr>
      <w:bookmarkStart w:id="272" w:name="_Toc369091916"/>
      <w:r>
        <w:t>Manuály, metadata, nařízení a klasifikace ke statistikám vědy, technologií a inovací</w:t>
      </w:r>
      <w:bookmarkEnd w:id="272"/>
    </w:p>
    <w:p w:rsidR="009D46E6" w:rsidRPr="00866A68" w:rsidRDefault="009D46E6" w:rsidP="00866A68">
      <w:pPr>
        <w:spacing w:before="240"/>
        <w:rPr>
          <w:b/>
        </w:rPr>
      </w:pPr>
      <w:r w:rsidRPr="00866A68">
        <w:rPr>
          <w:b/>
        </w:rPr>
        <w:t>Organizace pro ekonomickou spolupráci a rozvoj (OECD) - manuály</w:t>
      </w:r>
    </w:p>
    <w:p w:rsidR="009D46E6" w:rsidRPr="008577C3" w:rsidRDefault="009D46E6" w:rsidP="008577C3">
      <w:pPr>
        <w:spacing w:before="120" w:after="0"/>
        <w:ind w:left="238"/>
        <w:rPr>
          <w:rFonts w:cs="Tahoma"/>
        </w:rPr>
      </w:pPr>
      <w:r w:rsidRPr="008577C3">
        <w:rPr>
          <w:rFonts w:cs="Tahoma"/>
        </w:rPr>
        <w:t>Frascati Manual 2002: Proposed Standard Practice for Surveys on Research and Experimental Development</w:t>
      </w:r>
    </w:p>
    <w:p w:rsidR="009D46E6" w:rsidRPr="008577C3" w:rsidRDefault="009D46E6" w:rsidP="008577C3">
      <w:pPr>
        <w:ind w:left="454"/>
        <w:rPr>
          <w:rStyle w:val="Hyperlink"/>
          <w:rFonts w:cs="Tahoma"/>
          <w:i/>
          <w:sz w:val="16"/>
        </w:rPr>
      </w:pPr>
      <w:hyperlink r:id="rId276" w:history="1">
        <w:r w:rsidRPr="008577C3">
          <w:rPr>
            <w:rStyle w:val="Hyperlink"/>
            <w:rFonts w:cs="Tahoma"/>
            <w:i/>
            <w:sz w:val="16"/>
          </w:rPr>
          <w:t>http://www.oecd.org/document/6/0,3343,en_2649_34451_33828550_1_1_1_1,00.html</w:t>
        </w:r>
      </w:hyperlink>
    </w:p>
    <w:p w:rsidR="009D46E6" w:rsidRPr="008577C3" w:rsidRDefault="009D46E6" w:rsidP="008577C3">
      <w:pPr>
        <w:spacing w:before="120" w:after="0"/>
        <w:ind w:left="238"/>
        <w:rPr>
          <w:rFonts w:cs="Tahoma"/>
        </w:rPr>
      </w:pPr>
      <w:r w:rsidRPr="008577C3">
        <w:rPr>
          <w:rFonts w:cs="Tahoma"/>
        </w:rPr>
        <w:t>Oslo Manual: Guidelines for Collecting and Interpreting Innovation Data, 3rd Edition</w:t>
      </w:r>
    </w:p>
    <w:p w:rsidR="009D46E6" w:rsidRPr="008577C3" w:rsidRDefault="009D46E6" w:rsidP="008577C3">
      <w:pPr>
        <w:ind w:left="454"/>
        <w:rPr>
          <w:rStyle w:val="Hyperlink"/>
          <w:rFonts w:cs="Tahoma"/>
          <w:i/>
          <w:sz w:val="16"/>
        </w:rPr>
      </w:pPr>
      <w:hyperlink r:id="rId277" w:history="1">
        <w:r w:rsidRPr="008577C3">
          <w:rPr>
            <w:rStyle w:val="Hyperlink"/>
            <w:rFonts w:cs="Tahoma"/>
            <w:i/>
            <w:sz w:val="16"/>
          </w:rPr>
          <w:t>http://www.oecd.org/document/23/0,3343,en_2649_34273_35595607_1_1_1_37417,00.html</w:t>
        </w:r>
      </w:hyperlink>
    </w:p>
    <w:p w:rsidR="009D46E6" w:rsidRPr="008577C3" w:rsidRDefault="009D46E6" w:rsidP="008577C3">
      <w:pPr>
        <w:spacing w:before="120" w:after="0"/>
        <w:ind w:left="238"/>
        <w:rPr>
          <w:rFonts w:cs="Tahoma"/>
        </w:rPr>
      </w:pPr>
      <w:r w:rsidRPr="008577C3">
        <w:rPr>
          <w:rFonts w:cs="Tahoma"/>
        </w:rPr>
        <w:t>OECD Patent Statistics Manual (2009)</w:t>
      </w:r>
    </w:p>
    <w:p w:rsidR="009D46E6" w:rsidRPr="008577C3" w:rsidRDefault="009D46E6" w:rsidP="008577C3">
      <w:pPr>
        <w:ind w:left="454"/>
        <w:rPr>
          <w:rStyle w:val="Hyperlink"/>
          <w:rFonts w:cs="Tahoma"/>
          <w:i/>
          <w:sz w:val="16"/>
        </w:rPr>
      </w:pPr>
      <w:hyperlink r:id="rId278" w:history="1">
        <w:r w:rsidRPr="008577C3">
          <w:rPr>
            <w:rStyle w:val="Hyperlink"/>
            <w:rFonts w:cs="Tahoma"/>
            <w:i/>
            <w:sz w:val="16"/>
          </w:rPr>
          <w:t>http://www.oecd.org/document/29/0,3343,en_2649_34409_42168029_1_1_1_1,00.html</w:t>
        </w:r>
      </w:hyperlink>
    </w:p>
    <w:p w:rsidR="009D46E6" w:rsidRPr="008577C3" w:rsidRDefault="009D46E6" w:rsidP="008577C3">
      <w:pPr>
        <w:spacing w:before="120" w:after="0"/>
        <w:ind w:left="238"/>
        <w:rPr>
          <w:rFonts w:cs="Tahoma"/>
        </w:rPr>
      </w:pPr>
      <w:r w:rsidRPr="008577C3">
        <w:rPr>
          <w:rFonts w:cs="Tahoma"/>
        </w:rPr>
        <w:t>Canberra Manual 1995: The Manual on the Measurement of Human Resources devoted to S&amp;T</w:t>
      </w:r>
    </w:p>
    <w:p w:rsidR="009D46E6" w:rsidRPr="008577C3" w:rsidRDefault="009D46E6" w:rsidP="008577C3">
      <w:pPr>
        <w:ind w:left="454"/>
        <w:rPr>
          <w:rStyle w:val="Hyperlink"/>
          <w:rFonts w:cs="Tahoma"/>
          <w:i/>
          <w:sz w:val="16"/>
        </w:rPr>
      </w:pPr>
      <w:hyperlink r:id="rId279" w:history="1">
        <w:r w:rsidRPr="008577C3">
          <w:rPr>
            <w:rStyle w:val="Hyperlink"/>
            <w:rFonts w:cs="Tahoma"/>
            <w:i/>
            <w:sz w:val="16"/>
          </w:rPr>
          <w:t>http://www.oecd.org/dataoecd/34/0/2096025.pdf</w:t>
        </w:r>
      </w:hyperlink>
      <w:r w:rsidRPr="008577C3">
        <w:rPr>
          <w:rStyle w:val="Hyperlink"/>
          <w:rFonts w:cs="Tahoma"/>
          <w:i/>
          <w:sz w:val="16"/>
        </w:rPr>
        <w:t xml:space="preserve"> </w:t>
      </w:r>
    </w:p>
    <w:p w:rsidR="009D46E6" w:rsidRPr="008577C3" w:rsidRDefault="009D46E6" w:rsidP="008577C3">
      <w:pPr>
        <w:spacing w:before="120" w:after="0"/>
        <w:ind w:left="238"/>
        <w:rPr>
          <w:rFonts w:cs="Tahoma"/>
        </w:rPr>
      </w:pPr>
      <w:r w:rsidRPr="008577C3">
        <w:rPr>
          <w:rFonts w:cs="Tahoma"/>
        </w:rPr>
        <w:t>TBP Manual 1990: Proposed standard method of compiling and interpreting. Technology Balance of Payments data</w:t>
      </w:r>
    </w:p>
    <w:p w:rsidR="009D46E6" w:rsidRPr="008577C3" w:rsidRDefault="009D46E6" w:rsidP="008577C3">
      <w:pPr>
        <w:ind w:left="454"/>
        <w:rPr>
          <w:rStyle w:val="Hyperlink"/>
          <w:rFonts w:cs="Tahoma"/>
          <w:i/>
          <w:sz w:val="16"/>
        </w:rPr>
      </w:pPr>
      <w:hyperlink r:id="rId280" w:history="1">
        <w:r w:rsidRPr="008577C3">
          <w:rPr>
            <w:rStyle w:val="Hyperlink"/>
            <w:rFonts w:cs="Tahoma"/>
            <w:i/>
            <w:sz w:val="16"/>
          </w:rPr>
          <w:t>www.oecd.org/dataoecd/35/13/2347115.pdf</w:t>
        </w:r>
      </w:hyperlink>
    </w:p>
    <w:p w:rsidR="009D46E6" w:rsidRPr="008577C3" w:rsidRDefault="009D46E6" w:rsidP="008577C3">
      <w:pPr>
        <w:spacing w:before="120" w:after="0"/>
        <w:ind w:left="238"/>
        <w:rPr>
          <w:rFonts w:cs="Tahoma"/>
        </w:rPr>
      </w:pPr>
      <w:r w:rsidRPr="008577C3">
        <w:rPr>
          <w:rFonts w:cs="Tahoma"/>
        </w:rPr>
        <w:t>OECD Handbook on Economic Globalisation Indicators</w:t>
      </w:r>
    </w:p>
    <w:p w:rsidR="009D46E6" w:rsidRPr="008577C3" w:rsidRDefault="009D46E6" w:rsidP="008577C3">
      <w:pPr>
        <w:ind w:left="454"/>
        <w:rPr>
          <w:rStyle w:val="Hyperlink"/>
          <w:rFonts w:cs="Tahoma"/>
          <w:i/>
          <w:sz w:val="16"/>
        </w:rPr>
      </w:pPr>
      <w:hyperlink r:id="rId281" w:history="1">
        <w:r w:rsidRPr="008577C3">
          <w:rPr>
            <w:rStyle w:val="Hyperlink"/>
            <w:rFonts w:cs="Tahoma"/>
            <w:i/>
            <w:sz w:val="16"/>
          </w:rPr>
          <w:t>http://www.oecd.org/document/44/0,3343,en_2649_34443_34957420_1_1_1_1,00.html</w:t>
        </w:r>
      </w:hyperlink>
    </w:p>
    <w:p w:rsidR="009D46E6" w:rsidRPr="00866A68" w:rsidRDefault="009D46E6" w:rsidP="008577C3">
      <w:pPr>
        <w:spacing w:before="240"/>
        <w:rPr>
          <w:b/>
        </w:rPr>
      </w:pPr>
      <w:r w:rsidRPr="00866A68">
        <w:rPr>
          <w:b/>
        </w:rPr>
        <w:t>Statistický úřad Evropských společenství (EUROSTAT) - metadata</w:t>
      </w:r>
    </w:p>
    <w:p w:rsidR="009D46E6" w:rsidRPr="008577C3" w:rsidRDefault="009D46E6" w:rsidP="008577C3">
      <w:pPr>
        <w:spacing w:before="120" w:after="0"/>
        <w:ind w:left="238"/>
        <w:rPr>
          <w:rFonts w:cs="Tahoma"/>
        </w:rPr>
      </w:pPr>
      <w:r w:rsidRPr="008577C3">
        <w:rPr>
          <w:rFonts w:cs="Tahoma"/>
        </w:rPr>
        <w:t>Statistics on research and development</w:t>
      </w:r>
    </w:p>
    <w:p w:rsidR="009D46E6" w:rsidRPr="008577C3" w:rsidRDefault="009D46E6" w:rsidP="008577C3">
      <w:pPr>
        <w:ind w:left="454"/>
        <w:rPr>
          <w:rStyle w:val="Hyperlink"/>
          <w:rFonts w:cs="Tahoma"/>
          <w:i/>
          <w:sz w:val="16"/>
        </w:rPr>
      </w:pPr>
      <w:hyperlink r:id="rId282" w:history="1">
        <w:r w:rsidRPr="008577C3">
          <w:rPr>
            <w:rStyle w:val="Hyperlink"/>
            <w:rFonts w:cs="Tahoma"/>
            <w:i/>
            <w:sz w:val="16"/>
          </w:rPr>
          <w:t>http://epp.eurostat.ec.europa.eu/cache/ITY_SDDS/en/rd_esms.htm</w:t>
        </w:r>
      </w:hyperlink>
    </w:p>
    <w:p w:rsidR="009D46E6" w:rsidRPr="008577C3" w:rsidRDefault="009D46E6" w:rsidP="008577C3">
      <w:pPr>
        <w:spacing w:before="120" w:after="0"/>
        <w:ind w:left="238"/>
        <w:rPr>
          <w:rFonts w:cs="Tahoma"/>
        </w:rPr>
      </w:pPr>
      <w:r w:rsidRPr="008577C3">
        <w:rPr>
          <w:rFonts w:cs="Tahoma"/>
        </w:rPr>
        <w:t>Government budget appropriations or outlays on R&amp;D statistics</w:t>
      </w:r>
    </w:p>
    <w:p w:rsidR="009D46E6" w:rsidRPr="008577C3" w:rsidRDefault="009D46E6" w:rsidP="008577C3">
      <w:pPr>
        <w:ind w:left="454"/>
        <w:rPr>
          <w:rStyle w:val="Hyperlink"/>
          <w:rFonts w:cs="Tahoma"/>
          <w:i/>
          <w:sz w:val="16"/>
        </w:rPr>
      </w:pPr>
      <w:hyperlink r:id="rId283" w:history="1">
        <w:r w:rsidRPr="008577C3">
          <w:rPr>
            <w:rStyle w:val="Hyperlink"/>
            <w:rFonts w:cs="Tahoma"/>
            <w:i/>
            <w:sz w:val="16"/>
          </w:rPr>
          <w:t>http://epp.eurostat.ec.europa.eu/cache/ITY_SDDS/en/gba_esms.htm</w:t>
        </w:r>
      </w:hyperlink>
    </w:p>
    <w:p w:rsidR="009D46E6" w:rsidRPr="008577C3" w:rsidRDefault="009D46E6" w:rsidP="008577C3">
      <w:pPr>
        <w:spacing w:before="120" w:after="0"/>
        <w:ind w:left="238"/>
        <w:rPr>
          <w:rFonts w:cs="Tahoma"/>
        </w:rPr>
      </w:pPr>
      <w:r w:rsidRPr="008577C3">
        <w:rPr>
          <w:rFonts w:cs="Tahoma"/>
        </w:rPr>
        <w:t>Community innovation survey</w:t>
      </w:r>
    </w:p>
    <w:p w:rsidR="009D46E6" w:rsidRPr="008577C3" w:rsidRDefault="009D46E6" w:rsidP="008577C3">
      <w:pPr>
        <w:ind w:left="454"/>
        <w:rPr>
          <w:rStyle w:val="Hyperlink"/>
          <w:rFonts w:cs="Tahoma"/>
          <w:i/>
          <w:sz w:val="16"/>
        </w:rPr>
      </w:pPr>
      <w:hyperlink r:id="rId284" w:history="1">
        <w:r w:rsidRPr="008577C3">
          <w:rPr>
            <w:rStyle w:val="Hyperlink"/>
            <w:rFonts w:cs="Tahoma"/>
            <w:i/>
            <w:sz w:val="16"/>
          </w:rPr>
          <w:t>http://epp.eurostat.ec.europa.eu/cache/ITY_SDDS/en/inn_esms.htm</w:t>
        </w:r>
      </w:hyperlink>
    </w:p>
    <w:p w:rsidR="009D46E6" w:rsidRPr="008577C3" w:rsidRDefault="009D46E6" w:rsidP="008577C3">
      <w:pPr>
        <w:spacing w:before="120" w:after="0"/>
        <w:ind w:left="238"/>
        <w:rPr>
          <w:rFonts w:cs="Tahoma"/>
        </w:rPr>
      </w:pPr>
      <w:r w:rsidRPr="008577C3">
        <w:rPr>
          <w:rFonts w:cs="Tahoma"/>
        </w:rPr>
        <w:t>High-tech industry and knowledge-intensive services statistics</w:t>
      </w:r>
    </w:p>
    <w:p w:rsidR="009D46E6" w:rsidRPr="008577C3" w:rsidRDefault="009D46E6" w:rsidP="008577C3">
      <w:pPr>
        <w:ind w:left="454"/>
        <w:rPr>
          <w:rStyle w:val="Hyperlink"/>
          <w:rFonts w:cs="Tahoma"/>
          <w:i/>
          <w:sz w:val="16"/>
        </w:rPr>
      </w:pPr>
      <w:hyperlink r:id="rId285" w:history="1">
        <w:r w:rsidRPr="008577C3">
          <w:rPr>
            <w:rStyle w:val="Hyperlink"/>
            <w:rFonts w:cs="Tahoma"/>
            <w:i/>
            <w:sz w:val="16"/>
          </w:rPr>
          <w:t>http://epp.eurostat.ec.europa.eu/cache/ITY_SDDS/en/htec_esms.htm</w:t>
        </w:r>
      </w:hyperlink>
    </w:p>
    <w:p w:rsidR="009D46E6" w:rsidRPr="008577C3" w:rsidRDefault="009D46E6" w:rsidP="008577C3">
      <w:pPr>
        <w:spacing w:before="120" w:after="0"/>
        <w:ind w:left="238"/>
        <w:rPr>
          <w:rFonts w:cs="Tahoma"/>
        </w:rPr>
      </w:pPr>
      <w:r w:rsidRPr="008577C3">
        <w:rPr>
          <w:rFonts w:cs="Tahoma"/>
        </w:rPr>
        <w:t>Patent statistics</w:t>
      </w:r>
    </w:p>
    <w:p w:rsidR="009D46E6" w:rsidRPr="008577C3" w:rsidRDefault="009D46E6" w:rsidP="008577C3">
      <w:pPr>
        <w:ind w:left="454"/>
        <w:rPr>
          <w:rStyle w:val="Hyperlink"/>
          <w:rFonts w:cs="Tahoma"/>
          <w:i/>
          <w:sz w:val="16"/>
        </w:rPr>
      </w:pPr>
      <w:hyperlink r:id="rId286" w:history="1">
        <w:r w:rsidRPr="008577C3">
          <w:rPr>
            <w:rStyle w:val="Hyperlink"/>
            <w:rFonts w:cs="Tahoma"/>
            <w:i/>
            <w:sz w:val="16"/>
          </w:rPr>
          <w:t>http://epp.eurostat.ec.europa.eu/cache/ITY_SDDS/en/pat_esms.htm</w:t>
        </w:r>
      </w:hyperlink>
    </w:p>
    <w:p w:rsidR="009D46E6" w:rsidRPr="008577C3" w:rsidRDefault="009D46E6" w:rsidP="008577C3">
      <w:pPr>
        <w:spacing w:before="120" w:after="0"/>
        <w:ind w:left="238"/>
        <w:rPr>
          <w:rFonts w:cs="Tahoma"/>
        </w:rPr>
      </w:pPr>
      <w:r w:rsidRPr="008577C3">
        <w:rPr>
          <w:rFonts w:cs="Tahoma"/>
        </w:rPr>
        <w:t>Statistics on Human Resources in Science &amp; Technology</w:t>
      </w:r>
    </w:p>
    <w:p w:rsidR="009D46E6" w:rsidRPr="008577C3" w:rsidRDefault="009D46E6" w:rsidP="008577C3">
      <w:pPr>
        <w:ind w:left="454"/>
        <w:rPr>
          <w:rStyle w:val="Hyperlink"/>
          <w:rFonts w:cs="Tahoma"/>
          <w:i/>
          <w:sz w:val="16"/>
        </w:rPr>
      </w:pPr>
      <w:hyperlink r:id="rId287" w:history="1">
        <w:r w:rsidRPr="008577C3">
          <w:rPr>
            <w:rStyle w:val="Hyperlink"/>
            <w:rFonts w:cs="Tahoma"/>
            <w:i/>
            <w:sz w:val="16"/>
          </w:rPr>
          <w:t>http://epp.eurostat.ec.europa.eu/cache/ITY_SDDS/en/hrst_st_esms.htm</w:t>
        </w:r>
      </w:hyperlink>
    </w:p>
    <w:p w:rsidR="009D46E6" w:rsidRPr="00866A68" w:rsidRDefault="009D46E6" w:rsidP="008577C3">
      <w:pPr>
        <w:spacing w:before="240"/>
        <w:rPr>
          <w:b/>
        </w:rPr>
      </w:pPr>
      <w:r w:rsidRPr="00866A68">
        <w:rPr>
          <w:b/>
        </w:rPr>
        <w:t>Nařízení Evropské unie</w:t>
      </w:r>
    </w:p>
    <w:p w:rsidR="009D46E6" w:rsidRPr="008577C3" w:rsidRDefault="009D46E6" w:rsidP="008577C3">
      <w:pPr>
        <w:spacing w:before="120" w:after="0"/>
        <w:ind w:left="238"/>
        <w:rPr>
          <w:rFonts w:cs="Tahoma"/>
        </w:rPr>
      </w:pPr>
      <w:r w:rsidRPr="008577C3">
        <w:rPr>
          <w:rFonts w:cs="Tahoma"/>
        </w:rPr>
        <w:t>Decision No 1608/2003/EC of the European Parliament and of the Council of 22 July 2003 concerning the production and development of Community statistics on science and technology</w:t>
      </w:r>
    </w:p>
    <w:p w:rsidR="009D46E6" w:rsidRPr="008577C3" w:rsidRDefault="009D46E6" w:rsidP="008577C3">
      <w:pPr>
        <w:ind w:left="454"/>
        <w:rPr>
          <w:rStyle w:val="Hyperlink"/>
          <w:rFonts w:cs="Tahoma"/>
          <w:i/>
          <w:sz w:val="16"/>
        </w:rPr>
      </w:pPr>
      <w:hyperlink r:id="rId288" w:history="1">
        <w:r w:rsidRPr="008577C3">
          <w:rPr>
            <w:rStyle w:val="Hyperlink"/>
            <w:rFonts w:cs="Tahoma"/>
            <w:i/>
            <w:sz w:val="16"/>
          </w:rPr>
          <w:t>http://eur-lex.europa.eu/LexUriServ/LexUriServ.do?uri=CELEX:32003D1608:EN:HTML</w:t>
        </w:r>
      </w:hyperlink>
    </w:p>
    <w:p w:rsidR="009D46E6" w:rsidRPr="008577C3" w:rsidRDefault="009D46E6" w:rsidP="008577C3">
      <w:pPr>
        <w:spacing w:before="120" w:after="0"/>
        <w:ind w:left="238"/>
        <w:rPr>
          <w:rFonts w:cs="Tahoma"/>
        </w:rPr>
      </w:pPr>
      <w:r w:rsidRPr="008577C3">
        <w:rPr>
          <w:rFonts w:cs="Tahoma"/>
        </w:rPr>
        <w:t>COMMISSION IMPLEMENTING REGULATION (EU) No 995/2012 of 26 October 2012 laying down detailed rules for the implementation of Decision No 1608/2003/EC of the European Parliament and of the Council concerning the production and development of Community statistics on science and technology.</w:t>
      </w:r>
    </w:p>
    <w:p w:rsidR="009D46E6" w:rsidRPr="008577C3" w:rsidRDefault="009D46E6" w:rsidP="008577C3">
      <w:pPr>
        <w:ind w:left="454"/>
        <w:rPr>
          <w:rStyle w:val="Hyperlink"/>
          <w:rFonts w:cs="Tahoma"/>
          <w:i/>
          <w:sz w:val="16"/>
        </w:rPr>
      </w:pPr>
      <w:hyperlink r:id="rId289" w:history="1">
        <w:r w:rsidRPr="008577C3">
          <w:rPr>
            <w:rStyle w:val="Hyperlink"/>
            <w:rFonts w:cs="Tahoma"/>
            <w:i/>
            <w:sz w:val="16"/>
          </w:rPr>
          <w:t>http://eur-lex.europa.eu/LexUriServ/LexUriServ.do?uri=OJ:L:2012:299:0018:0030:EN:PDF</w:t>
        </w:r>
      </w:hyperlink>
    </w:p>
    <w:p w:rsidR="009D46E6" w:rsidRPr="008577C3" w:rsidRDefault="009D46E6" w:rsidP="008577C3">
      <w:pPr>
        <w:ind w:left="454"/>
        <w:rPr>
          <w:rStyle w:val="Hyperlink"/>
          <w:rFonts w:cs="Tahoma"/>
          <w:i/>
          <w:sz w:val="16"/>
        </w:rPr>
      </w:pPr>
      <w:hyperlink r:id="rId290" w:history="1">
        <w:r w:rsidRPr="008577C3">
          <w:rPr>
            <w:rStyle w:val="Hyperlink"/>
            <w:rFonts w:cs="Tahoma"/>
            <w:i/>
            <w:sz w:val="16"/>
          </w:rPr>
          <w:t>http://eur-lex.europa.eu/LexUriServ/LexUriServ.do?uri=OJ:L:2012:299:0018:0030:CS:PDF</w:t>
        </w:r>
      </w:hyperlink>
    </w:p>
    <w:p w:rsidR="009D46E6" w:rsidRPr="00866A68" w:rsidRDefault="009D46E6" w:rsidP="008577C3">
      <w:pPr>
        <w:spacing w:before="240"/>
        <w:rPr>
          <w:b/>
        </w:rPr>
      </w:pPr>
      <w:r w:rsidRPr="00866A68">
        <w:rPr>
          <w:b/>
        </w:rPr>
        <w:t>Klasifikace</w:t>
      </w:r>
    </w:p>
    <w:p w:rsidR="009D46E6" w:rsidRPr="008577C3" w:rsidRDefault="009D46E6" w:rsidP="008577C3">
      <w:pPr>
        <w:spacing w:before="120" w:after="0"/>
        <w:ind w:left="238"/>
        <w:rPr>
          <w:rFonts w:cs="Tahoma"/>
        </w:rPr>
      </w:pPr>
      <w:r w:rsidRPr="008577C3">
        <w:rPr>
          <w:rFonts w:cs="Tahoma"/>
        </w:rPr>
        <w:t>FOS (Field of Science and Technology Classification, 2002 version) – Oblast vědy a technologie</w:t>
      </w:r>
    </w:p>
    <w:p w:rsidR="009D46E6" w:rsidRPr="008577C3" w:rsidRDefault="009D46E6" w:rsidP="008577C3">
      <w:pPr>
        <w:ind w:left="454"/>
        <w:rPr>
          <w:rStyle w:val="Hyperlink"/>
          <w:rFonts w:cs="Tahoma"/>
          <w:i/>
          <w:sz w:val="16"/>
        </w:rPr>
      </w:pPr>
      <w:hyperlink r:id="rId291" w:history="1">
        <w:r w:rsidRPr="008577C3">
          <w:rPr>
            <w:rStyle w:val="Hyperlink"/>
            <w:rFonts w:cs="Tahoma"/>
            <w:i/>
            <w:sz w:val="16"/>
          </w:rPr>
          <w:t>http://www.oecd.org/dataoecd/36/44/38235147.pdf</w:t>
        </w:r>
      </w:hyperlink>
    </w:p>
    <w:p w:rsidR="009D46E6" w:rsidRPr="008577C3" w:rsidRDefault="009D46E6" w:rsidP="008577C3">
      <w:pPr>
        <w:spacing w:before="120" w:after="0"/>
        <w:ind w:left="238"/>
        <w:rPr>
          <w:rFonts w:cs="Tahoma"/>
        </w:rPr>
      </w:pPr>
      <w:r w:rsidRPr="008577C3">
        <w:rPr>
          <w:rFonts w:cs="Tahoma"/>
        </w:rPr>
        <w:t>NABS –  Nomenklatura pro analýzu a srovnání vědeckých programů a rozpočtů</w:t>
      </w:r>
    </w:p>
    <w:p w:rsidR="009D46E6" w:rsidRPr="008577C3" w:rsidRDefault="009D46E6" w:rsidP="008577C3">
      <w:pPr>
        <w:ind w:left="454"/>
        <w:rPr>
          <w:rStyle w:val="Hyperlink"/>
          <w:rFonts w:cs="Tahoma"/>
          <w:i/>
          <w:sz w:val="16"/>
        </w:rPr>
      </w:pPr>
      <w:hyperlink r:id="rId292" w:history="1">
        <w:r w:rsidRPr="008577C3">
          <w:rPr>
            <w:rStyle w:val="Hyperlink"/>
            <w:rFonts w:cs="Tahoma"/>
            <w:i/>
            <w:sz w:val="16"/>
          </w:rPr>
          <w:t>http://www.czso.cz/csu/redakce.nsf/i/metodika_ulohy_gbaord</w:t>
        </w:r>
      </w:hyperlink>
    </w:p>
    <w:p w:rsidR="009D46E6" w:rsidRPr="008577C3" w:rsidRDefault="009D46E6" w:rsidP="008577C3">
      <w:pPr>
        <w:spacing w:before="120" w:after="0"/>
        <w:ind w:left="238"/>
        <w:rPr>
          <w:rFonts w:cs="Tahoma"/>
        </w:rPr>
      </w:pPr>
      <w:r w:rsidRPr="008577C3">
        <w:rPr>
          <w:rFonts w:cs="Tahoma"/>
        </w:rPr>
        <w:t>IPC (International Patent Classification) – Mezinárodní patentové třídění (MPT)</w:t>
      </w:r>
    </w:p>
    <w:p w:rsidR="009D46E6" w:rsidRPr="008577C3" w:rsidRDefault="009D46E6" w:rsidP="008577C3">
      <w:pPr>
        <w:ind w:left="454"/>
        <w:rPr>
          <w:rStyle w:val="Hyperlink"/>
          <w:rFonts w:cs="Tahoma"/>
          <w:i/>
          <w:sz w:val="16"/>
        </w:rPr>
      </w:pPr>
      <w:hyperlink r:id="rId293" w:history="1">
        <w:r w:rsidRPr="008577C3">
          <w:rPr>
            <w:rStyle w:val="Hyperlink"/>
            <w:rFonts w:cs="Tahoma"/>
            <w:i/>
            <w:sz w:val="16"/>
          </w:rPr>
          <w:t>http://www.wipo.int/classifications/fulltext/new_ipc/</w:t>
        </w:r>
      </w:hyperlink>
    </w:p>
    <w:p w:rsidR="009D46E6" w:rsidRPr="008577C3" w:rsidRDefault="009D46E6" w:rsidP="008577C3">
      <w:pPr>
        <w:ind w:left="454"/>
        <w:rPr>
          <w:rStyle w:val="Hyperlink"/>
          <w:rFonts w:cs="Tahoma"/>
          <w:i/>
          <w:sz w:val="16"/>
        </w:rPr>
      </w:pPr>
      <w:hyperlink r:id="rId294" w:history="1">
        <w:r w:rsidRPr="008577C3">
          <w:rPr>
            <w:rStyle w:val="Hyperlink"/>
            <w:rFonts w:cs="Tahoma"/>
            <w:i/>
            <w:sz w:val="16"/>
          </w:rPr>
          <w:t>http://www.upv.cz/cs/publikace/tridniky/tridnik-vynalezy.html</w:t>
        </w:r>
      </w:hyperlink>
    </w:p>
    <w:p w:rsidR="009D46E6" w:rsidRPr="008577C3" w:rsidRDefault="009D46E6" w:rsidP="008577C3">
      <w:pPr>
        <w:spacing w:before="120" w:after="0"/>
        <w:ind w:left="238"/>
        <w:rPr>
          <w:rFonts w:cs="Tahoma"/>
        </w:rPr>
      </w:pPr>
      <w:r w:rsidRPr="008577C3">
        <w:rPr>
          <w:rFonts w:cs="Tahoma"/>
        </w:rPr>
        <w:t>ISCED 97 (International Standard Classification of Education) – Mezinárodní standardní klasifikace vzdělávání</w:t>
      </w:r>
    </w:p>
    <w:p w:rsidR="009D46E6" w:rsidRPr="008577C3" w:rsidRDefault="009D46E6" w:rsidP="008577C3">
      <w:pPr>
        <w:ind w:left="454"/>
        <w:rPr>
          <w:rStyle w:val="Hyperlink"/>
          <w:rFonts w:cs="Tahoma"/>
          <w:i/>
          <w:sz w:val="16"/>
        </w:rPr>
      </w:pPr>
      <w:hyperlink r:id="rId295" w:history="1">
        <w:r w:rsidRPr="008577C3">
          <w:rPr>
            <w:rStyle w:val="Hyperlink"/>
            <w:rFonts w:cs="Tahoma"/>
            <w:i/>
            <w:sz w:val="16"/>
          </w:rPr>
          <w:t>http://www.uis.unesco.org/ev.php?ID=7433_201&amp;ID2=DO_TOPIC</w:t>
        </w:r>
      </w:hyperlink>
    </w:p>
    <w:p w:rsidR="009D46E6" w:rsidRPr="008577C3" w:rsidRDefault="009D46E6" w:rsidP="008577C3">
      <w:pPr>
        <w:ind w:left="454"/>
        <w:rPr>
          <w:rStyle w:val="Hyperlink"/>
          <w:rFonts w:cs="Tahoma"/>
          <w:i/>
          <w:sz w:val="16"/>
        </w:rPr>
      </w:pPr>
      <w:hyperlink r:id="rId296" w:history="1">
        <w:r w:rsidRPr="008577C3">
          <w:rPr>
            <w:rStyle w:val="Hyperlink"/>
            <w:rFonts w:cs="Tahoma"/>
            <w:i/>
            <w:sz w:val="16"/>
          </w:rPr>
          <w:t>http://www.czso.cz/csu/klasifik.nsf/i/mezinarodni_standardni_klasifikace_vzdelavani_isced_</w:t>
        </w:r>
      </w:hyperlink>
    </w:p>
    <w:p w:rsidR="009D46E6" w:rsidRPr="008577C3" w:rsidRDefault="009D46E6" w:rsidP="008577C3">
      <w:pPr>
        <w:spacing w:before="120" w:after="0"/>
        <w:ind w:left="238"/>
        <w:rPr>
          <w:rFonts w:cs="Tahoma"/>
        </w:rPr>
      </w:pPr>
      <w:r w:rsidRPr="008577C3">
        <w:rPr>
          <w:rFonts w:cs="Tahoma"/>
        </w:rPr>
        <w:t>ISCO-08 (International Standard Classification of Occupations) – Mezinárodní klasifikace zaměstnání (CZ-ISCO)</w:t>
      </w:r>
    </w:p>
    <w:p w:rsidR="009D46E6" w:rsidRPr="008577C3" w:rsidRDefault="009D46E6" w:rsidP="008577C3">
      <w:pPr>
        <w:ind w:left="454"/>
        <w:rPr>
          <w:rStyle w:val="Hyperlink"/>
          <w:rFonts w:cs="Tahoma"/>
          <w:i/>
          <w:sz w:val="16"/>
        </w:rPr>
      </w:pPr>
      <w:hyperlink r:id="rId297" w:history="1">
        <w:r w:rsidRPr="008577C3">
          <w:rPr>
            <w:rStyle w:val="Hyperlink"/>
            <w:rFonts w:cs="Tahoma"/>
            <w:i/>
            <w:sz w:val="16"/>
          </w:rPr>
          <w:t>http://www.ilo.org/public/english/bureau/stat/isco/index.htm</w:t>
        </w:r>
      </w:hyperlink>
    </w:p>
    <w:p w:rsidR="009D46E6" w:rsidRPr="008577C3" w:rsidRDefault="009D46E6" w:rsidP="008577C3">
      <w:pPr>
        <w:ind w:left="454"/>
        <w:rPr>
          <w:rStyle w:val="Hyperlink"/>
          <w:rFonts w:cs="Tahoma"/>
          <w:i/>
          <w:sz w:val="16"/>
        </w:rPr>
      </w:pPr>
      <w:hyperlink r:id="rId298" w:history="1">
        <w:r w:rsidRPr="008577C3">
          <w:rPr>
            <w:rStyle w:val="Hyperlink"/>
            <w:rFonts w:cs="Tahoma"/>
            <w:i/>
            <w:sz w:val="16"/>
          </w:rPr>
          <w:t>http://www.czso.cz/csu/2010edicniplan.nsf/p/0011-10</w:t>
        </w:r>
      </w:hyperlink>
      <w:r w:rsidRPr="008577C3">
        <w:rPr>
          <w:rStyle w:val="Hyperlink"/>
          <w:rFonts w:cs="Tahoma"/>
          <w:i/>
          <w:sz w:val="16"/>
        </w:rPr>
        <w:t xml:space="preserve"> </w:t>
      </w:r>
    </w:p>
    <w:p w:rsidR="009D46E6" w:rsidRPr="008577C3" w:rsidRDefault="009D46E6" w:rsidP="008577C3">
      <w:pPr>
        <w:spacing w:before="120" w:after="0"/>
        <w:ind w:left="238"/>
        <w:rPr>
          <w:rFonts w:cs="Tahoma"/>
        </w:rPr>
      </w:pPr>
      <w:r w:rsidRPr="008577C3">
        <w:rPr>
          <w:rFonts w:cs="Tahoma"/>
        </w:rPr>
        <w:t xml:space="preserve">ISIC (International Standard Industrial Classification) – Mezinárodní standardní klasifikace ekonomických činností </w:t>
      </w:r>
    </w:p>
    <w:p w:rsidR="009D46E6" w:rsidRPr="008577C3" w:rsidRDefault="009D46E6" w:rsidP="008577C3">
      <w:pPr>
        <w:ind w:left="454"/>
        <w:rPr>
          <w:rStyle w:val="Hyperlink"/>
          <w:rFonts w:cs="Tahoma"/>
          <w:i/>
          <w:sz w:val="16"/>
        </w:rPr>
      </w:pPr>
      <w:hyperlink r:id="rId299" w:history="1">
        <w:r w:rsidRPr="008577C3">
          <w:rPr>
            <w:rStyle w:val="Hyperlink"/>
            <w:rFonts w:cs="Tahoma"/>
            <w:i/>
            <w:sz w:val="16"/>
          </w:rPr>
          <w:t>http://unstats.un.org/unsd/cr/registry/regct.asp?Lg=1</w:t>
        </w:r>
      </w:hyperlink>
    </w:p>
    <w:p w:rsidR="009D46E6" w:rsidRPr="008577C3" w:rsidRDefault="009D46E6" w:rsidP="008577C3">
      <w:pPr>
        <w:ind w:left="454"/>
        <w:rPr>
          <w:rStyle w:val="Hyperlink"/>
          <w:rFonts w:cs="Tahoma"/>
          <w:i/>
          <w:sz w:val="16"/>
        </w:rPr>
      </w:pPr>
      <w:hyperlink r:id="rId300" w:history="1">
        <w:r w:rsidRPr="008577C3">
          <w:rPr>
            <w:rStyle w:val="Hyperlink"/>
            <w:rFonts w:cs="Tahoma"/>
            <w:i/>
            <w:sz w:val="16"/>
          </w:rPr>
          <w:t>http://www.czso.cz/csu/klasifik.nsf/i/klasifikace_ekonomickych_cinnosti_(cz_nace)</w:t>
        </w:r>
      </w:hyperlink>
    </w:p>
    <w:p w:rsidR="009D46E6" w:rsidRDefault="009D46E6" w:rsidP="00FE4AA7">
      <w:pPr>
        <w:pStyle w:val="Heading2"/>
      </w:pPr>
      <w:bookmarkStart w:id="273" w:name="_Toc369091917"/>
      <w:r>
        <w:t>Výstupy ČSÚ za oblast statistik vědy, technologií a inovací</w:t>
      </w:r>
      <w:bookmarkEnd w:id="273"/>
    </w:p>
    <w:p w:rsidR="009D46E6" w:rsidRPr="00866A68" w:rsidRDefault="009D46E6" w:rsidP="00866A68">
      <w:pPr>
        <w:spacing w:before="240"/>
        <w:rPr>
          <w:b/>
        </w:rPr>
      </w:pPr>
      <w:r>
        <w:rPr>
          <w:b/>
        </w:rPr>
        <w:t>Webové stránky</w:t>
      </w:r>
    </w:p>
    <w:p w:rsidR="009D46E6" w:rsidRPr="00D8239A" w:rsidRDefault="009D46E6" w:rsidP="00FE4AA7">
      <w:pPr>
        <w:spacing w:before="120" w:after="0"/>
        <w:ind w:left="238"/>
        <w:rPr>
          <w:rFonts w:cs="Tahoma"/>
        </w:rPr>
      </w:pPr>
      <w:r w:rsidRPr="00D8239A">
        <w:rPr>
          <w:rFonts w:cs="Tahoma"/>
        </w:rPr>
        <w:t>Výzkum a vývoj</w:t>
      </w:r>
    </w:p>
    <w:p w:rsidR="009D46E6" w:rsidRPr="00D8239A" w:rsidRDefault="009D46E6" w:rsidP="008577C3">
      <w:pPr>
        <w:ind w:left="454"/>
        <w:rPr>
          <w:rFonts w:cs="Tahoma"/>
          <w:i/>
          <w:sz w:val="16"/>
        </w:rPr>
      </w:pPr>
      <w:hyperlink r:id="rId301" w:history="1">
        <w:r w:rsidRPr="00D8239A">
          <w:rPr>
            <w:rStyle w:val="Hyperlink"/>
            <w:rFonts w:cs="Tahoma"/>
            <w:i/>
            <w:sz w:val="16"/>
          </w:rPr>
          <w:t>http://www.czso.cz/csu/redakce.nsf/i/statistika_vyzkumu_a_vyvoje</w:t>
        </w:r>
      </w:hyperlink>
      <w:r w:rsidRPr="00D8239A">
        <w:rPr>
          <w:rFonts w:cs="Tahoma"/>
          <w:i/>
          <w:sz w:val="16"/>
        </w:rPr>
        <w:t xml:space="preserve"> </w:t>
      </w:r>
    </w:p>
    <w:p w:rsidR="009D46E6" w:rsidRPr="00D8239A" w:rsidRDefault="009D46E6" w:rsidP="00FE4AA7">
      <w:pPr>
        <w:spacing w:before="120"/>
        <w:ind w:left="238"/>
        <w:rPr>
          <w:rFonts w:cs="Tahoma"/>
        </w:rPr>
      </w:pPr>
      <w:r w:rsidRPr="00D8239A">
        <w:rPr>
          <w:rFonts w:cs="Tahoma"/>
        </w:rPr>
        <w:t>Státní rozpočtové výdaje a dotace na výzkum a vývoj</w:t>
      </w:r>
    </w:p>
    <w:p w:rsidR="009D46E6" w:rsidRPr="00D8239A" w:rsidRDefault="009D46E6" w:rsidP="008577C3">
      <w:pPr>
        <w:ind w:left="454"/>
        <w:rPr>
          <w:rFonts w:cs="Tahoma"/>
          <w:i/>
          <w:sz w:val="16"/>
        </w:rPr>
      </w:pPr>
      <w:hyperlink r:id="rId302" w:history="1">
        <w:r w:rsidRPr="00D8239A">
          <w:rPr>
            <w:rStyle w:val="Hyperlink"/>
            <w:rFonts w:cs="Tahoma"/>
            <w:i/>
            <w:sz w:val="16"/>
          </w:rPr>
          <w:t>http://www.czso.cz/csu/redakce.nsf/i/statni_rozpoctove_vydaje_a_dotace_na_vyzkum_a_vyvoj_gbaord</w:t>
        </w:r>
      </w:hyperlink>
    </w:p>
    <w:p w:rsidR="009D46E6" w:rsidRPr="00D8239A" w:rsidRDefault="009D46E6" w:rsidP="00FE4AA7">
      <w:pPr>
        <w:spacing w:before="120" w:after="0"/>
        <w:ind w:left="238"/>
        <w:rPr>
          <w:rFonts w:cs="Tahoma"/>
        </w:rPr>
      </w:pPr>
      <w:r w:rsidRPr="00D8239A">
        <w:rPr>
          <w:rFonts w:cs="Tahoma"/>
        </w:rPr>
        <w:t>Lidské zdroje ve vědě a technologiích</w:t>
      </w:r>
    </w:p>
    <w:p w:rsidR="009D46E6" w:rsidRPr="00D8239A" w:rsidRDefault="009D46E6" w:rsidP="008577C3">
      <w:pPr>
        <w:ind w:left="454"/>
        <w:rPr>
          <w:rFonts w:cs="Tahoma"/>
          <w:i/>
          <w:sz w:val="16"/>
        </w:rPr>
      </w:pPr>
      <w:hyperlink r:id="rId303" w:history="1">
        <w:r w:rsidRPr="00D8239A">
          <w:rPr>
            <w:rStyle w:val="Hyperlink"/>
            <w:rFonts w:cs="Tahoma"/>
            <w:i/>
            <w:sz w:val="16"/>
          </w:rPr>
          <w:t>http://www.czso.cz/csu/redakce.nsf/i/lidske_zdroje_ve_vede_a_technologiich</w:t>
        </w:r>
      </w:hyperlink>
    </w:p>
    <w:p w:rsidR="009D46E6" w:rsidRPr="00D8239A" w:rsidRDefault="009D46E6" w:rsidP="00FE4AA7">
      <w:pPr>
        <w:spacing w:before="120" w:after="0"/>
        <w:ind w:left="238"/>
        <w:rPr>
          <w:rFonts w:cs="Tahoma"/>
        </w:rPr>
      </w:pPr>
      <w:r w:rsidRPr="00D8239A">
        <w:rPr>
          <w:rFonts w:cs="Tahoma"/>
        </w:rPr>
        <w:t>Studenti a absolventi terciárního stupně vzdělávání</w:t>
      </w:r>
    </w:p>
    <w:p w:rsidR="009D46E6" w:rsidRPr="00D8239A" w:rsidRDefault="009D46E6" w:rsidP="008577C3">
      <w:pPr>
        <w:ind w:left="454"/>
        <w:rPr>
          <w:rFonts w:cs="Tahoma"/>
          <w:i/>
          <w:sz w:val="16"/>
        </w:rPr>
      </w:pPr>
      <w:hyperlink r:id="rId304" w:history="1">
        <w:r w:rsidRPr="00D8239A">
          <w:rPr>
            <w:rStyle w:val="Hyperlink"/>
            <w:rFonts w:cs="Tahoma"/>
            <w:i/>
            <w:sz w:val="16"/>
          </w:rPr>
          <w:t>http://www.czso.cz/csu/redakce.nsf/i/studenti_a_absolventi_terciarniho_stupne_vzdelavani</w:t>
        </w:r>
      </w:hyperlink>
    </w:p>
    <w:p w:rsidR="009D46E6" w:rsidRPr="00D8239A" w:rsidRDefault="009D46E6" w:rsidP="00FE4AA7">
      <w:pPr>
        <w:spacing w:before="120" w:after="0"/>
        <w:ind w:left="238"/>
        <w:rPr>
          <w:rFonts w:cs="Tahoma"/>
        </w:rPr>
      </w:pPr>
      <w:r w:rsidRPr="00D8239A">
        <w:rPr>
          <w:rFonts w:cs="Tahoma"/>
        </w:rPr>
        <w:t>Inovace</w:t>
      </w:r>
    </w:p>
    <w:p w:rsidR="009D46E6" w:rsidRPr="00D8239A" w:rsidRDefault="009D46E6" w:rsidP="008577C3">
      <w:pPr>
        <w:ind w:left="454"/>
        <w:rPr>
          <w:rFonts w:cs="Tahoma"/>
          <w:i/>
          <w:sz w:val="16"/>
        </w:rPr>
      </w:pPr>
      <w:hyperlink r:id="rId305" w:history="1">
        <w:r w:rsidRPr="00D8239A">
          <w:rPr>
            <w:rStyle w:val="Hyperlink"/>
            <w:rFonts w:cs="Tahoma"/>
            <w:i/>
            <w:sz w:val="16"/>
          </w:rPr>
          <w:t>http://www.czso.cz/csu/redakce.nsf/i/statistika_inovaci</w:t>
        </w:r>
      </w:hyperlink>
    </w:p>
    <w:p w:rsidR="009D46E6" w:rsidRPr="00D8239A" w:rsidRDefault="009D46E6" w:rsidP="00FE4AA7">
      <w:pPr>
        <w:spacing w:before="120" w:after="0"/>
        <w:ind w:left="238"/>
        <w:rPr>
          <w:rFonts w:cs="Tahoma"/>
        </w:rPr>
      </w:pPr>
      <w:r w:rsidRPr="00D8239A">
        <w:rPr>
          <w:rFonts w:cs="Tahoma"/>
        </w:rPr>
        <w:t>Patenty</w:t>
      </w:r>
    </w:p>
    <w:p w:rsidR="009D46E6" w:rsidRPr="00D8239A" w:rsidRDefault="009D46E6" w:rsidP="008577C3">
      <w:pPr>
        <w:ind w:left="454"/>
        <w:rPr>
          <w:rFonts w:cs="Tahoma"/>
          <w:i/>
          <w:sz w:val="16"/>
        </w:rPr>
      </w:pPr>
      <w:hyperlink r:id="rId306" w:history="1">
        <w:r w:rsidRPr="00D8239A">
          <w:rPr>
            <w:rStyle w:val="Hyperlink"/>
            <w:rFonts w:cs="Tahoma"/>
            <w:i/>
            <w:sz w:val="16"/>
          </w:rPr>
          <w:t>http://www.czso.cz/csu/redakce.nsf/i/patentova_statistika</w:t>
        </w:r>
      </w:hyperlink>
    </w:p>
    <w:p w:rsidR="009D46E6" w:rsidRPr="00D8239A" w:rsidRDefault="009D46E6" w:rsidP="00FE4AA7">
      <w:pPr>
        <w:spacing w:before="120" w:after="0"/>
        <w:ind w:left="238"/>
        <w:rPr>
          <w:rFonts w:cs="Tahoma"/>
        </w:rPr>
      </w:pPr>
      <w:r w:rsidRPr="00D8239A">
        <w:rPr>
          <w:rFonts w:cs="Tahoma"/>
        </w:rPr>
        <w:t>Licence</w:t>
      </w:r>
    </w:p>
    <w:p w:rsidR="009D46E6" w:rsidRPr="00D8239A" w:rsidRDefault="009D46E6" w:rsidP="008577C3">
      <w:pPr>
        <w:ind w:left="454"/>
        <w:rPr>
          <w:rFonts w:cs="Tahoma"/>
          <w:i/>
          <w:sz w:val="16"/>
        </w:rPr>
      </w:pPr>
      <w:hyperlink r:id="rId307" w:history="1">
        <w:r w:rsidRPr="00D8239A">
          <w:rPr>
            <w:rStyle w:val="Hyperlink"/>
            <w:rFonts w:cs="Tahoma"/>
            <w:i/>
            <w:sz w:val="16"/>
          </w:rPr>
          <w:t>http://www.czso.cz/csu/redakce.nsf/i/licence</w:t>
        </w:r>
      </w:hyperlink>
      <w:r w:rsidRPr="00D8239A">
        <w:rPr>
          <w:rFonts w:cs="Tahoma"/>
          <w:i/>
          <w:sz w:val="16"/>
        </w:rPr>
        <w:t xml:space="preserve"> </w:t>
      </w:r>
    </w:p>
    <w:p w:rsidR="009D46E6" w:rsidRPr="00D8239A" w:rsidRDefault="009D46E6" w:rsidP="00FE4AA7">
      <w:pPr>
        <w:spacing w:before="120" w:after="0"/>
        <w:ind w:left="238"/>
        <w:rPr>
          <w:rFonts w:cs="Tahoma"/>
        </w:rPr>
      </w:pPr>
      <w:r w:rsidRPr="00D8239A">
        <w:rPr>
          <w:rFonts w:cs="Tahoma"/>
        </w:rPr>
        <w:t>Bibliometrie</w:t>
      </w:r>
    </w:p>
    <w:p w:rsidR="009D46E6" w:rsidRPr="00D8239A" w:rsidRDefault="009D46E6" w:rsidP="008577C3">
      <w:pPr>
        <w:ind w:left="454"/>
        <w:rPr>
          <w:rFonts w:cs="Tahoma"/>
          <w:i/>
          <w:sz w:val="16"/>
        </w:rPr>
      </w:pPr>
      <w:hyperlink r:id="rId308" w:history="1">
        <w:r w:rsidRPr="00D8239A">
          <w:rPr>
            <w:rStyle w:val="Hyperlink"/>
            <w:rFonts w:cs="Tahoma"/>
            <w:i/>
            <w:sz w:val="16"/>
          </w:rPr>
          <w:t>http://www.czso.cz/csu/redakce.nsf/i/bibliometrie</w:t>
        </w:r>
      </w:hyperlink>
      <w:r w:rsidRPr="00D8239A">
        <w:rPr>
          <w:rFonts w:cs="Tahoma"/>
          <w:i/>
          <w:sz w:val="16"/>
        </w:rPr>
        <w:t xml:space="preserve"> </w:t>
      </w:r>
    </w:p>
    <w:p w:rsidR="009D46E6" w:rsidRPr="00D8239A" w:rsidRDefault="009D46E6" w:rsidP="00FE4AA7">
      <w:pPr>
        <w:spacing w:before="120"/>
        <w:ind w:left="238"/>
        <w:rPr>
          <w:rFonts w:cs="Tahoma"/>
        </w:rPr>
      </w:pPr>
      <w:r w:rsidRPr="00D8239A">
        <w:rPr>
          <w:rFonts w:cs="Tahoma"/>
        </w:rPr>
        <w:t>Technologická platební bilance</w:t>
      </w:r>
    </w:p>
    <w:p w:rsidR="009D46E6" w:rsidRPr="00D8239A" w:rsidRDefault="009D46E6" w:rsidP="008577C3">
      <w:pPr>
        <w:ind w:left="454"/>
        <w:rPr>
          <w:rFonts w:cs="Tahoma"/>
          <w:i/>
          <w:sz w:val="16"/>
        </w:rPr>
      </w:pPr>
      <w:hyperlink r:id="rId309" w:history="1">
        <w:r w:rsidRPr="00D8239A">
          <w:rPr>
            <w:rStyle w:val="Hyperlink"/>
            <w:rFonts w:cs="Tahoma"/>
            <w:i/>
            <w:sz w:val="16"/>
          </w:rPr>
          <w:t>www.czso.cz/csu/redakce.nsf/i/technologicke_platebni_bilance_zahranicni_obchod_s_technologickymi_sluzbami</w:t>
        </w:r>
      </w:hyperlink>
      <w:r w:rsidRPr="00D8239A">
        <w:rPr>
          <w:rFonts w:cs="Tahoma"/>
          <w:i/>
          <w:sz w:val="16"/>
        </w:rPr>
        <w:t xml:space="preserve"> </w:t>
      </w:r>
    </w:p>
    <w:p w:rsidR="009D46E6" w:rsidRPr="00866A68" w:rsidRDefault="009D46E6" w:rsidP="00866A68">
      <w:pPr>
        <w:spacing w:before="240"/>
        <w:rPr>
          <w:b/>
        </w:rPr>
      </w:pPr>
      <w:r>
        <w:rPr>
          <w:b/>
        </w:rPr>
        <w:t>Publikace</w:t>
      </w:r>
    </w:p>
    <w:p w:rsidR="009D46E6" w:rsidRPr="00D8239A" w:rsidRDefault="009D46E6" w:rsidP="008577C3">
      <w:pPr>
        <w:spacing w:before="60"/>
        <w:rPr>
          <w:rFonts w:cs="Tahoma"/>
        </w:rPr>
      </w:pPr>
      <w:r w:rsidRPr="00D8239A">
        <w:rPr>
          <w:rFonts w:cs="Tahoma"/>
          <w:i/>
          <w:iCs/>
        </w:rPr>
        <w:t xml:space="preserve">Publikace ČSÚ jsou volně dostupné na příslušných odkazech, nebo si je lze zakoupit v prodejně ČSÚ či prostřednictvím adresy </w:t>
      </w:r>
      <w:hyperlink r:id="rId310" w:history="1">
        <w:r w:rsidRPr="00D8239A">
          <w:rPr>
            <w:rStyle w:val="Hyperlink"/>
            <w:rFonts w:cs="Tahoma"/>
            <w:i/>
            <w:iCs/>
          </w:rPr>
          <w:t>objednavky@czso.cz</w:t>
        </w:r>
      </w:hyperlink>
      <w:r w:rsidRPr="00D8239A">
        <w:rPr>
          <w:rFonts w:cs="Tahoma"/>
          <w:i/>
          <w:iCs/>
        </w:rPr>
        <w:t xml:space="preserve">.  </w:t>
      </w:r>
      <w:r w:rsidRPr="00D8239A">
        <w:rPr>
          <w:rFonts w:cs="Tahoma"/>
        </w:rPr>
        <w:t xml:space="preserve"> </w:t>
      </w:r>
    </w:p>
    <w:p w:rsidR="009D46E6" w:rsidRPr="00D8239A" w:rsidRDefault="009D46E6" w:rsidP="00FE4AA7">
      <w:pPr>
        <w:spacing w:before="120"/>
        <w:ind w:left="238"/>
        <w:rPr>
          <w:rFonts w:cs="Tahoma"/>
        </w:rPr>
      </w:pPr>
      <w:r w:rsidRPr="00D8239A">
        <w:rPr>
          <w:rFonts w:cs="Tahoma"/>
        </w:rPr>
        <w:t>Statistická ročenka vědy, technologií a inovací, kód 1005-10</w:t>
      </w:r>
    </w:p>
    <w:p w:rsidR="009D46E6" w:rsidRPr="00D8239A" w:rsidRDefault="009D46E6" w:rsidP="008577C3">
      <w:pPr>
        <w:ind w:left="454"/>
        <w:rPr>
          <w:rFonts w:cs="Tahoma"/>
          <w:i/>
          <w:sz w:val="16"/>
        </w:rPr>
      </w:pPr>
      <w:hyperlink r:id="rId311" w:history="1">
        <w:r w:rsidRPr="00D8239A">
          <w:rPr>
            <w:rStyle w:val="Hyperlink"/>
            <w:rFonts w:cs="Tahoma"/>
            <w:i/>
            <w:sz w:val="16"/>
          </w:rPr>
          <w:t>http://www.czso.cz/csu/2010edicniplan.nsf/p/1005-10</w:t>
        </w:r>
      </w:hyperlink>
      <w:r w:rsidRPr="00D8239A">
        <w:rPr>
          <w:rFonts w:cs="Tahoma"/>
          <w:i/>
          <w:sz w:val="16"/>
        </w:rPr>
        <w:t xml:space="preserve"> </w:t>
      </w:r>
    </w:p>
    <w:p w:rsidR="009D46E6" w:rsidRPr="00D8239A" w:rsidRDefault="009D46E6" w:rsidP="00FE4AA7">
      <w:pPr>
        <w:spacing w:before="120"/>
        <w:ind w:left="238"/>
        <w:rPr>
          <w:rFonts w:cs="Tahoma"/>
        </w:rPr>
      </w:pPr>
      <w:r w:rsidRPr="00D8239A">
        <w:rPr>
          <w:rFonts w:cs="Tahoma"/>
        </w:rPr>
        <w:t>Ukazatele výzkumu a vývoje za rok 2012; kód 9601-13</w:t>
      </w:r>
    </w:p>
    <w:p w:rsidR="009D46E6" w:rsidRPr="00D8239A" w:rsidRDefault="009D46E6" w:rsidP="008577C3">
      <w:pPr>
        <w:ind w:left="454"/>
        <w:rPr>
          <w:rFonts w:cs="Tahoma"/>
          <w:i/>
          <w:sz w:val="16"/>
        </w:rPr>
      </w:pPr>
      <w:hyperlink r:id="rId312" w:history="1">
        <w:r w:rsidRPr="00D8239A">
          <w:rPr>
            <w:rStyle w:val="Hyperlink"/>
            <w:rFonts w:cs="Tahoma"/>
            <w:i/>
            <w:sz w:val="16"/>
          </w:rPr>
          <w:t>http://www.czso.cz/csu/2013edicniplan.nsf/publ/9601-13-r_2013</w:t>
        </w:r>
      </w:hyperlink>
      <w:r w:rsidRPr="00D8239A">
        <w:rPr>
          <w:rFonts w:cs="Tahoma"/>
          <w:i/>
          <w:sz w:val="16"/>
        </w:rPr>
        <w:t xml:space="preserve"> </w:t>
      </w:r>
    </w:p>
    <w:p w:rsidR="009D46E6" w:rsidRPr="00D8239A" w:rsidRDefault="009D46E6" w:rsidP="00FE4AA7">
      <w:pPr>
        <w:spacing w:before="120"/>
        <w:ind w:left="238"/>
        <w:rPr>
          <w:rFonts w:cs="Tahoma"/>
        </w:rPr>
      </w:pPr>
      <w:r w:rsidRPr="00D8239A">
        <w:rPr>
          <w:rFonts w:cs="Tahoma"/>
        </w:rPr>
        <w:t>Inovační aktivity podniků v České republice v letech 2008 až 2010; kód 9605-12</w:t>
      </w:r>
    </w:p>
    <w:p w:rsidR="009D46E6" w:rsidRPr="00D8239A" w:rsidRDefault="009D46E6" w:rsidP="008577C3">
      <w:pPr>
        <w:ind w:left="454"/>
        <w:rPr>
          <w:rFonts w:cs="Tahoma"/>
          <w:i/>
          <w:sz w:val="16"/>
        </w:rPr>
      </w:pPr>
      <w:hyperlink r:id="rId313" w:history="1">
        <w:r w:rsidRPr="00D8239A">
          <w:rPr>
            <w:rStyle w:val="Hyperlink"/>
            <w:rFonts w:cs="Tahoma"/>
            <w:i/>
            <w:sz w:val="16"/>
          </w:rPr>
          <w:t>http://www.czso.cz/csu/2012edicniplan.nsf/publ/9605-12-n_2012</w:t>
        </w:r>
      </w:hyperlink>
      <w:r w:rsidRPr="00D8239A">
        <w:rPr>
          <w:rFonts w:cs="Tahoma"/>
          <w:i/>
          <w:sz w:val="16"/>
        </w:rPr>
        <w:t xml:space="preserve"> </w:t>
      </w:r>
    </w:p>
    <w:p w:rsidR="009D46E6" w:rsidRPr="00D8239A" w:rsidRDefault="009D46E6" w:rsidP="00FE4AA7">
      <w:pPr>
        <w:spacing w:before="120"/>
        <w:ind w:left="238"/>
        <w:rPr>
          <w:rFonts w:cs="Tahoma"/>
        </w:rPr>
      </w:pPr>
      <w:r w:rsidRPr="00D8239A">
        <w:rPr>
          <w:rFonts w:cs="Tahoma"/>
        </w:rPr>
        <w:t>Licence v ČR v roce 2012; kód 9607-13</w:t>
      </w:r>
    </w:p>
    <w:p w:rsidR="009D46E6" w:rsidRPr="00D8239A" w:rsidRDefault="009D46E6" w:rsidP="008577C3">
      <w:pPr>
        <w:ind w:left="454"/>
        <w:rPr>
          <w:rFonts w:cs="Tahoma"/>
          <w:i/>
          <w:sz w:val="16"/>
        </w:rPr>
      </w:pPr>
      <w:hyperlink r:id="rId314" w:history="1">
        <w:r w:rsidRPr="00D8239A">
          <w:rPr>
            <w:rStyle w:val="Hyperlink"/>
            <w:rFonts w:cs="Tahoma"/>
            <w:i/>
            <w:sz w:val="16"/>
          </w:rPr>
          <w:t>http://www.czso.cz/csu/2013edicniplan.nsf/publ/9607-13-r_2013</w:t>
        </w:r>
      </w:hyperlink>
      <w:r w:rsidRPr="00D8239A">
        <w:rPr>
          <w:rFonts w:cs="Tahoma"/>
          <w:i/>
          <w:sz w:val="16"/>
        </w:rPr>
        <w:t xml:space="preserve"> </w:t>
      </w:r>
    </w:p>
    <w:p w:rsidR="009D46E6" w:rsidRPr="00D8239A" w:rsidRDefault="009D46E6" w:rsidP="00FE4AA7">
      <w:pPr>
        <w:spacing w:before="120"/>
        <w:ind w:left="238"/>
        <w:rPr>
          <w:rFonts w:cs="Tahoma"/>
        </w:rPr>
      </w:pPr>
      <w:r w:rsidRPr="00D8239A">
        <w:rPr>
          <w:rFonts w:cs="Tahoma"/>
        </w:rPr>
        <w:t>Státní rozpočtové výdaje a dotace na výzkum a vývoj (GBAORD) v ČR; kód 9611-13</w:t>
      </w:r>
    </w:p>
    <w:p w:rsidR="009D46E6" w:rsidRPr="00D8239A" w:rsidRDefault="009D46E6" w:rsidP="008577C3">
      <w:pPr>
        <w:ind w:left="454"/>
        <w:rPr>
          <w:rFonts w:cs="Tahoma"/>
          <w:i/>
          <w:sz w:val="16"/>
        </w:rPr>
      </w:pPr>
      <w:hyperlink r:id="rId315" w:history="1">
        <w:r w:rsidRPr="00D8239A">
          <w:rPr>
            <w:rStyle w:val="Hyperlink"/>
            <w:rFonts w:cs="Tahoma"/>
            <w:i/>
            <w:sz w:val="16"/>
          </w:rPr>
          <w:t>http://www.czso.cz/csu/2013edicniplan.nsf/publ/9611-13-r_2013</w:t>
        </w:r>
      </w:hyperlink>
      <w:r w:rsidRPr="00D8239A">
        <w:rPr>
          <w:rFonts w:cs="Tahoma"/>
          <w:i/>
          <w:sz w:val="16"/>
        </w:rPr>
        <w:t xml:space="preserve"> </w:t>
      </w:r>
    </w:p>
    <w:p w:rsidR="009D46E6" w:rsidRPr="00866A68" w:rsidRDefault="009D46E6" w:rsidP="00866A68">
      <w:pPr>
        <w:spacing w:before="240"/>
        <w:rPr>
          <w:b/>
        </w:rPr>
      </w:pPr>
      <w:r w:rsidRPr="00866A68">
        <w:rPr>
          <w:b/>
        </w:rPr>
        <w:t>Ostatní publikace ob</w:t>
      </w:r>
      <w:r>
        <w:rPr>
          <w:b/>
        </w:rPr>
        <w:t>sahující kapitoly z oblasti VTI</w:t>
      </w:r>
    </w:p>
    <w:p w:rsidR="009D46E6" w:rsidRPr="00D8239A" w:rsidRDefault="009D46E6" w:rsidP="00FE4AA7">
      <w:pPr>
        <w:spacing w:before="120"/>
        <w:ind w:left="238"/>
        <w:rPr>
          <w:rFonts w:cs="Tahoma"/>
        </w:rPr>
      </w:pPr>
      <w:r w:rsidRPr="00D8239A">
        <w:rPr>
          <w:rFonts w:cs="Tahoma"/>
        </w:rPr>
        <w:t>Statistická ročenka České republiky 2013 - Kapitola 22. Věda  a výzkum; Kód 0001-13</w:t>
      </w:r>
    </w:p>
    <w:p w:rsidR="009D46E6" w:rsidRPr="00D8239A" w:rsidRDefault="009D46E6" w:rsidP="008577C3">
      <w:pPr>
        <w:ind w:left="454"/>
        <w:rPr>
          <w:rStyle w:val="Hyperlink"/>
          <w:rFonts w:cs="Tahoma"/>
          <w:i/>
          <w:sz w:val="16"/>
        </w:rPr>
      </w:pPr>
      <w:r w:rsidRPr="00D8239A">
        <w:rPr>
          <w:rStyle w:val="Hyperlink"/>
          <w:rFonts w:cs="Tahoma"/>
          <w:i/>
          <w:sz w:val="16"/>
        </w:rPr>
        <w:t>http://www.czso.cz/csu/2013edicniplan.nsf/publ/0001-13-r_2013</w:t>
      </w:r>
    </w:p>
    <w:p w:rsidR="009D46E6" w:rsidRPr="00D8239A" w:rsidRDefault="009D46E6" w:rsidP="00FE4AA7">
      <w:pPr>
        <w:spacing w:before="120"/>
        <w:ind w:left="238"/>
        <w:rPr>
          <w:rFonts w:cs="Tahoma"/>
        </w:rPr>
      </w:pPr>
      <w:r w:rsidRPr="00D8239A">
        <w:rPr>
          <w:rFonts w:cs="Tahoma"/>
        </w:rPr>
        <w:t>Krajské ročenky - Kapitola 19. Věda a výzkum</w:t>
      </w:r>
    </w:p>
    <w:p w:rsidR="009D46E6" w:rsidRPr="00D8239A" w:rsidRDefault="009D46E6" w:rsidP="008577C3">
      <w:pPr>
        <w:ind w:left="454"/>
        <w:rPr>
          <w:rFonts w:cs="Tahoma"/>
          <w:i/>
          <w:sz w:val="16"/>
        </w:rPr>
      </w:pPr>
      <w:hyperlink r:id="rId316" w:anchor="10a" w:history="1">
        <w:r w:rsidRPr="00D8239A">
          <w:rPr>
            <w:rStyle w:val="Hyperlink"/>
            <w:rFonts w:cs="Tahoma"/>
            <w:i/>
            <w:sz w:val="16"/>
          </w:rPr>
          <w:t>http://www.czso.cz/csu/edicniplan.nsf/aktual/ep-1#10a</w:t>
        </w:r>
      </w:hyperlink>
      <w:r w:rsidRPr="00D8239A">
        <w:rPr>
          <w:rFonts w:cs="Tahoma"/>
          <w:i/>
          <w:sz w:val="16"/>
        </w:rPr>
        <w:t xml:space="preserve"> </w:t>
      </w:r>
    </w:p>
    <w:p w:rsidR="009D46E6" w:rsidRPr="00D8239A" w:rsidRDefault="009D46E6" w:rsidP="00FE4AA7">
      <w:pPr>
        <w:spacing w:before="120"/>
        <w:ind w:left="238"/>
        <w:rPr>
          <w:rFonts w:cs="Tahoma"/>
        </w:rPr>
      </w:pPr>
      <w:r w:rsidRPr="00D8239A">
        <w:rPr>
          <w:rFonts w:cs="Tahoma"/>
        </w:rPr>
        <w:t>Zaostřeno na ženy a muže 2013 - Kapitola 8. Věda a technologie; Kód 1413-12</w:t>
      </w:r>
    </w:p>
    <w:p w:rsidR="009D46E6" w:rsidRPr="00D8239A" w:rsidRDefault="009D46E6" w:rsidP="008577C3">
      <w:pPr>
        <w:ind w:left="454"/>
        <w:rPr>
          <w:rFonts w:cs="Tahoma"/>
          <w:i/>
          <w:sz w:val="16"/>
        </w:rPr>
      </w:pPr>
      <w:hyperlink r:id="rId317" w:history="1">
        <w:r w:rsidRPr="00D8239A">
          <w:rPr>
            <w:rStyle w:val="Hyperlink"/>
            <w:rFonts w:cs="Tahoma"/>
            <w:i/>
            <w:sz w:val="16"/>
          </w:rPr>
          <w:t>http://www.czso.cz/csu/2012edicniplan.nsf/publ/1413-13-r_2013</w:t>
        </w:r>
      </w:hyperlink>
    </w:p>
    <w:p w:rsidR="009D46E6" w:rsidRDefault="009D46E6">
      <w:pPr>
        <w:spacing w:before="200" w:after="200" w:line="276" w:lineRule="auto"/>
        <w:jc w:val="left"/>
        <w:rPr>
          <w:b/>
          <w:spacing w:val="15"/>
          <w:sz w:val="24"/>
          <w:szCs w:val="22"/>
        </w:rPr>
      </w:pPr>
    </w:p>
    <w:p w:rsidR="009D46E6" w:rsidRDefault="009D46E6" w:rsidP="00BB7B84">
      <w:pPr>
        <w:pStyle w:val="Heading2"/>
      </w:pPr>
      <w:bookmarkStart w:id="274" w:name="_Toc369091918"/>
      <w:r>
        <w:t>Tabulkové přílohy</w:t>
      </w:r>
      <w:bookmarkEnd w:id="269"/>
      <w:bookmarkEnd w:id="274"/>
    </w:p>
    <w:p w:rsidR="009D46E6" w:rsidRDefault="009D46E6" w:rsidP="00AE539D">
      <w:bookmarkStart w:id="275" w:name="_Toc340128971"/>
      <w:r>
        <w:t xml:space="preserve">Kompletní tabulkové přílohy jsou k dispozici v elektronické podobě na adrese </w:t>
      </w:r>
      <w:hyperlink r:id="rId318" w:history="1">
        <w:r w:rsidRPr="008D0822">
          <w:rPr>
            <w:rStyle w:val="Hyperlink"/>
            <w:rFonts w:cs="MetaPro-Normal"/>
          </w:rPr>
          <w:t>www.vyzkum.cz</w:t>
        </w:r>
      </w:hyperlink>
      <w:r>
        <w:t>.</w:t>
      </w:r>
      <w:bookmarkEnd w:id="275"/>
    </w:p>
    <w:p w:rsidR="009D46E6" w:rsidRDefault="009D46E6" w:rsidP="00AE539D"/>
    <w:tbl>
      <w:tblPr>
        <w:tblW w:w="9639" w:type="dxa"/>
        <w:jc w:val="center"/>
        <w:tblLayout w:type="fixed"/>
        <w:tblCellMar>
          <w:top w:w="6" w:type="dxa"/>
          <w:bottom w:w="6" w:type="dxa"/>
        </w:tblCellMar>
        <w:tblLook w:val="00A0"/>
      </w:tblPr>
      <w:tblGrid>
        <w:gridCol w:w="236"/>
        <w:gridCol w:w="1010"/>
        <w:gridCol w:w="8393"/>
      </w:tblGrid>
      <w:tr w:rsidR="009D46E6" w:rsidRPr="00DB1559" w:rsidTr="00DB1559">
        <w:trPr>
          <w:trHeight w:val="240"/>
          <w:jc w:val="center"/>
        </w:trPr>
        <w:tc>
          <w:tcPr>
            <w:tcW w:w="8505" w:type="dxa"/>
            <w:gridSpan w:val="3"/>
            <w:noWrap/>
          </w:tcPr>
          <w:p w:rsidR="009D46E6" w:rsidRPr="00DB1559" w:rsidRDefault="009D46E6" w:rsidP="00DB1559">
            <w:pPr>
              <w:spacing w:after="0" w:line="240" w:lineRule="auto"/>
              <w:rPr>
                <w:rFonts w:cs="Tahoma"/>
                <w:b/>
                <w:bCs/>
                <w:sz w:val="16"/>
                <w:szCs w:val="16"/>
              </w:rPr>
            </w:pPr>
            <w:r w:rsidRPr="00DB1559">
              <w:rPr>
                <w:rFonts w:cs="Tahoma"/>
                <w:b/>
                <w:bCs/>
                <w:sz w:val="16"/>
                <w:szCs w:val="16"/>
              </w:rPr>
              <w:t>KAPITOLA 0: MAKROEKONOMICKÝ RÁMEC ANALÝZY VÝZKUMU, VÝVOJE A INOVACÍ</w:t>
            </w:r>
          </w:p>
        </w:tc>
      </w:tr>
      <w:tr w:rsidR="009D46E6" w:rsidRPr="00DB1559" w:rsidTr="00DB1559">
        <w:trPr>
          <w:trHeight w:val="79"/>
          <w:jc w:val="center"/>
        </w:trPr>
        <w:tc>
          <w:tcPr>
            <w:tcW w:w="113" w:type="dxa"/>
            <w:noWrap/>
          </w:tcPr>
          <w:p w:rsidR="009D46E6" w:rsidRPr="00DB1559" w:rsidRDefault="009D46E6" w:rsidP="00DB1559">
            <w:pPr>
              <w:spacing w:after="0" w:line="240" w:lineRule="auto"/>
              <w:rPr>
                <w:rFonts w:cs="Tahoma"/>
                <w:b/>
                <w:bCs/>
                <w:sz w:val="16"/>
                <w:szCs w:val="16"/>
              </w:rPr>
            </w:pPr>
          </w:p>
        </w:tc>
        <w:tc>
          <w:tcPr>
            <w:tcW w:w="1021" w:type="dxa"/>
            <w:noWrap/>
          </w:tcPr>
          <w:p w:rsidR="009D46E6" w:rsidRPr="00DB1559" w:rsidRDefault="009D46E6" w:rsidP="00DB1559">
            <w:pPr>
              <w:spacing w:after="0" w:line="240" w:lineRule="auto"/>
              <w:rPr>
                <w:rFonts w:cs="Tahoma"/>
                <w:sz w:val="16"/>
                <w:szCs w:val="16"/>
              </w:rPr>
            </w:pPr>
          </w:p>
        </w:tc>
        <w:tc>
          <w:tcPr>
            <w:tcW w:w="8505" w:type="dxa"/>
            <w:noWrap/>
          </w:tcPr>
          <w:p w:rsidR="009D46E6" w:rsidRPr="00DB1559" w:rsidRDefault="009D46E6" w:rsidP="00DB1559">
            <w:pPr>
              <w:spacing w:after="0" w:line="240" w:lineRule="auto"/>
              <w:rPr>
                <w:rFonts w:cs="Tahoma"/>
                <w:sz w:val="16"/>
                <w:szCs w:val="16"/>
              </w:rPr>
            </w:pP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8505" w:type="dxa"/>
            <w:gridSpan w:val="2"/>
            <w:noWrap/>
          </w:tcPr>
          <w:p w:rsidR="009D46E6" w:rsidRPr="00DB1559" w:rsidRDefault="009D46E6" w:rsidP="00DB1559">
            <w:pPr>
              <w:spacing w:after="0" w:line="240" w:lineRule="auto"/>
              <w:rPr>
                <w:rFonts w:cs="Tahoma"/>
                <w:b/>
                <w:bCs/>
                <w:sz w:val="16"/>
                <w:szCs w:val="16"/>
              </w:rPr>
            </w:pPr>
            <w:r w:rsidRPr="00DB1559">
              <w:rPr>
                <w:rFonts w:cs="Tahoma"/>
                <w:b/>
                <w:bCs/>
                <w:sz w:val="16"/>
                <w:szCs w:val="16"/>
              </w:rPr>
              <w:t>Hlavní makroekonomické ukazatele -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Tab.0.1a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Obyvatelstvo, HDP, veřejné rozpočty, zahraniční obchod a ceny</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Tab.0.1b</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Trh práce</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Tab.0.1c</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Vzdělávání , věda a výzkum</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p>
        </w:tc>
        <w:tc>
          <w:tcPr>
            <w:tcW w:w="8505" w:type="dxa"/>
            <w:noWrap/>
          </w:tcPr>
          <w:p w:rsidR="009D46E6" w:rsidRPr="00DB1559" w:rsidRDefault="009D46E6" w:rsidP="00DB1559">
            <w:pPr>
              <w:spacing w:after="0" w:line="240" w:lineRule="auto"/>
              <w:rPr>
                <w:rFonts w:cs="Tahoma"/>
                <w:sz w:val="16"/>
                <w:szCs w:val="16"/>
              </w:rPr>
            </w:pP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8505" w:type="dxa"/>
            <w:gridSpan w:val="2"/>
            <w:noWrap/>
          </w:tcPr>
          <w:p w:rsidR="009D46E6" w:rsidRPr="00DB1559" w:rsidRDefault="009D46E6" w:rsidP="00DB1559">
            <w:pPr>
              <w:spacing w:after="0" w:line="240" w:lineRule="auto"/>
              <w:rPr>
                <w:rFonts w:cs="Tahoma"/>
                <w:b/>
                <w:bCs/>
                <w:sz w:val="16"/>
                <w:szCs w:val="16"/>
              </w:rPr>
            </w:pPr>
            <w:r w:rsidRPr="00DB1559">
              <w:rPr>
                <w:rFonts w:cs="Tahoma"/>
                <w:b/>
                <w:bCs/>
                <w:sz w:val="16"/>
                <w:szCs w:val="16"/>
              </w:rPr>
              <w:t>Hlavní makroekonomické ukazatele - mezinárodní srovnání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Tab.0.2</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HDP na 1 obyvatele ve standardech kupní síly (PPS)</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Tab.0.3</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Míra růstu reálného HDP</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Tab.0.4</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Produktivita práce na 1 zaměstnanou osobu</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Tab.0.5</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Vládní (veřejný) dluh</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Tab.0.6</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Přímé zahraniční investice</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Tab.0.7</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Míra inflace</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Tab.0.8</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Komparativní cenové úrovně</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Tab.0.9</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Míra zaměstnanosti</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Tab.0.10</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Míra nezaměstnanosti</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Tab.0.11</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Míra dlouhodobé nezaměstnanosti</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Tab.0.12</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Veřejné výdaje na vzdělávání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Tab.0.13</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Energetická náročnost hospodářství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p>
        </w:tc>
        <w:tc>
          <w:tcPr>
            <w:tcW w:w="8505" w:type="dxa"/>
            <w:noWrap/>
          </w:tcPr>
          <w:p w:rsidR="009D46E6" w:rsidRPr="00DB1559" w:rsidRDefault="009D46E6" w:rsidP="00DB1559">
            <w:pPr>
              <w:spacing w:after="0" w:line="240" w:lineRule="auto"/>
              <w:rPr>
                <w:rFonts w:cs="Tahoma"/>
                <w:sz w:val="16"/>
                <w:szCs w:val="16"/>
              </w:rPr>
            </w:pPr>
          </w:p>
        </w:tc>
      </w:tr>
      <w:tr w:rsidR="009D46E6" w:rsidRPr="00DB1559" w:rsidTr="00DB1559">
        <w:trPr>
          <w:trHeight w:val="240"/>
          <w:jc w:val="center"/>
        </w:trPr>
        <w:tc>
          <w:tcPr>
            <w:tcW w:w="8505" w:type="dxa"/>
            <w:gridSpan w:val="3"/>
            <w:noWrap/>
          </w:tcPr>
          <w:p w:rsidR="009D46E6" w:rsidRPr="00DB1559" w:rsidRDefault="009D46E6" w:rsidP="00DB1559">
            <w:pPr>
              <w:spacing w:after="0" w:line="240" w:lineRule="auto"/>
              <w:rPr>
                <w:rFonts w:cs="Tahoma"/>
                <w:b/>
                <w:bCs/>
                <w:sz w:val="16"/>
                <w:szCs w:val="16"/>
              </w:rPr>
            </w:pPr>
            <w:r w:rsidRPr="00DB1559">
              <w:rPr>
                <w:rFonts w:cs="Tahoma"/>
                <w:b/>
                <w:bCs/>
                <w:sz w:val="16"/>
                <w:szCs w:val="16"/>
              </w:rPr>
              <w:t>KAPITOLA A: INVESTICE DO VÝZKUMU A VÝVOJE</w:t>
            </w:r>
          </w:p>
        </w:tc>
      </w:tr>
      <w:tr w:rsidR="009D46E6" w:rsidRPr="00DB1559" w:rsidTr="00DB1559">
        <w:trPr>
          <w:trHeight w:val="79"/>
          <w:jc w:val="center"/>
        </w:trPr>
        <w:tc>
          <w:tcPr>
            <w:tcW w:w="113" w:type="dxa"/>
            <w:noWrap/>
          </w:tcPr>
          <w:p w:rsidR="009D46E6" w:rsidRPr="00DB1559" w:rsidRDefault="009D46E6" w:rsidP="00DB1559">
            <w:pPr>
              <w:spacing w:after="0" w:line="240" w:lineRule="auto"/>
              <w:rPr>
                <w:rFonts w:cs="Tahoma"/>
                <w:b/>
                <w:bCs/>
                <w:sz w:val="16"/>
                <w:szCs w:val="16"/>
              </w:rPr>
            </w:pPr>
          </w:p>
        </w:tc>
        <w:tc>
          <w:tcPr>
            <w:tcW w:w="1021" w:type="dxa"/>
            <w:noWrap/>
          </w:tcPr>
          <w:p w:rsidR="009D46E6" w:rsidRPr="00DB1559" w:rsidRDefault="009D46E6" w:rsidP="00DB1559">
            <w:pPr>
              <w:spacing w:after="0" w:line="240" w:lineRule="auto"/>
              <w:rPr>
                <w:rFonts w:cs="Tahoma"/>
                <w:sz w:val="16"/>
                <w:szCs w:val="16"/>
              </w:rPr>
            </w:pPr>
          </w:p>
        </w:tc>
        <w:tc>
          <w:tcPr>
            <w:tcW w:w="8505" w:type="dxa"/>
            <w:noWrap/>
          </w:tcPr>
          <w:p w:rsidR="009D46E6" w:rsidRPr="00DB1559" w:rsidRDefault="009D46E6" w:rsidP="00DB1559">
            <w:pPr>
              <w:spacing w:after="0" w:line="240" w:lineRule="auto"/>
              <w:rPr>
                <w:rFonts w:cs="Tahoma"/>
                <w:sz w:val="16"/>
                <w:szCs w:val="16"/>
              </w:rPr>
            </w:pP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8505" w:type="dxa"/>
            <w:gridSpan w:val="2"/>
            <w:noWrap/>
          </w:tcPr>
          <w:p w:rsidR="009D46E6" w:rsidRPr="00DB1559" w:rsidRDefault="009D46E6" w:rsidP="00DB1559">
            <w:pPr>
              <w:spacing w:after="0" w:line="240" w:lineRule="auto"/>
              <w:rPr>
                <w:rFonts w:cs="Tahoma"/>
                <w:b/>
                <w:bCs/>
                <w:sz w:val="16"/>
                <w:szCs w:val="16"/>
              </w:rPr>
            </w:pPr>
            <w:r w:rsidRPr="00DB1559">
              <w:rPr>
                <w:rFonts w:cs="Tahoma"/>
                <w:b/>
                <w:bCs/>
                <w:sz w:val="16"/>
                <w:szCs w:val="16"/>
              </w:rPr>
              <w:t>A.1 Celkové výdaje na výzkum a vývoj -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A.1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Celkové výdaje za VaV provedený na území ČR (GERD)</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A.1a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Neinvestiční náklady za VaV provedený na území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A.2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Celkové výdaje za VaV provedený v ČR financované z veřejných zdrojů </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A.2a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Celkové výdaje za VaV provedený v ČR financované z domácích veřejných zdrojů</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A.2b</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Celkové výdaje za VaV provedený v ČR financované ze zahraničních veřejných zdrojů</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A.3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Celkové výdaje za VaV provedený v ČR financované ze soukromých zdrojů</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A.3a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Celkové výdaje za VaV provedený v ČR financované z domácích soukromých zdrojů</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A.3b</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Celkové výdaje za VaV provedený v ČR financované ze zahraničních soukromých zdrojů</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A.4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Výdaje za VaV provedený ve vládním a vysokoškolském (veřejném) sektoru v ČR celkem</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A.4a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Výdaje za VaV provedený ve vládním sektoru v ČR (GOVERD)</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A.4b</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Výdaje za VaV provedený ve vysokoškolském sektoru v ČR (HERD)</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A.5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Výdaje za VaV provedený v podnikatelském sektoru v ČR (BERD) celkem</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A.5a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Výdaje za VaV provedený v soukromých domácích podnicích v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A.5b</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Výdaje za VaV provedený v soukromých podnicích pod zahraniční kontrolou v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A.6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Výdaje za VaV provedený v podnikatelském sektoru v ČR celkem podle vlastnictví, velikosti a odvětví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A.6a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Výdaje za VaV provedený v soukromých domácích podnicích v ČR podle velikosti a odvětví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A.6b</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Výdaje za VaV provedený v podnicích pod zahraniční kontrolou v ČR podle velikosti a odvětví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A.7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Celkový počet pracovišť provádějících VaV v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A.7a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Celkový počet samostatných ekonomických subjektů provádějících VaV v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A.8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Počet pracovišť provádějících VaV ve vládním a vyokoškolském (veřejném) sektoru v ČR celkem</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A.8a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očet pracovišť provádějících VaV ve vládním sektoru v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A.8b</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Počet pracovišť provádějících VaV ve vysokoškolském sektoru v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A.9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Počet pracovišť provádějících VaV v podnikatelském sektoru v ČR celkem</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A.10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Počet pracovišť VaV v podnikatelském sektoru v ČR celkem podle vlastnictví, velikosti a odvětví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A.10a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Počet pracovišť VaV v soukromých domácích podnicích v ČR podle velikosti a odvětví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A.10b</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Počet pracovišť VaV v podnicích pod zahraniční kontrolou v ČR podle velikosti a odvětví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A.11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Celkové náklady na služby VaV* subjektů provádějících VaV v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A.12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Náklady na služby VaV* subjektů provádějících VaV ve vládním a vysokoškolském sektoru v ČR celkem</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A.13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Náklady na služby VaV* podniků provádějících VaV v ČR celkem podle vlastnictví, velikosti a odvětví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A.13a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Náklady na služby VaV* soukromých domácích podniků v ČR podle velikosti a odvětví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A.13b</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Náklady na služby VaV* podniků pod zahraniční kontrolou v ČR podle velikosti a odvětví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A.14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Celkový počet pracovišť VaV v ČR s náklady na služby VaV*</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A.15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Počet podniků v ČR s náklady na služby VaV* celkem podle vlastnictví, velikosti a odvětví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A.15a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Počet soukromých domácích podniků v ČR s náklady na služby VaV* podle velikosti a odvětví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A.15b</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Počet podniků pod zahraniční kontrolou v ČR s náklady na služby VaV* podle velikosti a odvětví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p>
        </w:tc>
        <w:tc>
          <w:tcPr>
            <w:tcW w:w="8505" w:type="dxa"/>
            <w:noWrap/>
          </w:tcPr>
          <w:p w:rsidR="009D46E6" w:rsidRPr="00DB1559" w:rsidRDefault="009D46E6" w:rsidP="00DB1559">
            <w:pPr>
              <w:spacing w:after="0" w:line="240" w:lineRule="auto"/>
              <w:rPr>
                <w:rFonts w:cs="Tahoma"/>
                <w:sz w:val="16"/>
                <w:szCs w:val="16"/>
              </w:rPr>
            </w:pP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8505" w:type="dxa"/>
            <w:gridSpan w:val="2"/>
            <w:noWrap/>
          </w:tcPr>
          <w:p w:rsidR="009D46E6" w:rsidRPr="00DB1559" w:rsidRDefault="009D46E6" w:rsidP="00DB1559">
            <w:pPr>
              <w:spacing w:after="0" w:line="240" w:lineRule="auto"/>
              <w:rPr>
                <w:rFonts w:cs="Tahoma"/>
                <w:b/>
                <w:bCs/>
                <w:sz w:val="16"/>
                <w:szCs w:val="16"/>
              </w:rPr>
            </w:pPr>
            <w:r w:rsidRPr="00DB1559">
              <w:rPr>
                <w:rFonts w:cs="Tahoma"/>
                <w:b/>
                <w:bCs/>
                <w:sz w:val="16"/>
                <w:szCs w:val="16"/>
              </w:rPr>
              <w:t>A.1 Celkové výdaje na výzkum a vývoj - mezinárodní srovnání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A.16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Celkové výdaje na výzkum a vývoj (GERD) - základní ukazatele</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A.16a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Celkové výdaje na výzkum a vývoj podle hlavních zdrojů jejich financování </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A.16b</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Celkové výdaje na výzkum a vývoj podle hlavních sektorů jejich užití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A.17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Výdaje na výzkum a vývoj financované ze soukromých (podnikatelských) domácích zdrojů - základní ukazatele</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A.17a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Výdaje na výzkum a vývoj financované ze soukromých (podnikatelských) domácích zdrojů - podle hlavních sektorů jejich užití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A18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Výdaje na výzkum a vývoj financované ze zahraničních zdrojů - základní ukazatele</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A.18a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Výdaje na výzkum a vývoj financované ze zahraničních zdrojů - podle hlavních sektorů jejich užití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A.19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Výdaje za výzkum a vývoj uskutečněný ve vládním sektoru (GOVERD) - základní ukazatele</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A.19a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Výdaje za výzkum a vývoj uskutečněný ve vládním sektoru (GOVERD) v roce 2010 nebo za poslední dostupný rok podle vybraných charakteristik</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A.20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Výdaje za výzkum a vývoj uskutečněný ve vysokoškolském sektoru (HERD) - základní ukazatele</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A.20a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Výdaje za výzkum a vývoj uskutečněný ve vysokoškolském sektoru (HERD) v roce 2010 nebo za poslední dostupný rok podle vybraných charakteristik</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A.21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Výdaje za výzkum a vývoj uskutečněný v podnikatelské sektoru (BERD) - základní ukazatele</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A.21a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Výdaje za výzkum a vývoj uskutečněný v podnikatelském sektoru (BERD) podle vybraných charakteristik, 2010 nebo poslední dostupný rok</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b/>
                <w:bCs/>
                <w:i/>
                <w:iCs/>
                <w:sz w:val="16"/>
                <w:szCs w:val="16"/>
              </w:rPr>
            </w:pPr>
          </w:p>
        </w:tc>
        <w:tc>
          <w:tcPr>
            <w:tcW w:w="8505" w:type="dxa"/>
            <w:noWrap/>
          </w:tcPr>
          <w:p w:rsidR="009D46E6" w:rsidRPr="00DB1559" w:rsidRDefault="009D46E6" w:rsidP="00DB1559">
            <w:pPr>
              <w:spacing w:after="0" w:line="240" w:lineRule="auto"/>
              <w:rPr>
                <w:rFonts w:cs="Tahoma"/>
                <w:sz w:val="16"/>
                <w:szCs w:val="16"/>
              </w:rPr>
            </w:pP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8505" w:type="dxa"/>
            <w:gridSpan w:val="2"/>
            <w:noWrap/>
          </w:tcPr>
          <w:p w:rsidR="009D46E6" w:rsidRPr="00DB1559" w:rsidRDefault="009D46E6" w:rsidP="00DB1559">
            <w:pPr>
              <w:spacing w:after="0" w:line="240" w:lineRule="auto"/>
              <w:rPr>
                <w:rFonts w:cs="Tahoma"/>
                <w:b/>
                <w:bCs/>
                <w:sz w:val="16"/>
                <w:szCs w:val="16"/>
              </w:rPr>
            </w:pPr>
            <w:r w:rsidRPr="00DB1559">
              <w:rPr>
                <w:rFonts w:cs="Tahoma"/>
                <w:b/>
                <w:bCs/>
                <w:sz w:val="16"/>
                <w:szCs w:val="16"/>
              </w:rPr>
              <w:t>A.1 Spolupráce mezi sektory v oblasti VaV v ČR za rok 2012</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b/>
                <w:bCs/>
                <w:i/>
                <w:iCs/>
                <w:sz w:val="16"/>
                <w:szCs w:val="16"/>
              </w:rPr>
            </w:pPr>
          </w:p>
        </w:tc>
        <w:tc>
          <w:tcPr>
            <w:tcW w:w="8505" w:type="dxa"/>
            <w:noWrap/>
          </w:tcPr>
          <w:p w:rsidR="009D46E6" w:rsidRPr="00DB1559" w:rsidRDefault="009D46E6" w:rsidP="00DB1559">
            <w:pPr>
              <w:spacing w:after="0" w:line="240" w:lineRule="auto"/>
              <w:rPr>
                <w:rFonts w:cs="Tahoma"/>
                <w:sz w:val="16"/>
                <w:szCs w:val="16"/>
              </w:rPr>
            </w:pP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8505" w:type="dxa"/>
            <w:gridSpan w:val="2"/>
            <w:noWrap/>
          </w:tcPr>
          <w:p w:rsidR="009D46E6" w:rsidRPr="00DB1559" w:rsidRDefault="009D46E6" w:rsidP="00DB1559">
            <w:pPr>
              <w:spacing w:after="0" w:line="240" w:lineRule="auto"/>
              <w:rPr>
                <w:rFonts w:cs="Tahoma"/>
                <w:b/>
                <w:bCs/>
                <w:sz w:val="16"/>
                <w:szCs w:val="16"/>
              </w:rPr>
            </w:pPr>
            <w:r w:rsidRPr="00DB1559">
              <w:rPr>
                <w:rFonts w:cs="Tahoma"/>
                <w:b/>
                <w:bCs/>
                <w:sz w:val="16"/>
                <w:szCs w:val="16"/>
              </w:rPr>
              <w:t>A.2 Přímá podpora výzkumu a vývoje ze státního rozpočtu -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A.22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Celková přímá podpora VaV ze státního rozpočtu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A.22a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Institucionální podpora VaV ze státního rozpočtu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A.22b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Účelová podpora VaV ze státního rozpočtu ČR </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A.23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Celková podpora VaV na veřejných a státních vysokých školách ze státního rozpočtu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A.23a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Účelová podpora VaV na veřejných a státních vysokých školách ze státního rozpočtu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A.24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Celková podpora VaV ve veřejných výzkumných institucích ze státního rozpočtu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A.24a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Účelová podpora VaV ve veřejných výzkumných institucích ze státního rozpočtu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A.25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Celková podpora VaV v jednotlivých ústavech AV ČR ze státního rozpočtu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A.25a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Účelová podpora VaV v jednotlivých ústavech AV ČR ze státního rozpočtu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A.26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Celková podpora VaV v ostatních vládních, veřejných a soukromých neziskových organizací ze státního rozpočtu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A.26a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Účelová podpora VaV v ostatních vládních, veřejných a soukromých neziskových organizací ze státního rozpočtu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A.27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Celková podpora VaV v podnicích ze státního rozpočtu ČR </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A.27a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Celková podpora VaV v soukromých domácích podnicích ze státního rozpočtu ČR </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A.27b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Celková podpora VaV v soukromých podnicích pod zahraniční kontrolou ze státního rozpočtu ČR </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A.28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Celková přímá podpora VaV v podnicích ze státního rozpočtu ČR podle vlastnictví, velikosti a odvětví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A.28a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Celková podpora VaV v soukromých domácích podnicích ze státního rozpočtu ČR podle vlastnictví, velikosti a odvětví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A.28b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Celková podpora VaV v soukromých podnicích pod zahraniční kontrolou ze státního rozpočtu ČR podle vlastnictví, velikosti a odvětví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A.29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Celkový počet příjemců přímé podpory VaV ze státního rozpočtu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A.29a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Celkový počet příjemců institucionální podpory VaV ze státního rozpočtu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A.29b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Celkový počet příjemců účelové podpory VaV ze státního rozpočtu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A.30</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Počet příjemců přímé podpory VaV v podnicích ze státního rozpočtu ČR podle vlastnictví, velikosti a odvětví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p>
        </w:tc>
        <w:tc>
          <w:tcPr>
            <w:tcW w:w="8505" w:type="dxa"/>
            <w:noWrap/>
          </w:tcPr>
          <w:p w:rsidR="009D46E6" w:rsidRPr="00DB1559" w:rsidRDefault="009D46E6" w:rsidP="00DB1559">
            <w:pPr>
              <w:spacing w:after="0" w:line="240" w:lineRule="auto"/>
              <w:rPr>
                <w:rFonts w:cs="Tahoma"/>
                <w:sz w:val="16"/>
                <w:szCs w:val="16"/>
              </w:rPr>
            </w:pP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8505" w:type="dxa"/>
            <w:gridSpan w:val="2"/>
            <w:noWrap/>
          </w:tcPr>
          <w:p w:rsidR="009D46E6" w:rsidRPr="00DB1559" w:rsidRDefault="009D46E6" w:rsidP="00DB1559">
            <w:pPr>
              <w:spacing w:after="0" w:line="240" w:lineRule="auto"/>
              <w:rPr>
                <w:rFonts w:cs="Tahoma"/>
                <w:b/>
                <w:bCs/>
                <w:sz w:val="16"/>
                <w:szCs w:val="16"/>
              </w:rPr>
            </w:pPr>
            <w:r w:rsidRPr="00DB1559">
              <w:rPr>
                <w:rFonts w:cs="Tahoma"/>
                <w:b/>
                <w:bCs/>
                <w:sz w:val="16"/>
                <w:szCs w:val="16"/>
              </w:rPr>
              <w:t>A.2 Přímá podpora výzkumu a vývoje ze státního rozpočtu - mezinárodní srovnání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A.31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Výdaje na výzkum a vývoj financované z domácích veřejných zdrojů - základní ukazatele</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A.31a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Výdaje na výzkum a vývoj financované z domácích veřejných zdrojů - podle hlavních sektorů jejich užití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A.31b</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Výdaje na výzkum a vývoj v jednotlivých sektorech provádění financované z domácích veřejných zdrojů - mil. EUR běžné ceny</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A.31b</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Výdaje na výzkum a vývoj v jednotlivých sektorech provádění financované z domácích veřejných zdrojů - % z celkových výdajů na VaV v daném sektoru</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A.32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Státní rozpočtové výdaje a dotace na výzkum a vývoj (GBAORD) - základní ukazatele</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p>
        </w:tc>
        <w:tc>
          <w:tcPr>
            <w:tcW w:w="8505" w:type="dxa"/>
            <w:noWrap/>
          </w:tcPr>
          <w:p w:rsidR="009D46E6" w:rsidRPr="00DB1559" w:rsidRDefault="009D46E6" w:rsidP="00DB1559">
            <w:pPr>
              <w:spacing w:after="0" w:line="240" w:lineRule="auto"/>
              <w:rPr>
                <w:rFonts w:cs="Tahoma"/>
                <w:sz w:val="16"/>
                <w:szCs w:val="16"/>
              </w:rPr>
            </w:pP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8505" w:type="dxa"/>
            <w:gridSpan w:val="2"/>
            <w:noWrap/>
          </w:tcPr>
          <w:p w:rsidR="009D46E6" w:rsidRPr="00DB1559" w:rsidRDefault="009D46E6" w:rsidP="00DB1559">
            <w:pPr>
              <w:spacing w:after="0" w:line="240" w:lineRule="auto"/>
              <w:rPr>
                <w:rFonts w:cs="Tahoma"/>
                <w:b/>
                <w:bCs/>
                <w:sz w:val="16"/>
                <w:szCs w:val="16"/>
              </w:rPr>
            </w:pPr>
            <w:r w:rsidRPr="00DB1559">
              <w:rPr>
                <w:rFonts w:cs="Tahoma"/>
                <w:b/>
                <w:bCs/>
                <w:sz w:val="16"/>
                <w:szCs w:val="16"/>
              </w:rPr>
              <w:t>A.3 Nepřímá podpora VaV ze státního rozpočtu -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A.33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Uplatněný odečet výdajů na realizaci projektů VaV z daně příjmů právnických osob v ČR celkem</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A.33a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Uplatněný odečet výdajů na realizaci projektů VaV z daně příjmů soukromých domácích podniků v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A.33b</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Uplatněný odečet výdajů na realizaci projektů VaV z daně příjmů podniků pod zahraniční kontrolou v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A.34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Nepřímá podpora VaV* v podnikatelském sektoru ČR celkem</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A.34a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Nepřímá podpora VaV* v soukromých domácích podnicích v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A.34b</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Nepřímá podpora VaV* v podnicích pod zahraniční kontrolou v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A.35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Počet podniků jež uplatnily odečet výdajů na prováděný VaV z daně příjmů právnických osob v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A.35a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Počet soukromých domácích podniků jež uplatnily odečet výdajů na prováděný VaV z daně příjmů v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A.35b</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Počet podniků pod zahraniční kontrolou jež uplatnily odečet výdajů na prováděný VaV z daně příjmů v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p>
        </w:tc>
        <w:tc>
          <w:tcPr>
            <w:tcW w:w="8505" w:type="dxa"/>
            <w:noWrap/>
          </w:tcPr>
          <w:p w:rsidR="009D46E6" w:rsidRPr="00DB1559" w:rsidRDefault="009D46E6" w:rsidP="00DB1559">
            <w:pPr>
              <w:spacing w:after="0" w:line="240" w:lineRule="auto"/>
              <w:rPr>
                <w:rFonts w:cs="Tahoma"/>
                <w:sz w:val="16"/>
                <w:szCs w:val="16"/>
              </w:rPr>
            </w:pPr>
          </w:p>
        </w:tc>
      </w:tr>
      <w:tr w:rsidR="009D46E6" w:rsidRPr="00DB1559" w:rsidTr="00DB1559">
        <w:trPr>
          <w:trHeight w:val="240"/>
          <w:jc w:val="center"/>
        </w:trPr>
        <w:tc>
          <w:tcPr>
            <w:tcW w:w="8505" w:type="dxa"/>
            <w:gridSpan w:val="3"/>
            <w:noWrap/>
          </w:tcPr>
          <w:p w:rsidR="009D46E6" w:rsidRPr="00DB1559" w:rsidRDefault="009D46E6" w:rsidP="00DB1559">
            <w:pPr>
              <w:spacing w:after="0" w:line="240" w:lineRule="auto"/>
              <w:rPr>
                <w:rFonts w:cs="Tahoma"/>
                <w:b/>
                <w:bCs/>
                <w:sz w:val="16"/>
                <w:szCs w:val="16"/>
              </w:rPr>
            </w:pPr>
            <w:r w:rsidRPr="00DB1559">
              <w:rPr>
                <w:rFonts w:cs="Tahoma"/>
                <w:b/>
                <w:bCs/>
                <w:sz w:val="16"/>
                <w:szCs w:val="16"/>
              </w:rPr>
              <w:t>KAPITOLA B LIDSKÉ ZDROJE PRO VÝZKUM A VÝVOJ</w:t>
            </w:r>
          </w:p>
        </w:tc>
      </w:tr>
      <w:tr w:rsidR="009D46E6" w:rsidRPr="00DB1559" w:rsidTr="00DB1559">
        <w:trPr>
          <w:trHeight w:val="79"/>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b/>
                <w:bCs/>
                <w:sz w:val="16"/>
                <w:szCs w:val="16"/>
              </w:rPr>
            </w:pPr>
          </w:p>
        </w:tc>
        <w:tc>
          <w:tcPr>
            <w:tcW w:w="8505" w:type="dxa"/>
            <w:noWrap/>
          </w:tcPr>
          <w:p w:rsidR="009D46E6" w:rsidRPr="00DB1559" w:rsidRDefault="009D46E6" w:rsidP="00DB1559">
            <w:pPr>
              <w:spacing w:after="0" w:line="240" w:lineRule="auto"/>
              <w:rPr>
                <w:rFonts w:cs="Tahoma"/>
                <w:sz w:val="16"/>
                <w:szCs w:val="16"/>
              </w:rPr>
            </w:pP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8505" w:type="dxa"/>
            <w:gridSpan w:val="2"/>
            <w:noWrap/>
          </w:tcPr>
          <w:p w:rsidR="009D46E6" w:rsidRPr="00DB1559" w:rsidRDefault="009D46E6" w:rsidP="00DB1559">
            <w:pPr>
              <w:spacing w:after="0" w:line="240" w:lineRule="auto"/>
              <w:rPr>
                <w:rFonts w:cs="Tahoma"/>
                <w:b/>
                <w:bCs/>
                <w:sz w:val="16"/>
                <w:szCs w:val="16"/>
              </w:rPr>
            </w:pPr>
            <w:r w:rsidRPr="00DB1559">
              <w:rPr>
                <w:rFonts w:cs="Tahoma"/>
                <w:b/>
                <w:bCs/>
                <w:sz w:val="16"/>
                <w:szCs w:val="16"/>
              </w:rPr>
              <w:t>Kapitola B.1 Zaměstnanci ve výzkumu a vývoji -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B.1</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Zaměstnaní ve VaV v ČR celkem</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B.2</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Zaměstnaní ve VaV ve veřejném (vládním a vysokoškolském) sektoru v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B.2a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Zaměstnaní ve VaV ve vládním sektoru v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B.2b</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Zaměstnaní ve VaV ve vysokoškolském sektoru v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B.3</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Zaměstnaní ve VaV v podnikatelském sektoru v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B.3a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Zaměstnaní ve VaV v podnikatelském sektoru v ČR podle velikosti a odvětví  </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B.4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Výzkumní pracovníci v ČR celkem v roce 2011 - základní ukazatele</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B.4a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Výzkumní pracovníci v ČR v roce 2011 podle věku</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B.4b</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Výzkumní pracovníci v ČR v roce 2011 - nově zaměstnaní a pracující na poloviční a větší pracovní úvazek</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p>
        </w:tc>
        <w:tc>
          <w:tcPr>
            <w:tcW w:w="8505" w:type="dxa"/>
            <w:noWrap/>
          </w:tcPr>
          <w:p w:rsidR="009D46E6" w:rsidRPr="00DB1559" w:rsidRDefault="009D46E6" w:rsidP="00DB1559">
            <w:pPr>
              <w:spacing w:after="0" w:line="240" w:lineRule="auto"/>
              <w:rPr>
                <w:rFonts w:cs="Tahoma"/>
                <w:sz w:val="16"/>
                <w:szCs w:val="16"/>
              </w:rPr>
            </w:pP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8505" w:type="dxa"/>
            <w:gridSpan w:val="2"/>
            <w:noWrap/>
          </w:tcPr>
          <w:p w:rsidR="009D46E6" w:rsidRPr="00DB1559" w:rsidRDefault="009D46E6" w:rsidP="00DB1559">
            <w:pPr>
              <w:spacing w:after="0" w:line="240" w:lineRule="auto"/>
              <w:rPr>
                <w:rFonts w:cs="Tahoma"/>
                <w:b/>
                <w:bCs/>
                <w:sz w:val="16"/>
                <w:szCs w:val="16"/>
              </w:rPr>
            </w:pPr>
            <w:r w:rsidRPr="00DB1559">
              <w:rPr>
                <w:rFonts w:cs="Tahoma"/>
                <w:b/>
                <w:bCs/>
                <w:sz w:val="16"/>
                <w:szCs w:val="16"/>
              </w:rPr>
              <w:t>Kapitola B.1 Zaměstnanci ve výzkumu a vývoji - mezinárodní srovnání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B.5</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Zaměstnaní ve VaV celkem</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B.6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Výzkumní pracovníci</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p>
        </w:tc>
        <w:tc>
          <w:tcPr>
            <w:tcW w:w="8505" w:type="dxa"/>
            <w:noWrap/>
          </w:tcPr>
          <w:p w:rsidR="009D46E6" w:rsidRPr="00DB1559" w:rsidRDefault="009D46E6" w:rsidP="00DB1559">
            <w:pPr>
              <w:spacing w:after="0" w:line="240" w:lineRule="auto"/>
              <w:rPr>
                <w:rFonts w:cs="Tahoma"/>
                <w:sz w:val="16"/>
                <w:szCs w:val="16"/>
              </w:rPr>
            </w:pP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8505" w:type="dxa"/>
            <w:gridSpan w:val="2"/>
            <w:noWrap/>
          </w:tcPr>
          <w:p w:rsidR="009D46E6" w:rsidRPr="00DB1559" w:rsidRDefault="009D46E6" w:rsidP="00DB1559">
            <w:pPr>
              <w:spacing w:after="0" w:line="240" w:lineRule="auto"/>
              <w:rPr>
                <w:rFonts w:cs="Tahoma"/>
                <w:b/>
                <w:bCs/>
                <w:sz w:val="16"/>
                <w:szCs w:val="16"/>
              </w:rPr>
            </w:pPr>
            <w:r w:rsidRPr="00DB1559">
              <w:rPr>
                <w:rFonts w:cs="Tahoma"/>
                <w:b/>
                <w:bCs/>
                <w:sz w:val="16"/>
                <w:szCs w:val="16"/>
              </w:rPr>
              <w:t>Kapitola B.3 Vysokoškolské vzdělání -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B.7</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Studenti vysokých škol celkem</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B.7a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Studenti vysokých škol v oborech Přírodních a Technických věd</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B.8</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Absolventi vysokých škol celkem</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B.8a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Absolventi vysokých škol v oborech Přírodních a Technických věd</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p>
        </w:tc>
        <w:tc>
          <w:tcPr>
            <w:tcW w:w="8505" w:type="dxa"/>
            <w:noWrap/>
          </w:tcPr>
          <w:p w:rsidR="009D46E6" w:rsidRPr="00DB1559" w:rsidRDefault="009D46E6" w:rsidP="00DB1559">
            <w:pPr>
              <w:spacing w:after="0" w:line="240" w:lineRule="auto"/>
              <w:rPr>
                <w:rFonts w:cs="Tahoma"/>
                <w:sz w:val="16"/>
                <w:szCs w:val="16"/>
              </w:rPr>
            </w:pP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8505" w:type="dxa"/>
            <w:gridSpan w:val="2"/>
            <w:noWrap/>
          </w:tcPr>
          <w:p w:rsidR="009D46E6" w:rsidRPr="00DB1559" w:rsidRDefault="009D46E6" w:rsidP="00DB1559">
            <w:pPr>
              <w:spacing w:after="0" w:line="240" w:lineRule="auto"/>
              <w:rPr>
                <w:rFonts w:cs="Tahoma"/>
                <w:b/>
                <w:bCs/>
                <w:sz w:val="16"/>
                <w:szCs w:val="16"/>
              </w:rPr>
            </w:pPr>
            <w:r w:rsidRPr="00DB1559">
              <w:rPr>
                <w:rFonts w:cs="Tahoma"/>
                <w:b/>
                <w:bCs/>
                <w:sz w:val="16"/>
                <w:szCs w:val="16"/>
              </w:rPr>
              <w:t>Kapitola B.3 Vysokoškolské vzdělání - mezinárodní srovnání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B.9</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Studenti terciárního stupně studia</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B.10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Absolventi terciárního stupně studia</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p>
        </w:tc>
        <w:tc>
          <w:tcPr>
            <w:tcW w:w="8505" w:type="dxa"/>
            <w:noWrap/>
          </w:tcPr>
          <w:p w:rsidR="009D46E6" w:rsidRPr="00DB1559" w:rsidRDefault="009D46E6" w:rsidP="00DB1559">
            <w:pPr>
              <w:spacing w:after="0" w:line="240" w:lineRule="auto"/>
              <w:rPr>
                <w:rFonts w:cs="Tahoma"/>
                <w:sz w:val="16"/>
                <w:szCs w:val="16"/>
              </w:rPr>
            </w:pPr>
          </w:p>
        </w:tc>
      </w:tr>
      <w:tr w:rsidR="009D46E6" w:rsidRPr="00DB1559" w:rsidTr="00DB1559">
        <w:trPr>
          <w:trHeight w:val="240"/>
          <w:jc w:val="center"/>
        </w:trPr>
        <w:tc>
          <w:tcPr>
            <w:tcW w:w="8505" w:type="dxa"/>
            <w:gridSpan w:val="3"/>
            <w:noWrap/>
          </w:tcPr>
          <w:p w:rsidR="009D46E6" w:rsidRPr="00DB1559" w:rsidRDefault="009D46E6" w:rsidP="00DB1559">
            <w:pPr>
              <w:spacing w:after="0" w:line="240" w:lineRule="auto"/>
              <w:rPr>
                <w:rFonts w:cs="Tahoma"/>
                <w:b/>
                <w:bCs/>
                <w:sz w:val="16"/>
                <w:szCs w:val="16"/>
              </w:rPr>
            </w:pPr>
            <w:r w:rsidRPr="00DB1559">
              <w:rPr>
                <w:rFonts w:cs="Tahoma"/>
                <w:b/>
                <w:bCs/>
                <w:sz w:val="16"/>
                <w:szCs w:val="16"/>
              </w:rPr>
              <w:t>KAPITOLA C VÝSLEDKY VÝZKUMU A VÝVOJE</w:t>
            </w:r>
          </w:p>
        </w:tc>
      </w:tr>
      <w:tr w:rsidR="009D46E6" w:rsidRPr="00DB1559" w:rsidTr="00DB1559">
        <w:trPr>
          <w:trHeight w:val="79"/>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b/>
                <w:bCs/>
                <w:sz w:val="16"/>
                <w:szCs w:val="16"/>
              </w:rPr>
            </w:pPr>
          </w:p>
        </w:tc>
        <w:tc>
          <w:tcPr>
            <w:tcW w:w="8505" w:type="dxa"/>
            <w:noWrap/>
          </w:tcPr>
          <w:p w:rsidR="009D46E6" w:rsidRPr="00DB1559" w:rsidRDefault="009D46E6" w:rsidP="00DB1559">
            <w:pPr>
              <w:spacing w:after="0" w:line="240" w:lineRule="auto"/>
              <w:rPr>
                <w:rFonts w:cs="Tahoma"/>
                <w:sz w:val="16"/>
                <w:szCs w:val="16"/>
              </w:rPr>
            </w:pP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8505" w:type="dxa"/>
            <w:gridSpan w:val="2"/>
            <w:noWrap/>
          </w:tcPr>
          <w:p w:rsidR="009D46E6" w:rsidRPr="00DB1559" w:rsidRDefault="009D46E6" w:rsidP="00DB1559">
            <w:pPr>
              <w:spacing w:after="0" w:line="240" w:lineRule="auto"/>
              <w:rPr>
                <w:rFonts w:cs="Tahoma"/>
                <w:b/>
                <w:bCs/>
                <w:sz w:val="16"/>
                <w:szCs w:val="16"/>
              </w:rPr>
            </w:pPr>
            <w:r w:rsidRPr="00DB1559">
              <w:rPr>
                <w:rFonts w:cs="Tahoma"/>
                <w:b/>
                <w:bCs/>
                <w:sz w:val="16"/>
                <w:szCs w:val="16"/>
              </w:rPr>
              <w:t>C.1 Bibliometrie</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C.1</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Celkové počty výsledků registrovaných RIV v letech   2007 -  2012</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C.2</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Výsledky registrované v RIV širších vědních oborech v letech   2007 -  2012</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C.3</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Počet záznamů v databázi RIV v letech 2007-2012 v hlavních vědních oblastech podle Frascati manualu </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C.4</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Výsledky registrované v RIV podle sektorů provádění VaV v letech 2007 - 2012</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C.5.1</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Články v odborných periodách (J) registrované v  RIV podle sektorů provádění VaV v letech 2007 - 2012</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C.5.2</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Impaktované články v odborných periodách (J) podle sektorů provádění VaV v letech 2007 - 2012</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C.6</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Články ve sbornících z akcí, (D) podle sektorů provádění VaV v letech 2007 - 2012</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C.7</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Odborné monografie, (B) podle sektorů provádění VaV v letech 2007 - 2012</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C.8</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Kapitola resp. kapitoly v odborné knize, (C) podle sektorů provádění VaV v letech 2007 - 2012</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C.9</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Patenty (P) podle sektorů provádění VaV v letech 2007 - 2012</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C.10</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Výsledky s právní ochranou (užitný vzor, průmyslový vzor), (F) podle sektorů provádění VaV v letech 2007 - 2012</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C.11</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Technicky realizované výsledky (prototyp, funkční vzorek), (G) podle sektorů provádění VaV v letech 2007 - 2012</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C.12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Poloprovozy, ověřené technologie, odrůdy resp. plemena, (Z) podle sektorů provádění VaV v letech 2007 - 2012</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C.13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Certifikované metodiky, léčebné postupy, památkové postupy, specializované mapy s odborným obsahem, (N) podle sektorů provádění VaV v letech 2007 - 2012</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C.14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Oborové relativní citační indexy (RCIO) a počty publikací (n) České republiky v letech 2000 - 2012</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C.15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Oborové relativní citační indexy (RCIO) a počty publikací (n) ČR v širších vědních oborech v letech 2000 - 2012</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b/>
                <w:bCs/>
                <w:i/>
                <w:iCs/>
                <w:sz w:val="16"/>
                <w:szCs w:val="16"/>
              </w:rPr>
            </w:pPr>
          </w:p>
        </w:tc>
        <w:tc>
          <w:tcPr>
            <w:tcW w:w="8505" w:type="dxa"/>
            <w:noWrap/>
          </w:tcPr>
          <w:p w:rsidR="009D46E6" w:rsidRPr="00DB1559" w:rsidRDefault="009D46E6" w:rsidP="00DB1559">
            <w:pPr>
              <w:spacing w:after="0" w:line="240" w:lineRule="auto"/>
              <w:rPr>
                <w:rFonts w:cs="Tahoma"/>
                <w:sz w:val="16"/>
                <w:szCs w:val="16"/>
              </w:rPr>
            </w:pP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8505" w:type="dxa"/>
            <w:gridSpan w:val="2"/>
            <w:noWrap/>
          </w:tcPr>
          <w:p w:rsidR="009D46E6" w:rsidRPr="00DB1559" w:rsidRDefault="009D46E6" w:rsidP="00DB1559">
            <w:pPr>
              <w:spacing w:after="0" w:line="240" w:lineRule="auto"/>
              <w:rPr>
                <w:rFonts w:cs="Tahoma"/>
                <w:b/>
                <w:bCs/>
                <w:sz w:val="16"/>
                <w:szCs w:val="16"/>
              </w:rPr>
            </w:pPr>
            <w:r w:rsidRPr="00DB1559">
              <w:rPr>
                <w:rFonts w:cs="Tahoma"/>
                <w:b/>
                <w:bCs/>
                <w:sz w:val="16"/>
                <w:szCs w:val="16"/>
              </w:rPr>
              <w:t>C.3 Patenty, užitné vzory a jejich licencování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C.16</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Patentové přihlášky podané u ÚPV ČR tuzemskými přihlašovateli celkem</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C.16a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Patentové přihlášky podané u ÚPV ČR veřejnými výzkumnými institucemi</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C.16b</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Patentové přihlášky podané u ÚPV ČR veřejnými vysokými školami</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C.16c</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Patentové přihlášky podané u ÚPV ČR podniky působícími na území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C.17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Patenty udělené ÚPV ČR tuzemským přihlašovatelům celkem</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C.17a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Patenty udělené ÚPV ČR veřejným výzkumným institucím</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C.17b</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Patenty udělené ÚPV ČR veřejným vysokým školám</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C.17c</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Patenty udělené ÚPV ČR podnikům působícím na území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C.18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Patenty platné na území ČR k 31.12. sledovaného roku patřící tuzemským přihlašovatelům </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C.19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Patenty platné na území ČR k 31.12.2012 patřící tuzemským přihlašovatelům celkem podle roku jejich udělení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C.19a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Patenty platné na území ČR k 31.12.2012 patřící veřejným výzkumným institucím podle roku jejich udělení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C.19b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Patenty platné na území ČR k 31.12.2012 patřící veřejným vysokým školám podle roku jejich udělení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C.19</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Patenty platné na území ČR k 31.12.2012 patřící tuzemským podnikům podle roku jejich udělení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C.20</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Užitné vzory zapsané ÚPV ČR tuzemským přihlašovatelům celkem</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C.20a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Užitné vzory zapsané ÚPV ČR veřejným výzkumným institucím</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C.20b</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Užitné vzory zapsané ÚPV ČR veřejným vysokým školám</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C.20c</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Užitné vzory zapsané ÚPV ČR podnikům působícím na území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C.21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Patenty udělené nebo validované ÚPV ČR pro území ČR celkem</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C.22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Patenty platné na území ČR k 31.12.2012 celkem podle roku priority</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C.22a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Patenty platné na území ČR k 31.12.2012 celkem podle roku jejich udělení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C.23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Licence na patenty a užitné vzory poskytnuté subjekty působícími v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C.24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Patentové licence poskytnuté subjekty působícími v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C.24a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Patentové licence uzavřené v sledovaném roce subjekty působícími v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C.25</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Tuzemské subjekty aktivní v oblasti průmyslového vlastnictví v ČR</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p>
        </w:tc>
        <w:tc>
          <w:tcPr>
            <w:tcW w:w="8505" w:type="dxa"/>
            <w:noWrap/>
          </w:tcPr>
          <w:p w:rsidR="009D46E6" w:rsidRPr="00DB1559" w:rsidRDefault="009D46E6" w:rsidP="00DB1559">
            <w:pPr>
              <w:spacing w:after="0" w:line="240" w:lineRule="auto"/>
              <w:rPr>
                <w:rFonts w:cs="Tahoma"/>
                <w:sz w:val="16"/>
                <w:szCs w:val="16"/>
              </w:rPr>
            </w:pPr>
          </w:p>
        </w:tc>
      </w:tr>
      <w:tr w:rsidR="009D46E6" w:rsidRPr="00DB1559" w:rsidTr="00DB1559">
        <w:trPr>
          <w:trHeight w:val="240"/>
          <w:jc w:val="center"/>
        </w:trPr>
        <w:tc>
          <w:tcPr>
            <w:tcW w:w="8505" w:type="dxa"/>
            <w:gridSpan w:val="3"/>
            <w:noWrap/>
          </w:tcPr>
          <w:p w:rsidR="009D46E6" w:rsidRPr="00DB1559" w:rsidRDefault="009D46E6" w:rsidP="00DB1559">
            <w:pPr>
              <w:spacing w:after="0" w:line="240" w:lineRule="auto"/>
              <w:rPr>
                <w:rFonts w:cs="Tahoma"/>
                <w:b/>
                <w:bCs/>
                <w:sz w:val="16"/>
                <w:szCs w:val="16"/>
              </w:rPr>
            </w:pPr>
            <w:r w:rsidRPr="00DB1559">
              <w:rPr>
                <w:rFonts w:cs="Tahoma"/>
                <w:b/>
                <w:bCs/>
                <w:sz w:val="16"/>
                <w:szCs w:val="16"/>
              </w:rPr>
              <w:t>KAPITOLA D INOVACE A HIGH-TECH ODVĚTVÍ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8505" w:type="dxa"/>
            <w:gridSpan w:val="2"/>
            <w:noWrap/>
          </w:tcPr>
          <w:p w:rsidR="009D46E6" w:rsidRPr="00DB1559" w:rsidRDefault="009D46E6" w:rsidP="00DB1559">
            <w:pPr>
              <w:spacing w:after="0" w:line="240" w:lineRule="auto"/>
              <w:rPr>
                <w:rFonts w:cs="Tahoma"/>
                <w:b/>
                <w:bCs/>
                <w:sz w:val="16"/>
                <w:szCs w:val="16"/>
              </w:rPr>
            </w:pPr>
            <w:r w:rsidRPr="00DB1559">
              <w:rPr>
                <w:rFonts w:cs="Tahoma"/>
                <w:b/>
                <w:bCs/>
                <w:sz w:val="16"/>
                <w:szCs w:val="16"/>
              </w:rPr>
              <w:t>D.1 Inovační výkonnost, high-tech odvětví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D.1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Souhrnný inovační index 2012</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D.2a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Příjmy za vývoz technologických služeb z ČR podle kraje vývozce</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 Tab. D.2</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Platby za dovoz technologických služeb do ČR podle kraje dovozce</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D.3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High tech sektor – účetní přidaná hodnota</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D.4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High tech sektor – počet podniků</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D.5a</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Vývoz high-tech zboží celkem (mil. Kč, 1993–2010)</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D.5b</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Dovoz high-tech zboží celkem (mil. Kč, 1993–2010)</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b/>
                <w:bCs/>
                <w:i/>
                <w:iCs/>
                <w:sz w:val="16"/>
                <w:szCs w:val="16"/>
              </w:rPr>
            </w:pPr>
          </w:p>
        </w:tc>
        <w:tc>
          <w:tcPr>
            <w:tcW w:w="8505" w:type="dxa"/>
            <w:noWrap/>
          </w:tcPr>
          <w:p w:rsidR="009D46E6" w:rsidRPr="00DB1559" w:rsidRDefault="009D46E6" w:rsidP="00DB1559">
            <w:pPr>
              <w:spacing w:after="0" w:line="240" w:lineRule="auto"/>
              <w:rPr>
                <w:rFonts w:cs="Tahoma"/>
                <w:sz w:val="16"/>
                <w:szCs w:val="16"/>
              </w:rPr>
            </w:pPr>
          </w:p>
        </w:tc>
      </w:tr>
      <w:tr w:rsidR="009D46E6" w:rsidRPr="00DB1559" w:rsidTr="00DB1559">
        <w:trPr>
          <w:trHeight w:val="240"/>
          <w:jc w:val="center"/>
        </w:trPr>
        <w:tc>
          <w:tcPr>
            <w:tcW w:w="8505" w:type="dxa"/>
            <w:gridSpan w:val="3"/>
            <w:noWrap/>
          </w:tcPr>
          <w:p w:rsidR="009D46E6" w:rsidRPr="00DB1559" w:rsidRDefault="009D46E6" w:rsidP="00DB1559">
            <w:pPr>
              <w:spacing w:after="0" w:line="240" w:lineRule="auto"/>
              <w:rPr>
                <w:rFonts w:cs="Tahoma"/>
                <w:b/>
                <w:bCs/>
                <w:sz w:val="16"/>
                <w:szCs w:val="16"/>
              </w:rPr>
            </w:pPr>
            <w:r w:rsidRPr="00DB1559">
              <w:rPr>
                <w:rFonts w:cs="Tahoma"/>
                <w:b/>
                <w:bCs/>
                <w:sz w:val="16"/>
                <w:szCs w:val="16"/>
              </w:rPr>
              <w:t>KAPITOLA E MEZINÁRODNÍ SPOLUPRÁCE VE VÝZKUMU A VÝVOJI</w:t>
            </w:r>
          </w:p>
        </w:tc>
      </w:tr>
      <w:tr w:rsidR="009D46E6" w:rsidRPr="00DB1559" w:rsidTr="00DB1559">
        <w:trPr>
          <w:trHeight w:val="79"/>
          <w:jc w:val="center"/>
        </w:trPr>
        <w:tc>
          <w:tcPr>
            <w:tcW w:w="113" w:type="dxa"/>
            <w:noWrap/>
          </w:tcPr>
          <w:p w:rsidR="009D46E6" w:rsidRPr="00DB1559" w:rsidRDefault="009D46E6" w:rsidP="00DB1559">
            <w:pPr>
              <w:spacing w:after="0" w:line="240" w:lineRule="auto"/>
              <w:rPr>
                <w:rFonts w:cs="Tahoma"/>
                <w:b/>
                <w:bCs/>
                <w:sz w:val="16"/>
                <w:szCs w:val="16"/>
              </w:rPr>
            </w:pPr>
          </w:p>
        </w:tc>
        <w:tc>
          <w:tcPr>
            <w:tcW w:w="1021" w:type="dxa"/>
            <w:noWrap/>
          </w:tcPr>
          <w:p w:rsidR="009D46E6" w:rsidRPr="00DB1559" w:rsidRDefault="009D46E6" w:rsidP="00DB1559">
            <w:pPr>
              <w:spacing w:after="0" w:line="240" w:lineRule="auto"/>
              <w:rPr>
                <w:rFonts w:cs="Tahoma"/>
                <w:sz w:val="16"/>
                <w:szCs w:val="16"/>
              </w:rPr>
            </w:pPr>
          </w:p>
        </w:tc>
        <w:tc>
          <w:tcPr>
            <w:tcW w:w="8505" w:type="dxa"/>
            <w:noWrap/>
          </w:tcPr>
          <w:p w:rsidR="009D46E6" w:rsidRPr="00DB1559" w:rsidRDefault="009D46E6" w:rsidP="00DB1559">
            <w:pPr>
              <w:spacing w:after="0" w:line="240" w:lineRule="auto"/>
              <w:rPr>
                <w:rFonts w:cs="Tahoma"/>
                <w:sz w:val="16"/>
                <w:szCs w:val="16"/>
              </w:rPr>
            </w:pP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8505" w:type="dxa"/>
            <w:gridSpan w:val="2"/>
            <w:noWrap/>
          </w:tcPr>
          <w:p w:rsidR="009D46E6" w:rsidRPr="00DB1559" w:rsidRDefault="009D46E6" w:rsidP="00DB1559">
            <w:pPr>
              <w:spacing w:after="0" w:line="240" w:lineRule="auto"/>
              <w:rPr>
                <w:rFonts w:cs="Tahoma"/>
                <w:b/>
                <w:bCs/>
                <w:sz w:val="16"/>
                <w:szCs w:val="16"/>
              </w:rPr>
            </w:pPr>
            <w:r w:rsidRPr="00DB1559">
              <w:rPr>
                <w:rFonts w:cs="Tahoma"/>
                <w:b/>
                <w:bCs/>
                <w:sz w:val="16"/>
                <w:szCs w:val="16"/>
              </w:rPr>
              <w:t>E.1 Rámcové programy na podporu výzkumu a vývoje</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E.1</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Účast v 7. rámcovém programu - mezinárodní srovnání</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p>
        </w:tc>
        <w:tc>
          <w:tcPr>
            <w:tcW w:w="8505" w:type="dxa"/>
            <w:noWrap/>
          </w:tcPr>
          <w:p w:rsidR="009D46E6" w:rsidRPr="00DB1559" w:rsidRDefault="009D46E6" w:rsidP="00DB1559">
            <w:pPr>
              <w:spacing w:after="0" w:line="240" w:lineRule="auto"/>
              <w:rPr>
                <w:rFonts w:cs="Tahoma"/>
                <w:sz w:val="16"/>
                <w:szCs w:val="16"/>
              </w:rPr>
            </w:pPr>
          </w:p>
        </w:tc>
      </w:tr>
      <w:tr w:rsidR="009D46E6" w:rsidRPr="00DB1559" w:rsidTr="00DB1559">
        <w:trPr>
          <w:trHeight w:val="240"/>
          <w:jc w:val="center"/>
        </w:trPr>
        <w:tc>
          <w:tcPr>
            <w:tcW w:w="8505" w:type="dxa"/>
            <w:gridSpan w:val="3"/>
            <w:noWrap/>
          </w:tcPr>
          <w:p w:rsidR="009D46E6" w:rsidRPr="00DB1559" w:rsidRDefault="009D46E6" w:rsidP="00DB1559">
            <w:pPr>
              <w:spacing w:after="0" w:line="240" w:lineRule="auto"/>
              <w:rPr>
                <w:rFonts w:cs="Tahoma"/>
                <w:b/>
                <w:bCs/>
                <w:sz w:val="16"/>
                <w:szCs w:val="16"/>
              </w:rPr>
            </w:pPr>
            <w:r w:rsidRPr="00DB1559">
              <w:rPr>
                <w:rFonts w:cs="Tahoma"/>
                <w:b/>
                <w:bCs/>
                <w:sz w:val="16"/>
                <w:szCs w:val="16"/>
              </w:rPr>
              <w:t>KAPITOLA F VYUŽITÍ PROSTŘEDKŮ ZE STRUKTURÁLNÍCH FONDŮ NA VAVAI</w:t>
            </w:r>
          </w:p>
        </w:tc>
      </w:tr>
      <w:tr w:rsidR="009D46E6" w:rsidRPr="00DB1559" w:rsidTr="00DB1559">
        <w:trPr>
          <w:trHeight w:val="79"/>
          <w:jc w:val="center"/>
        </w:trPr>
        <w:tc>
          <w:tcPr>
            <w:tcW w:w="113" w:type="dxa"/>
            <w:noWrap/>
          </w:tcPr>
          <w:p w:rsidR="009D46E6" w:rsidRPr="00DB1559" w:rsidRDefault="009D46E6" w:rsidP="00DB1559">
            <w:pPr>
              <w:spacing w:after="0" w:line="240" w:lineRule="auto"/>
              <w:rPr>
                <w:rFonts w:cs="Tahoma"/>
                <w:b/>
                <w:bCs/>
                <w:sz w:val="16"/>
                <w:szCs w:val="16"/>
              </w:rPr>
            </w:pPr>
          </w:p>
        </w:tc>
        <w:tc>
          <w:tcPr>
            <w:tcW w:w="1021" w:type="dxa"/>
            <w:noWrap/>
          </w:tcPr>
          <w:p w:rsidR="009D46E6" w:rsidRPr="00DB1559" w:rsidRDefault="009D46E6" w:rsidP="00DB1559">
            <w:pPr>
              <w:spacing w:after="0" w:line="240" w:lineRule="auto"/>
              <w:rPr>
                <w:rFonts w:cs="Tahoma"/>
                <w:sz w:val="16"/>
                <w:szCs w:val="16"/>
              </w:rPr>
            </w:pPr>
          </w:p>
        </w:tc>
        <w:tc>
          <w:tcPr>
            <w:tcW w:w="8505" w:type="dxa"/>
            <w:noWrap/>
          </w:tcPr>
          <w:p w:rsidR="009D46E6" w:rsidRPr="00DB1559" w:rsidRDefault="009D46E6" w:rsidP="00DB1559">
            <w:pPr>
              <w:spacing w:after="0" w:line="240" w:lineRule="auto"/>
              <w:rPr>
                <w:rFonts w:cs="Tahoma"/>
                <w:sz w:val="16"/>
                <w:szCs w:val="16"/>
              </w:rPr>
            </w:pP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8505" w:type="dxa"/>
            <w:gridSpan w:val="2"/>
            <w:noWrap/>
          </w:tcPr>
          <w:p w:rsidR="009D46E6" w:rsidRPr="00DB1559" w:rsidRDefault="009D46E6" w:rsidP="00DB1559">
            <w:pPr>
              <w:spacing w:after="0" w:line="240" w:lineRule="auto"/>
              <w:rPr>
                <w:rFonts w:cs="Tahoma"/>
                <w:b/>
                <w:bCs/>
                <w:sz w:val="16"/>
                <w:szCs w:val="16"/>
              </w:rPr>
            </w:pPr>
            <w:r w:rsidRPr="00DB1559">
              <w:rPr>
                <w:rFonts w:cs="Tahoma"/>
                <w:b/>
                <w:bCs/>
                <w:sz w:val="16"/>
                <w:szCs w:val="16"/>
              </w:rPr>
              <w:t>F.2 Podpora VaVaI ze strukturálních fondů</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F.1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Celková výše podpory 2007-2013 dle OP a sídla příjemce - okresy Česka [mil. Kč]</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F.2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Celkem proplaceno 2007-2013 dle OP a sídla příjemce - okresy Česka [mil. Kč]</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F.3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Výše podpory dle oblasti podpory a místa realizace (kraje Česka; 2007-2013)</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F.4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(Proplacená) podpora OP VaVpI dle sídla příjemce (obce ČR; 2007-2013, mil. Kč)</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F.5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(Proplacená) podpora OPVK dle sídla příjemce (obce ČR; 2007-2013, mil. Kč)</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F.6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(Proplacená) podpora OPPI dle sídla příjemce (obce ČR; 2007-2013, mil. Kč)</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F.7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Výše podpory dle OP a příjemce (2007-2013, mil. Kč)</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F.8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Počet projektů dle OP a příjemce podpory (2007-2013)</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p>
        </w:tc>
        <w:tc>
          <w:tcPr>
            <w:tcW w:w="8505" w:type="dxa"/>
            <w:noWrap/>
          </w:tcPr>
          <w:p w:rsidR="009D46E6" w:rsidRPr="00DB1559" w:rsidRDefault="009D46E6" w:rsidP="00DB1559">
            <w:pPr>
              <w:spacing w:after="0" w:line="240" w:lineRule="auto"/>
              <w:rPr>
                <w:rFonts w:cs="Tahoma"/>
                <w:sz w:val="16"/>
                <w:szCs w:val="16"/>
              </w:rPr>
            </w:pP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8505" w:type="dxa"/>
            <w:gridSpan w:val="2"/>
            <w:noWrap/>
          </w:tcPr>
          <w:p w:rsidR="009D46E6" w:rsidRPr="00DB1559" w:rsidRDefault="009D46E6" w:rsidP="00DB1559">
            <w:pPr>
              <w:spacing w:after="0" w:line="240" w:lineRule="auto"/>
              <w:rPr>
                <w:rFonts w:cs="Tahoma"/>
                <w:b/>
                <w:bCs/>
                <w:sz w:val="16"/>
                <w:szCs w:val="16"/>
              </w:rPr>
            </w:pPr>
            <w:r w:rsidRPr="00DB1559">
              <w:rPr>
                <w:rFonts w:cs="Tahoma"/>
                <w:b/>
                <w:bCs/>
                <w:sz w:val="16"/>
                <w:szCs w:val="16"/>
              </w:rPr>
              <w:t>F.3 Financování, udržitelnost a zaměření VaV center OP VaVpI</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F.9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Infrastrukturní projekty OP VaVpI</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 xml:space="preserve">Tab. F.10 </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Zaměření VaV center dle výsledků asociovaných s vedoucími výzkumných programů daného projektu (skupiny oborů)</w:t>
            </w:r>
          </w:p>
        </w:tc>
      </w:tr>
      <w:tr w:rsidR="009D46E6" w:rsidRPr="00DB1559" w:rsidTr="00DB1559">
        <w:trPr>
          <w:trHeight w:val="240"/>
          <w:jc w:val="center"/>
        </w:trPr>
        <w:tc>
          <w:tcPr>
            <w:tcW w:w="113" w:type="dxa"/>
            <w:noWrap/>
          </w:tcPr>
          <w:p w:rsidR="009D46E6" w:rsidRPr="00DB1559" w:rsidRDefault="009D46E6" w:rsidP="00DB1559">
            <w:pPr>
              <w:spacing w:after="0" w:line="240" w:lineRule="auto"/>
              <w:rPr>
                <w:rFonts w:cs="Tahoma"/>
                <w:sz w:val="16"/>
                <w:szCs w:val="16"/>
              </w:rPr>
            </w:pPr>
          </w:p>
        </w:tc>
        <w:tc>
          <w:tcPr>
            <w:tcW w:w="1021" w:type="dxa"/>
            <w:noWrap/>
          </w:tcPr>
          <w:p w:rsidR="009D46E6" w:rsidRPr="00DB1559" w:rsidRDefault="009D46E6" w:rsidP="00DB1559">
            <w:pPr>
              <w:spacing w:after="0" w:line="240" w:lineRule="auto"/>
              <w:rPr>
                <w:rFonts w:cs="Tahoma"/>
                <w:sz w:val="16"/>
                <w:szCs w:val="16"/>
              </w:rPr>
            </w:pPr>
            <w:r w:rsidRPr="00DB1559">
              <w:rPr>
                <w:rFonts w:cs="Tahoma"/>
                <w:sz w:val="16"/>
                <w:szCs w:val="16"/>
              </w:rPr>
              <w:t>Tab. F.11</w:t>
            </w:r>
          </w:p>
        </w:tc>
        <w:tc>
          <w:tcPr>
            <w:tcW w:w="8505" w:type="dxa"/>
            <w:noWrap/>
          </w:tcPr>
          <w:p w:rsidR="009D46E6" w:rsidRPr="00DB1559" w:rsidRDefault="009D46E6" w:rsidP="00DB1559">
            <w:pPr>
              <w:spacing w:after="0" w:line="240" w:lineRule="auto"/>
              <w:rPr>
                <w:rFonts w:cs="Tahoma"/>
                <w:sz w:val="16"/>
                <w:szCs w:val="16"/>
              </w:rPr>
            </w:pPr>
            <w:r w:rsidRPr="00DB1559">
              <w:rPr>
                <w:rFonts w:cs="Tahoma"/>
                <w:sz w:val="16"/>
                <w:szCs w:val="16"/>
              </w:rPr>
              <w:t>Zaměření VaV center a jeho návaznost na Priority orientovaného VaVaI (relativní vyjádření)</w:t>
            </w:r>
          </w:p>
        </w:tc>
      </w:tr>
    </w:tbl>
    <w:p w:rsidR="009D46E6" w:rsidRPr="00E816C3" w:rsidRDefault="009D46E6" w:rsidP="00AE539D"/>
    <w:sectPr w:rsidR="009D46E6" w:rsidRPr="00E816C3" w:rsidSect="007C27E4">
      <w:pgSz w:w="11906" w:h="16838" w:code="9"/>
      <w:pgMar w:top="1134" w:right="1134" w:bottom="1134" w:left="1134" w:header="737" w:footer="567" w:gutter="0"/>
      <w:cols w:space="567"/>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D46E6" w:rsidRDefault="009D46E6" w:rsidP="003C2C6B">
      <w:r>
        <w:separator/>
      </w:r>
    </w:p>
    <w:p w:rsidR="009D46E6" w:rsidRDefault="009D46E6"/>
  </w:endnote>
  <w:endnote w:type="continuationSeparator" w:id="0">
    <w:p w:rsidR="009D46E6" w:rsidRDefault="009D46E6" w:rsidP="003C2C6B">
      <w:r>
        <w:continuationSeparator/>
      </w:r>
    </w:p>
    <w:p w:rsidR="009D46E6" w:rsidRDefault="009D46E6"/>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MetaPro-Normal">
    <w:altName w:val="Arial"/>
    <w:panose1 w:val="00000000000000000000"/>
    <w:charset w:val="00"/>
    <w:family w:val="modern"/>
    <w:notTrueType/>
    <w:pitch w:val="variable"/>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Batang">
    <w:altName w:val="???A"/>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D46E6" w:rsidRPr="009D7D92" w:rsidRDefault="009D46E6" w:rsidP="004C345D">
      <w:pPr>
        <w:pStyle w:val="Poznmka"/>
        <w:pBdr>
          <w:bottom w:val="single" w:sz="2" w:space="1" w:color="A6A6A6"/>
        </w:pBdr>
        <w:rPr>
          <w:sz w:val="2"/>
          <w:szCs w:val="2"/>
        </w:rPr>
      </w:pPr>
    </w:p>
  </w:footnote>
  <w:footnote w:type="continuationSeparator" w:id="0">
    <w:p w:rsidR="009D46E6" w:rsidRPr="00DD30F7" w:rsidRDefault="009D46E6" w:rsidP="00DD30F7"/>
  </w:footnote>
  <w:footnote w:id="1">
    <w:p w:rsidR="009D46E6" w:rsidRDefault="009D46E6" w:rsidP="00892E4B">
      <w:pPr>
        <w:pStyle w:val="Poznmka"/>
      </w:pPr>
      <w:r w:rsidRPr="00B63847">
        <w:rPr>
          <w:rStyle w:val="FootnoteReference"/>
          <w:rFonts w:cs="MetaPro-Normal"/>
          <w:vertAlign w:val="baseline"/>
        </w:rPr>
        <w:footnoteRef/>
      </w:r>
      <w:r w:rsidRPr="00B63847">
        <w:rPr>
          <w:rStyle w:val="FootnoteReference"/>
          <w:rFonts w:cs="MetaPro-Normal"/>
          <w:vertAlign w:val="baseline"/>
        </w:rPr>
        <w:t xml:space="preserve"> </w:t>
      </w:r>
      <w:r w:rsidRPr="00B63847">
        <w:t>Důležité je upozornit, že v roce 2013 proběhla mimořádná revize dat za oblast výzkumu a vývoje na základě zpětné kontroly správného metodologického rozlišení nákladů na provedený VaV a nákladů na služby VaV (výdajů za VaV provedený pro sledovanou jednotku jiným subjektem). Z tohoto důvodu se některé údaje za období 2005–2011 liší od údajů uváděných v předchozích letech.</w:t>
      </w:r>
    </w:p>
  </w:footnote>
  <w:footnote w:id="2">
    <w:p w:rsidR="009D46E6" w:rsidRDefault="009D46E6" w:rsidP="00892E4B">
      <w:pPr>
        <w:pStyle w:val="Poznmka"/>
      </w:pPr>
      <w:r w:rsidRPr="00B63847">
        <w:rPr>
          <w:rStyle w:val="FootnoteReference"/>
          <w:rFonts w:cs="MetaPro-Normal"/>
          <w:vertAlign w:val="baseline"/>
        </w:rPr>
        <w:footnoteRef/>
      </w:r>
      <w:r w:rsidRPr="00B63847">
        <w:t xml:space="preserve"> Toto pojetí konkurenceschopnosti využívá Světové ekonomické fórum, které pravidelně publikuje respektovanou zprávu o konkurenceschopnosti zemí The Global Competitiveness Report.</w:t>
      </w:r>
    </w:p>
  </w:footnote>
  <w:footnote w:id="3">
    <w:p w:rsidR="009D46E6" w:rsidRDefault="009D46E6" w:rsidP="00892E4B">
      <w:pPr>
        <w:pStyle w:val="Poznmka"/>
      </w:pPr>
      <w:r w:rsidRPr="00B63847">
        <w:rPr>
          <w:rStyle w:val="FootnoteReference"/>
          <w:rFonts w:cs="MetaPro-Normal"/>
          <w:vertAlign w:val="baseline"/>
        </w:rPr>
        <w:footnoteRef/>
      </w:r>
      <w:r w:rsidRPr="00B63847">
        <w:t xml:space="preserve"> Kromě těchto, tzv. interních výdajů na VaV (intramural R&amp;D expenditures) za VaV provedený ve sledovaných subjektech, sleduje ČSÚ v rámci kapitalizace VaV od roku 2008 u těchto subjektů i výdaje za nákupy služeb VaV (VaV prováděný pro sledovaný subjekt na zakázku jiným subjektem), které jsou označovány jako Extramural R&amp;D expenditures.  Tyto údaje jsou uvedeny v tabulkové příloze.</w:t>
      </w:r>
    </w:p>
  </w:footnote>
  <w:footnote w:id="4">
    <w:p w:rsidR="009D46E6" w:rsidRDefault="009D46E6" w:rsidP="00892E4B">
      <w:pPr>
        <w:pStyle w:val="Poznmka"/>
      </w:pPr>
      <w:r w:rsidRPr="00B63847">
        <w:rPr>
          <w:rStyle w:val="FootnoteReference"/>
          <w:rFonts w:cs="MetaPro-Normal"/>
          <w:vertAlign w:val="baseline"/>
        </w:rPr>
        <w:footnoteRef/>
      </w:r>
      <w:r w:rsidRPr="00B63847">
        <w:t xml:space="preserve"> Teprve v roce 2006 dosáhly v České republice celkové výdaje na VaV ve stálých cenách úrovně roku 1991.</w:t>
      </w:r>
    </w:p>
  </w:footnote>
  <w:footnote w:id="5">
    <w:p w:rsidR="009D46E6" w:rsidRDefault="009D46E6" w:rsidP="00892E4B">
      <w:pPr>
        <w:pStyle w:val="Poznmka"/>
      </w:pPr>
      <w:r w:rsidRPr="00B63847">
        <w:rPr>
          <w:rStyle w:val="FootnoteReference"/>
          <w:rFonts w:cs="MetaPro-Normal"/>
          <w:vertAlign w:val="baseline"/>
        </w:rPr>
        <w:footnoteRef/>
      </w:r>
      <w:r w:rsidRPr="00B63847">
        <w:t xml:space="preserve"> Jelikož především mezi základním a aplikovaných výzkumem není vždy jasná a jednoznačná hranice, je třeba při interpretaci zjištěných údajů v členění podle typu VaV činnosti postupovat s velkou opatrností. Odlišení základního a aplikovaného výzkumu do velké míry totiž závisí na tom, jaké označení použijí sami výzkumníci a tak by se nemělo rozlišení mezi těmito dvěma typy výzkumu používat za účelem přijímání politických rozhodnutí.</w:t>
      </w:r>
    </w:p>
  </w:footnote>
  <w:footnote w:id="6">
    <w:p w:rsidR="009D46E6" w:rsidRDefault="009D46E6" w:rsidP="00892E4B">
      <w:pPr>
        <w:pStyle w:val="Poznmka"/>
      </w:pPr>
      <w:r w:rsidRPr="00B63847">
        <w:rPr>
          <w:rStyle w:val="FootnoteReference"/>
          <w:rFonts w:cs="MetaPro-Normal"/>
          <w:vertAlign w:val="baseline"/>
        </w:rPr>
        <w:footnoteRef/>
      </w:r>
      <w:r w:rsidRPr="00B63847">
        <w:t xml:space="preserve"> Mezinárodní srovnání by mělo být prováděno vždy v kontextu vývoje, velikosti a zaměření jednotlivých ekonomik. Srovnávat by se pak měly především státy s podobnými populačními, geografickými a ekonomickými podmínkami.</w:t>
      </w:r>
    </w:p>
  </w:footnote>
  <w:footnote w:id="7">
    <w:p w:rsidR="009D46E6" w:rsidRDefault="009D46E6" w:rsidP="00892E4B">
      <w:pPr>
        <w:pStyle w:val="Poznmka"/>
      </w:pPr>
      <w:r w:rsidRPr="00B63847">
        <w:rPr>
          <w:rStyle w:val="FootnoteReference"/>
          <w:rFonts w:cs="MetaPro-Normal"/>
          <w:vertAlign w:val="baseline"/>
        </w:rPr>
        <w:footnoteRef/>
      </w:r>
      <w:r w:rsidRPr="00B63847">
        <w:t xml:space="preserve"> Nárůst intenzity VaV je dlouhodobou cílenou aktivitou, což dokládá i níže uvedený vývoj v Estonsku, Finsku, Dánsku nebo v Rakousku. Nejde pouze o zvyšování veřejných investic, ale především těch soukromých, jak uvidíme v následující kapitole. Zásadní roli hraje i otázka kvalifikovaných lidských zdrojů a s ní související politika vzdělávání (kapitola B.2) a celkový ekonomický a politický rozvoj společnosti (kapitola O).</w:t>
      </w:r>
    </w:p>
  </w:footnote>
  <w:footnote w:id="8">
    <w:p w:rsidR="009D46E6" w:rsidRDefault="009D46E6" w:rsidP="00892E4B">
      <w:pPr>
        <w:pStyle w:val="Poznmka"/>
      </w:pPr>
      <w:r w:rsidRPr="00B63847">
        <w:rPr>
          <w:rStyle w:val="FootnoteReference"/>
          <w:rFonts w:cs="MetaPro-Normal"/>
          <w:vertAlign w:val="baseline"/>
        </w:rPr>
        <w:footnoteRef/>
      </w:r>
      <w:r w:rsidRPr="00B63847">
        <w:t xml:space="preserve"> Ústavy Akademie věd ČR (54 ústavů v roce 2012), jejichž primárním posláním je provádění základního výzkumu, jsou organizovány do tří vědních oblastí: oblast věd o neživé přírodě (18 ústavů), oblast věd o živé přírodě a chemických věd (18 ústavů) a oblast humanitních a společenských věd (17 ústavů)</w:t>
      </w:r>
    </w:p>
  </w:footnote>
  <w:footnote w:id="9">
    <w:p w:rsidR="009D46E6" w:rsidRDefault="009D46E6" w:rsidP="00892E4B">
      <w:pPr>
        <w:pStyle w:val="Poznmka"/>
      </w:pPr>
      <w:r w:rsidRPr="00B63847">
        <w:rPr>
          <w:rStyle w:val="FootnoteReference"/>
          <w:rFonts w:cs="MetaPro-Normal"/>
          <w:vertAlign w:val="baseline"/>
        </w:rPr>
        <w:footnoteRef/>
      </w:r>
      <w:r w:rsidRPr="00B63847">
        <w:t xml:space="preserve"> Jedná se většinou o oborové veřejné výzkumné instituce, které dříve spadaly přímo pod jednotlivá ministerstva jako např. ministerstvo zemědělství nebo dopravy (proto resortní). Většina z nich v roce 2007 získala statut veřejných výzkumných institucí (např. VÚ rostlinné výroby, VÚ živočišné výroby, VÚ vodohospodářský T. G. Masaryka, Centrum dopravního výzkumu atd.).</w:t>
      </w:r>
    </w:p>
  </w:footnote>
  <w:footnote w:id="10">
    <w:p w:rsidR="009D46E6" w:rsidRDefault="009D46E6" w:rsidP="00892E4B">
      <w:pPr>
        <w:pStyle w:val="Poznmka"/>
      </w:pPr>
      <w:r w:rsidRPr="00B63847">
        <w:rPr>
          <w:rStyle w:val="FootnoteReference"/>
          <w:rFonts w:cs="MetaPro-Normal"/>
          <w:vertAlign w:val="baseline"/>
        </w:rPr>
        <w:footnoteRef/>
      </w:r>
      <w:r w:rsidRPr="00B63847">
        <w:t xml:space="preserve"> Vysokoškolský sektor začal budovat své výzkumné kapacity u nás stejně jako ve většině ostatních postkomunistických (východoevropských) zemích až ve druhé polovině 90. let minulého století. Jelikož do té doby byla hlavním posláním většiny vysokých škol výuka, tak byl jejich podíl na výdajích v oblasti VaV v České republice zanedbatelný. Např. v roce 1993 se 400 milióny utracenými za své VaV činnosti se vysoké školy podílely na celkových výdajích na VaV přibližně 3 % a na veřejném výzkumu jednou desetinou.</w:t>
      </w:r>
    </w:p>
  </w:footnote>
  <w:footnote w:id="11">
    <w:p w:rsidR="009D46E6" w:rsidRDefault="009D46E6" w:rsidP="00892E4B">
      <w:pPr>
        <w:pStyle w:val="Poznmka"/>
      </w:pPr>
      <w:r w:rsidRPr="00B63847">
        <w:rPr>
          <w:rStyle w:val="FootnoteReference"/>
          <w:rFonts w:cs="MetaPro-Normal"/>
          <w:vertAlign w:val="baseline"/>
        </w:rPr>
        <w:footnoteRef/>
      </w:r>
      <w:r w:rsidRPr="00B63847">
        <w:t xml:space="preserve"> Jelikož především mezi základním a aplikovaných výzkumem není vždy jasná a jednoznačná hranice, je třeba při interpretaci zjištěných údajů v členění podle typu VaV činnosti postupovat s velkou opatrností. Odlišení základního a aplikovaného výzkumu do velké míry totiž závisí na tom, jaké označení použijí sami výzkumníci a tak by se nemělo rozlišení mezi těmito dvěma typy výzkumu používat za účelem přijímání politických rozhodnutí.</w:t>
      </w:r>
    </w:p>
  </w:footnote>
  <w:footnote w:id="12">
    <w:p w:rsidR="009D46E6" w:rsidRDefault="009D46E6" w:rsidP="00892E4B">
      <w:pPr>
        <w:pStyle w:val="Poznmka"/>
      </w:pPr>
      <w:r w:rsidRPr="00B63847">
        <w:rPr>
          <w:rStyle w:val="FootnoteReference"/>
          <w:rFonts w:cs="MetaPro-Normal"/>
          <w:vertAlign w:val="baseline"/>
        </w:rPr>
        <w:footnoteRef/>
      </w:r>
      <w:r w:rsidRPr="00B63847">
        <w:t xml:space="preserve"> V rámci České republiky obdobnou funkci plnily „resortní“ výzkumné organizace. Velká část z těchto institucí, po jejich transformaci či privatizaci, patří v současné době do podnikatelského sektoru. Jde o veřejné i soukromé podniky s převažující činností v oblasti VaV s významným podílem na podnikatelském VaV, na rozdíl od jiných států (více viz kapitola A.1.6).</w:t>
      </w:r>
    </w:p>
  </w:footnote>
  <w:footnote w:id="13">
    <w:p w:rsidR="009D46E6" w:rsidRDefault="009D46E6" w:rsidP="00892E4B">
      <w:pPr>
        <w:pStyle w:val="Poznmka"/>
      </w:pPr>
      <w:r w:rsidRPr="00B63847">
        <w:rPr>
          <w:rStyle w:val="FootnoteReference"/>
          <w:rFonts w:cs="MetaPro-Normal"/>
          <w:vertAlign w:val="baseline"/>
        </w:rPr>
        <w:footnoteRef/>
      </w:r>
      <w:r w:rsidRPr="00B63847">
        <w:t xml:space="preserve"> Stejně jako v případě vládního sektoru a jeho podílu výdajů na VaV v oblasti přírodních věd, tak i český vysokoškolský výzkum je specifický tím, že dosahuje jednoho z nejvyšších podílů technických věd na jeho celkových výdajích na VaV v porovnání se 20 státy EU, za které jsou k dispozici údaje o výdajích na VaV v třídění podle vědních oblastí.</w:t>
      </w:r>
    </w:p>
  </w:footnote>
  <w:footnote w:id="14">
    <w:p w:rsidR="009D46E6" w:rsidRDefault="009D46E6" w:rsidP="00892E4B">
      <w:pPr>
        <w:pStyle w:val="Poznmka"/>
      </w:pPr>
      <w:r w:rsidRPr="00B63847">
        <w:rPr>
          <w:rStyle w:val="FootnoteReference"/>
          <w:rFonts w:cs="MetaPro-Normal"/>
          <w:vertAlign w:val="baseline"/>
        </w:rPr>
        <w:footnoteRef/>
      </w:r>
      <w:r w:rsidRPr="00B63847">
        <w:t xml:space="preserve"> Pokud se týká podílu vysokoškolského a vládního sektoru na veřejném VaV, není stanovena žádná optimální hranice ani pravidlo, které by stanovovalo podíl jednoho nebo druhého sektoru na veřejném výzkumu. Odráží se zde spíše nastavení systému veřejného VaV v daném státě, resp. jeho tradice.</w:t>
      </w:r>
    </w:p>
  </w:footnote>
  <w:footnote w:id="15">
    <w:p w:rsidR="009D46E6" w:rsidRDefault="009D46E6" w:rsidP="00892E4B">
      <w:pPr>
        <w:pStyle w:val="Poznmka"/>
      </w:pPr>
      <w:r>
        <w:rPr>
          <w:rStyle w:val="FootnoteReference"/>
          <w:rFonts w:cs="MetaPro-Normal"/>
        </w:rPr>
        <w:footnoteRef/>
      </w:r>
      <w:r>
        <w:t xml:space="preserve"> </w:t>
      </w:r>
      <w:r w:rsidRPr="006B2A35">
        <w:t>Podíl firem pod zahraniční kontrolou na výdajích na VaV v podnikatelském sektoru je v České republice jeden z nejvyšších jak v rámci zemí EU27 tak OECD. Vyšších podílů dosáhly zahraniční afilace dle dostupných informací za rok 2009 (OECD, 2013) pouze v Irsku a v Izraeli, podobných hodnot  pak v Rakousku, Belgii nebo v Maďarsku</w:t>
      </w:r>
      <w:r>
        <w:t>.</w:t>
      </w:r>
    </w:p>
  </w:footnote>
  <w:footnote w:id="16">
    <w:p w:rsidR="009D46E6" w:rsidRDefault="009D46E6" w:rsidP="00892E4B">
      <w:pPr>
        <w:pStyle w:val="Poznmka"/>
      </w:pPr>
      <w:r>
        <w:rPr>
          <w:rStyle w:val="FootnoteReference"/>
          <w:rFonts w:cs="MetaPro-Normal"/>
        </w:rPr>
        <w:footnoteRef/>
      </w:r>
      <w:r>
        <w:t xml:space="preserve"> </w:t>
      </w:r>
      <w:r w:rsidRPr="00892E4B">
        <w:t>Do roku 2007 byly tyto údaje k dispozici v rámci statisticky technologické platební bilance (pouze za nákup služeb VaV ze zahraničí), od roku 2008 se pak využívají z této statistiky údaje za subjekty neprovádějící VaV.</w:t>
      </w:r>
    </w:p>
  </w:footnote>
  <w:footnote w:id="17">
    <w:p w:rsidR="009D46E6" w:rsidRDefault="009D46E6" w:rsidP="00892E4B">
      <w:pPr>
        <w:pStyle w:val="Poznmka"/>
      </w:pPr>
      <w:r w:rsidRPr="00B63847">
        <w:rPr>
          <w:rStyle w:val="FootnoteReference"/>
          <w:rFonts w:cs="MetaPro-Normal"/>
          <w:vertAlign w:val="baseline"/>
        </w:rPr>
        <w:footnoteRef/>
      </w:r>
      <w:r w:rsidRPr="00B63847">
        <w:t xml:space="preserve"> </w:t>
      </w:r>
      <w:hyperlink r:id="rId1" w:history="1">
        <w:r w:rsidRPr="00B63847">
          <w:rPr>
            <w:rStyle w:val="Hyperlink"/>
            <w:rFonts w:cs="MetaPro-Normal"/>
          </w:rPr>
          <w:t>www.isvav.cz/</w:t>
        </w:r>
      </w:hyperlink>
      <w:r w:rsidRPr="00B63847">
        <w:t xml:space="preserve"> </w:t>
      </w:r>
    </w:p>
  </w:footnote>
  <w:footnote w:id="18">
    <w:p w:rsidR="009D46E6" w:rsidRDefault="009D46E6" w:rsidP="00892E4B">
      <w:pPr>
        <w:pStyle w:val="Poznmka"/>
      </w:pPr>
      <w:r w:rsidRPr="00B63847">
        <w:rPr>
          <w:rStyle w:val="FootnoteReference"/>
          <w:rFonts w:cs="MetaPro-Normal"/>
          <w:vertAlign w:val="baseline"/>
        </w:rPr>
        <w:footnoteRef/>
      </w:r>
      <w:r w:rsidRPr="00B63847">
        <w:t xml:space="preserve"> </w:t>
      </w:r>
      <w:r w:rsidRPr="00B63847">
        <w:rPr>
          <w:rStyle w:val="PoznmkaChar"/>
          <w:rFonts w:ascii="Tahoma" w:hAnsi="Tahoma"/>
          <w:i/>
          <w:lang w:eastAsia="en-US"/>
        </w:rPr>
        <w:t>Přesný název</w:t>
      </w:r>
      <w:r w:rsidRPr="00B63847">
        <w:rPr>
          <w:rStyle w:val="PoznmkaChar"/>
          <w:rFonts w:ascii="Tahoma" w:hAnsi="Tahoma"/>
          <w:i/>
          <w:lang w:eastAsia="en-US"/>
        </w:rPr>
        <w:tab/>
        <w:t>Zákon č. 130/2002 Sb., o podpoře výzkumu a vývoje z veřejných prostředků a o změně některých souvisejících zákonů (úplné znění viz. Sbírka zákonů pod č. 211/2009 Sb.)</w:t>
      </w:r>
    </w:p>
  </w:footnote>
  <w:footnote w:id="19">
    <w:p w:rsidR="009D46E6" w:rsidRDefault="009D46E6" w:rsidP="00892E4B">
      <w:pPr>
        <w:pStyle w:val="Poznmka"/>
      </w:pPr>
      <w:r w:rsidRPr="00B63847">
        <w:rPr>
          <w:rStyle w:val="FootnoteReference"/>
          <w:rFonts w:cs="MetaPro-Normal"/>
          <w:vertAlign w:val="baseline"/>
        </w:rPr>
        <w:footnoteRef/>
      </w:r>
      <w:r w:rsidRPr="00B63847">
        <w:t xml:space="preserve"> </w:t>
      </w:r>
      <w:r w:rsidRPr="00B63847">
        <w:rPr>
          <w:rStyle w:val="PoznmkaChar"/>
          <w:rFonts w:ascii="Tahoma" w:hAnsi="Tahoma"/>
          <w:i/>
          <w:lang w:eastAsia="en-US"/>
        </w:rPr>
        <w:t xml:space="preserve">Difinice oborů viz </w:t>
      </w:r>
      <w:hyperlink r:id="rId2" w:history="1">
        <w:r w:rsidRPr="00B63847">
          <w:rPr>
            <w:rStyle w:val="PoznmkaChar"/>
            <w:rFonts w:ascii="Tahoma" w:hAnsi="Tahoma"/>
            <w:i/>
            <w:lang w:eastAsia="en-US"/>
          </w:rPr>
          <w:t>http://www.vyzkum.cz/FrontClanek.aspx?idsekce=959</w:t>
        </w:r>
      </w:hyperlink>
      <w:r w:rsidRPr="00B63847">
        <w:t xml:space="preserve"> </w:t>
      </w:r>
    </w:p>
  </w:footnote>
  <w:footnote w:id="20">
    <w:p w:rsidR="009D46E6" w:rsidRDefault="009D46E6" w:rsidP="00892E4B">
      <w:pPr>
        <w:pStyle w:val="Poznmka"/>
      </w:pPr>
      <w:r w:rsidRPr="00B63847">
        <w:rPr>
          <w:rStyle w:val="FootnoteReference"/>
          <w:rFonts w:cs="MetaPro-Normal"/>
          <w:vertAlign w:val="baseline"/>
        </w:rPr>
        <w:footnoteRef/>
      </w:r>
      <w:r w:rsidRPr="00B63847">
        <w:t xml:space="preserve"> </w:t>
      </w:r>
      <w:r w:rsidRPr="00B63847">
        <w:rPr>
          <w:rStyle w:val="PoznmkaChar"/>
          <w:rFonts w:ascii="Tahoma" w:hAnsi="Tahoma"/>
          <w:i/>
          <w:lang w:eastAsia="en-US"/>
        </w:rPr>
        <w:t xml:space="preserve">Přesný název  Metodika hodnocení výsledků výzkumných organizací a hodnocení výsledků ukončených programů (platná pro léta 2013 a 2015) </w:t>
      </w:r>
      <w:hyperlink r:id="rId3" w:history="1">
        <w:r w:rsidRPr="00B63847">
          <w:rPr>
            <w:rStyle w:val="Hyperlink"/>
            <w:rFonts w:cs="MetaPro-Normal"/>
            <w:color w:val="A6A6A6"/>
            <w:u w:val="none"/>
          </w:rPr>
          <w:t>http://www.vyzkum.cz/FrontClanek.aspx?idsekce=685899</w:t>
        </w:r>
      </w:hyperlink>
      <w:r w:rsidRPr="00B63847">
        <w:rPr>
          <w:rStyle w:val="PoznmkaChar"/>
          <w:rFonts w:ascii="Tahoma" w:hAnsi="Tahoma"/>
          <w:i/>
          <w:lang w:eastAsia="en-US"/>
        </w:rPr>
        <w:t xml:space="preserve"> </w:t>
      </w:r>
    </w:p>
  </w:footnote>
  <w:footnote w:id="21">
    <w:p w:rsidR="009D46E6" w:rsidRDefault="009D46E6" w:rsidP="00892E4B">
      <w:pPr>
        <w:pStyle w:val="Poznmka"/>
      </w:pPr>
      <w:r w:rsidRPr="00B63847">
        <w:rPr>
          <w:rStyle w:val="FootnoteReference"/>
          <w:rFonts w:cs="MetaPro-Normal"/>
          <w:vertAlign w:val="baseline"/>
        </w:rPr>
        <w:footnoteRef/>
      </w:r>
      <w:r w:rsidRPr="00B63847">
        <w:t xml:space="preserve"> </w:t>
      </w:r>
      <w:r w:rsidRPr="00B63847">
        <w:rPr>
          <w:rStyle w:val="PoznmkaChar"/>
          <w:rFonts w:ascii="Tahoma" w:hAnsi="Tahoma"/>
          <w:i/>
          <w:lang w:eastAsia="en-US"/>
        </w:rPr>
        <w:t xml:space="preserve">viz </w:t>
      </w:r>
      <w:hyperlink r:id="rId4" w:history="1">
        <w:r w:rsidRPr="00B63847">
          <w:rPr>
            <w:rStyle w:val="Hyperlink"/>
            <w:rFonts w:cs="MetaPro-Normal"/>
            <w:color w:val="A6A6A6"/>
            <w:u w:val="none"/>
          </w:rPr>
          <w:t>http://images.webofknowledge.com/WOKRS511B5P1.01/help/WOS/hp_subject_category_terms_tasca.html</w:t>
        </w:r>
      </w:hyperlink>
      <w:r w:rsidRPr="00B63847">
        <w:rPr>
          <w:rStyle w:val="PoznmkaChar"/>
          <w:rFonts w:ascii="Tahoma" w:hAnsi="Tahoma"/>
          <w:i/>
          <w:lang w:eastAsia="en-US"/>
        </w:rPr>
        <w:t xml:space="preserve"> </w:t>
      </w:r>
    </w:p>
  </w:footnote>
  <w:footnote w:id="22">
    <w:p w:rsidR="009D46E6" w:rsidRDefault="009D46E6" w:rsidP="00892E4B">
      <w:pPr>
        <w:pStyle w:val="Poznmka"/>
      </w:pPr>
      <w:r w:rsidRPr="00B63847">
        <w:rPr>
          <w:rStyle w:val="FootnoteReference"/>
          <w:rFonts w:cs="MetaPro-Normal"/>
          <w:vertAlign w:val="baseline"/>
        </w:rPr>
        <w:footnoteRef/>
      </w:r>
      <w:r w:rsidRPr="00B63847">
        <w:t xml:space="preserve"> Jako impaktované publikace definovány tituly periodik, které registruje databáze Thomson Reuters Web of Science (Metodika hodnocení výsledků výzkumných organizací a hodnocení výsledků ukončených programů (platná pro léta 2013 až 2015), Úřad vlády ČR č.j.: 1417/2013-RVV.</w:t>
      </w:r>
    </w:p>
  </w:footnote>
  <w:footnote w:id="23">
    <w:p w:rsidR="009D46E6" w:rsidRDefault="009D46E6" w:rsidP="00892E4B">
      <w:pPr>
        <w:pStyle w:val="Poznmka"/>
      </w:pPr>
      <w:r w:rsidRPr="00B63847">
        <w:rPr>
          <w:rStyle w:val="FootnoteReference"/>
          <w:rFonts w:cs="MetaPro-Normal"/>
          <w:vertAlign w:val="baseline"/>
        </w:rPr>
        <w:footnoteRef/>
      </w:r>
      <w:r w:rsidRPr="00B63847">
        <w:t xml:space="preserve"> Např. </w:t>
      </w:r>
      <w:hyperlink r:id="rId5" w:history="1">
        <w:r w:rsidRPr="00B63847">
          <w:rPr>
            <w:rStyle w:val="Hyperlink"/>
            <w:rFonts w:cs="MetaPro-Normal"/>
            <w:color w:val="A6A6A6"/>
            <w:u w:val="none"/>
          </w:rPr>
          <w:t>http://www.czso.cz/csu/2011edicniplan.nsf/t/59001FFA8D/$File/96011105.pdf</w:t>
        </w:r>
      </w:hyperlink>
      <w:r w:rsidRPr="00B63847">
        <w:t xml:space="preserve"> </w:t>
      </w:r>
    </w:p>
  </w:footnote>
  <w:footnote w:id="24">
    <w:p w:rsidR="009D46E6" w:rsidRDefault="009D46E6" w:rsidP="00892E4B">
      <w:pPr>
        <w:pStyle w:val="Poznmka"/>
      </w:pPr>
      <w:r w:rsidRPr="00B63847">
        <w:rPr>
          <w:rStyle w:val="FootnoteReference"/>
          <w:rFonts w:cs="MetaPro-Normal"/>
          <w:vertAlign w:val="baseline"/>
        </w:rPr>
        <w:footnoteRef/>
      </w:r>
      <w:r w:rsidRPr="00B63847">
        <w:t xml:space="preserve"> K přiřazení institucí do skupin byly využity příznaky typu instituce poskytované RIV, jméno instituce, metodika ČSU: </w:t>
      </w:r>
      <w:hyperlink r:id="rId6" w:history="1">
        <w:r w:rsidRPr="00B63847">
          <w:rPr>
            <w:rStyle w:val="Hyperlink"/>
            <w:rFonts w:cs="MetaPro-Normal"/>
            <w:color w:val="A6A6A6"/>
            <w:u w:val="none"/>
          </w:rPr>
          <w:t>http://www.czso.cz/csu/redakce.nsf/i/definice_vav/$File/definice.pdf</w:t>
        </w:r>
      </w:hyperlink>
      <w:r w:rsidRPr="00B63847">
        <w:t xml:space="preserve"> a  registr ekonomických subjektů </w:t>
      </w:r>
      <w:hyperlink r:id="rId7" w:history="1">
        <w:r w:rsidRPr="00B63847">
          <w:rPr>
            <w:rStyle w:val="Hyperlink"/>
            <w:rFonts w:cs="MetaPro-Normal"/>
            <w:color w:val="A6A6A6"/>
            <w:u w:val="none"/>
          </w:rPr>
          <w:t>http://registry.czso.cz/irsw/</w:t>
        </w:r>
      </w:hyperlink>
    </w:p>
  </w:footnote>
  <w:footnote w:id="25">
    <w:p w:rsidR="009D46E6" w:rsidRDefault="009D46E6" w:rsidP="00892E4B">
      <w:pPr>
        <w:pStyle w:val="Poznmka"/>
      </w:pPr>
      <w:r w:rsidRPr="00B63847">
        <w:rPr>
          <w:rStyle w:val="PoznmkaChar"/>
          <w:rFonts w:ascii="Tahoma" w:hAnsi="Tahoma"/>
          <w:i/>
          <w:lang w:eastAsia="en-US"/>
        </w:rPr>
        <w:footnoteRef/>
      </w:r>
      <w:r w:rsidRPr="00B63847">
        <w:rPr>
          <w:rStyle w:val="PoznmkaChar"/>
          <w:rFonts w:ascii="Tahoma" w:hAnsi="Tahoma"/>
          <w:i/>
          <w:lang w:eastAsia="en-US"/>
        </w:rPr>
        <w:t xml:space="preserve"> viz </w:t>
      </w:r>
      <w:hyperlink r:id="rId8" w:history="1">
        <w:r w:rsidRPr="00B63847">
          <w:rPr>
            <w:rStyle w:val="PoznmkaChar"/>
            <w:rFonts w:ascii="Tahoma" w:hAnsi="Tahoma"/>
            <w:i/>
            <w:lang w:eastAsia="en-US"/>
          </w:rPr>
          <w:t>TR InCites</w:t>
        </w:r>
      </w:hyperlink>
      <w:r w:rsidRPr="00B63847">
        <w:rPr>
          <w:rStyle w:val="PoznmkaChar"/>
          <w:rFonts w:ascii="Tahoma" w:hAnsi="Tahoma"/>
          <w:i/>
          <w:lang w:eastAsia="en-US"/>
        </w:rPr>
        <w:t xml:space="preserve"> </w:t>
      </w:r>
      <w:hyperlink r:id="rId9" w:history="1">
        <w:r w:rsidRPr="00B63847">
          <w:rPr>
            <w:rStyle w:val="Hyperlink"/>
            <w:rFonts w:cs="MetaPro-Normal"/>
            <w:color w:val="A6A6A6"/>
            <w:u w:val="none"/>
          </w:rPr>
          <w:t>http://researchanalytics.thomsonreuters.com/incites/</w:t>
        </w:r>
      </w:hyperlink>
      <w:r w:rsidRPr="00B63847">
        <w:rPr>
          <w:rStyle w:val="PoznmkaChar"/>
          <w:rFonts w:ascii="Tahoma" w:hAnsi="Tahoma"/>
          <w:i/>
          <w:lang w:eastAsia="en-US"/>
        </w:rPr>
        <w:t xml:space="preserve"> </w:t>
      </w:r>
    </w:p>
  </w:footnote>
  <w:footnote w:id="26">
    <w:p w:rsidR="009D46E6" w:rsidRDefault="009D46E6" w:rsidP="00892E4B">
      <w:pPr>
        <w:pStyle w:val="Poznmka"/>
      </w:pPr>
      <w:r w:rsidRPr="00B63847">
        <w:rPr>
          <w:rStyle w:val="FootnoteReference"/>
          <w:rFonts w:cs="MetaPro-Normal"/>
          <w:vertAlign w:val="baseline"/>
        </w:rPr>
        <w:footnoteRef/>
      </w:r>
      <w:r w:rsidRPr="00B63847">
        <w:t xml:space="preserve"> E. Garfield,. Citation indexing : its theory and application in science, technology, and humanities. Wiley, New York 1979.</w:t>
      </w:r>
    </w:p>
  </w:footnote>
  <w:footnote w:id="27">
    <w:p w:rsidR="009D46E6" w:rsidRDefault="009D46E6" w:rsidP="00892E4B">
      <w:pPr>
        <w:pStyle w:val="Poznmka"/>
      </w:pPr>
      <w:r w:rsidRPr="00B63847">
        <w:rPr>
          <w:rStyle w:val="FootnoteReference"/>
          <w:rFonts w:cs="MetaPro-Normal"/>
          <w:vertAlign w:val="baseline"/>
        </w:rPr>
        <w:footnoteRef/>
      </w:r>
      <w:r w:rsidRPr="00B63847">
        <w:t xml:space="preserve"> Z Garfieldovy analýzy významnosti periodik však vyplývá, že jádro titulů z hlediska míry citovanosti a tedy relevance ve vědeckém poznání tvoří kolem 103 periodik, Garfield, E. Citation analysis as a tool in journal evaluation. Science, 178 (4060), 471-479 (1972), Garfield, E. Which journals attract the most frequently cited articles?. Current Contents, No. 39, 5-6. (1973)</w:t>
      </w:r>
    </w:p>
  </w:footnote>
  <w:footnote w:id="28">
    <w:p w:rsidR="009D46E6" w:rsidRDefault="009D46E6" w:rsidP="00892E4B">
      <w:pPr>
        <w:pStyle w:val="Poznmka"/>
      </w:pPr>
      <w:r w:rsidRPr="00B63847">
        <w:rPr>
          <w:rStyle w:val="FootnoteReference"/>
          <w:rFonts w:cs="MetaPro-Normal"/>
          <w:vertAlign w:val="baseline"/>
        </w:rPr>
        <w:footnoteRef/>
      </w:r>
      <w:r w:rsidRPr="00B63847">
        <w:t xml:space="preserve"> Analýza stavu výzkumu, vývoje a inovací v české republice a jejich srovnání se zahraničím v roce 2012, Úřad vlády české republiky, Rada pro výzkum, vývoj a inovace, leden 2013. </w:t>
      </w:r>
      <w:hyperlink r:id="rId10" w:history="1">
        <w:r w:rsidRPr="00B63847">
          <w:rPr>
            <w:rStyle w:val="Hyperlink"/>
            <w:rFonts w:cs="MetaPro-Normal"/>
            <w:color w:val="A6A6A6"/>
            <w:u w:val="none"/>
          </w:rPr>
          <w:t>http://www.vyzkum.cz/FrontClanek.aspx?idsekce=674510</w:t>
        </w:r>
      </w:hyperlink>
      <w:r w:rsidRPr="00B63847">
        <w:t xml:space="preserve"> </w:t>
      </w:r>
    </w:p>
  </w:footnote>
  <w:footnote w:id="29">
    <w:p w:rsidR="009D46E6" w:rsidRDefault="009D46E6" w:rsidP="00892E4B">
      <w:pPr>
        <w:pStyle w:val="Poznmka"/>
      </w:pPr>
      <w:r w:rsidRPr="00B63847">
        <w:rPr>
          <w:rStyle w:val="FootnoteReference"/>
          <w:rFonts w:cs="MetaPro-Normal"/>
          <w:vertAlign w:val="baseline"/>
        </w:rPr>
        <w:footnoteRef/>
      </w:r>
      <w:r w:rsidRPr="00B63847">
        <w:t xml:space="preserve"> Záznamy v databázích WoS Science Citation Index, Social Sciences Citation Index a Arts &amp; Humanities Citation Index s příznakem CZ=‘CZECH REPUBLIC‘. Ve shodě s metodikou bibliometrické části „Mezinárodního auditu výzkumu vývoje a inovací v ČR“ provedené konsorciem Technopolis (Bibliometric Analysis of the Czech Republic Research Output in an International Context - Institutional Analysis, Annex 8 to the Second Interim Report) jsou započteny pouze dokumenty typu ‘Article’, ‘Letter’, ‘Note’ a ‘Review’. Nejsou tedy započteny např. konferenční příspěvky, abstrakty a knihy.</w:t>
      </w:r>
    </w:p>
  </w:footnote>
  <w:footnote w:id="30">
    <w:p w:rsidR="009D46E6" w:rsidRDefault="009D46E6" w:rsidP="00892E4B">
      <w:pPr>
        <w:pStyle w:val="Poznmka"/>
      </w:pPr>
      <w:r w:rsidRPr="00B63847">
        <w:rPr>
          <w:rStyle w:val="FootnoteReference"/>
          <w:rFonts w:cs="MetaPro-Normal"/>
          <w:vertAlign w:val="baseline"/>
        </w:rPr>
        <w:footnoteRef/>
      </w:r>
      <w:r w:rsidRPr="00B63847">
        <w:t xml:space="preserve"> E. Garfield, Citation Indexing. Its theory and application in science, technology, and humanities, Wiley New York 1979.</w:t>
      </w:r>
    </w:p>
  </w:footnote>
  <w:footnote w:id="31">
    <w:p w:rsidR="009D46E6" w:rsidRDefault="009D46E6" w:rsidP="00892E4B">
      <w:pPr>
        <w:pStyle w:val="Poznmka"/>
      </w:pPr>
      <w:r w:rsidRPr="00B63847">
        <w:rPr>
          <w:rStyle w:val="FootnoteReference"/>
          <w:rFonts w:cs="MetaPro-Normal"/>
          <w:vertAlign w:val="baseline"/>
        </w:rPr>
        <w:footnoteRef/>
      </w:r>
      <w:r w:rsidRPr="00B63847">
        <w:t xml:space="preserve"> </w:t>
      </w:r>
      <w:r w:rsidRPr="00B63847">
        <w:rPr>
          <w:rStyle w:val="PoznmkaChar"/>
          <w:rFonts w:ascii="Tahoma" w:hAnsi="Tahoma"/>
          <w:i/>
          <w:lang w:eastAsia="en-US"/>
        </w:rPr>
        <w:t>J. R. Cole, S. Cole, Measuring the quality of sociological research: Problems in the use of Science Citation Index, The American Sociologist 6, 23 (1971).</w:t>
      </w:r>
    </w:p>
  </w:footnote>
  <w:footnote w:id="32">
    <w:p w:rsidR="009D46E6" w:rsidRDefault="009D46E6" w:rsidP="00892E4B">
      <w:pPr>
        <w:pStyle w:val="Poznmka"/>
      </w:pPr>
      <w:r w:rsidRPr="00B63847">
        <w:rPr>
          <w:rStyle w:val="FootnoteReference"/>
          <w:rFonts w:cs="MetaPro-Normal"/>
          <w:vertAlign w:val="baseline"/>
        </w:rPr>
        <w:footnoteRef/>
      </w:r>
      <w:r w:rsidRPr="00B63847">
        <w:t xml:space="preserve"> Tzv. „crown“ indikátor používaný Centre for Science and Technology Studies, University Leiden</w:t>
      </w:r>
    </w:p>
  </w:footnote>
  <w:footnote w:id="33">
    <w:p w:rsidR="009D46E6" w:rsidRPr="00B63847" w:rsidRDefault="009D46E6" w:rsidP="00892E4B">
      <w:pPr>
        <w:pStyle w:val="Poznmka"/>
      </w:pPr>
      <w:r w:rsidRPr="00B63847">
        <w:rPr>
          <w:rStyle w:val="FootnoteReference"/>
          <w:rFonts w:cs="MetaPro-Normal"/>
          <w:vertAlign w:val="baseline"/>
        </w:rPr>
        <w:footnoteRef/>
      </w:r>
      <w:r w:rsidRPr="00B63847">
        <w:t xml:space="preserve"> Tzv. item-oriented indikátor používaný Karolinska Institutet, Sweden, srovnání indikátorů viz</w:t>
      </w:r>
    </w:p>
    <w:p w:rsidR="009D46E6" w:rsidRDefault="009D46E6" w:rsidP="00892E4B">
      <w:pPr>
        <w:pStyle w:val="Poznmka"/>
      </w:pPr>
      <w:r w:rsidRPr="00B63847">
        <w:t>http://kib.ki.se/sites/kib.ki.se/files/Bibliometric_indicators_definitions_1.0.pdf</w:t>
      </w:r>
    </w:p>
  </w:footnote>
  <w:footnote w:id="34">
    <w:p w:rsidR="009D46E6" w:rsidRDefault="009D46E6" w:rsidP="00892E4B">
      <w:pPr>
        <w:pStyle w:val="Poznmka"/>
      </w:pPr>
      <w:r w:rsidRPr="00B63847">
        <w:rPr>
          <w:rStyle w:val="FootnoteReference"/>
          <w:rFonts w:cs="MetaPro-Normal"/>
          <w:vertAlign w:val="baseline"/>
        </w:rPr>
        <w:footnoteRef/>
      </w:r>
      <w:r w:rsidRPr="00B63847">
        <w:t xml:space="preserve"> C. Rehn, U. Kronman, Bibliometric handbook for Karolinska Institutet (2008).</w:t>
      </w:r>
    </w:p>
  </w:footnote>
  <w:footnote w:id="35">
    <w:p w:rsidR="009D46E6" w:rsidRDefault="009D46E6" w:rsidP="00892E4B">
      <w:pPr>
        <w:pStyle w:val="Poznmka"/>
      </w:pPr>
      <w:r w:rsidRPr="00B63847">
        <w:rPr>
          <w:rStyle w:val="FootnoteReference"/>
          <w:rFonts w:cs="MetaPro-Normal"/>
          <w:vertAlign w:val="baseline"/>
        </w:rPr>
        <w:footnoteRef/>
      </w:r>
      <w:r w:rsidRPr="00B63847">
        <w:t xml:space="preserve"> J. Lundberg, Journal of Informetrics, 1, (2), 145, (2007).</w:t>
      </w:r>
    </w:p>
  </w:footnote>
  <w:footnote w:id="36">
    <w:p w:rsidR="009D46E6" w:rsidRDefault="009D46E6" w:rsidP="00892E4B">
      <w:pPr>
        <w:pStyle w:val="Poznmka"/>
      </w:pPr>
      <w:r w:rsidRPr="00B63847">
        <w:rPr>
          <w:rStyle w:val="FootnoteReference"/>
          <w:rFonts w:cs="MetaPro-Normal"/>
          <w:vertAlign w:val="baseline"/>
        </w:rPr>
        <w:footnoteRef/>
      </w:r>
      <w:r w:rsidRPr="00B63847">
        <w:t xml:space="preserve"> Jako minimální časový interval se obecně považují dva roky.</w:t>
      </w:r>
    </w:p>
  </w:footnote>
  <w:footnote w:id="37">
    <w:p w:rsidR="009D46E6" w:rsidRDefault="009D46E6" w:rsidP="00892E4B">
      <w:pPr>
        <w:pStyle w:val="Poznmka"/>
      </w:pPr>
      <w:r w:rsidRPr="00B63847">
        <w:rPr>
          <w:rStyle w:val="FootnoteReference"/>
          <w:rFonts w:cs="MetaPro-Normal"/>
          <w:vertAlign w:val="baseline"/>
        </w:rPr>
        <w:footnoteRef/>
      </w:r>
      <w:r w:rsidRPr="00B63847">
        <w:t xml:space="preserve"> Metodiky hodnocení výsledků výzkumných organizací a hodnocení výsledků ukončených programů v letech 2009 až 2012</w:t>
      </w:r>
      <w:r w:rsidRPr="00B63847">
        <w:rPr>
          <w:rStyle w:val="Hyperlink"/>
          <w:rFonts w:cs="MetaPro-Normal"/>
          <w:color w:val="A6A6A6"/>
          <w:u w:val="none"/>
        </w:rPr>
        <w:t xml:space="preserve"> (http://www.vyzkum.cz/FrontClanek.aspx?idsekce=18748)</w:t>
      </w:r>
      <w:r w:rsidRPr="00B63847">
        <w:t>.</w:t>
      </w:r>
    </w:p>
  </w:footnote>
  <w:footnote w:id="38">
    <w:p w:rsidR="009D46E6" w:rsidRDefault="009D46E6" w:rsidP="00892E4B">
      <w:pPr>
        <w:pStyle w:val="Poznmka"/>
      </w:pPr>
      <w:r w:rsidRPr="00B63847">
        <w:rPr>
          <w:rStyle w:val="FootnoteReference"/>
          <w:rFonts w:cs="MetaPro-Normal"/>
          <w:vertAlign w:val="baseline"/>
        </w:rPr>
        <w:footnoteRef/>
      </w:r>
      <w:r w:rsidRPr="00B63847">
        <w:t xml:space="preserve"> Metodika oborového třídění Essential Science Indicators přiřazuje každému širšímu oboru soubor titulů periodik. Každý titul je přiřazen pouze jednomu oboru (na rozdíl od podrobnějšího dělení podle Web of Science Categories, kde jeden titul periodika může být přiřazen několika oborům). ESI indikátory jsou odvozeny z podmnožiny všech titulů indexovaných WoS. ESI nyní pokrývají přibližně 10 milionů článků v přibližně 11 800 časopiseckých titulech (</w:t>
      </w:r>
      <w:hyperlink r:id="rId11" w:history="1">
        <w:r w:rsidRPr="00B63847">
          <w:rPr>
            <w:rStyle w:val="Hyperlink"/>
            <w:rFonts w:cs="MetaPro-Normal"/>
            <w:color w:val="A6A6A6"/>
            <w:u w:val="none"/>
          </w:rPr>
          <w:t>http://thomsonreuters.com/essential-science-indicators/</w:t>
        </w:r>
      </w:hyperlink>
      <w:r w:rsidRPr="00B63847">
        <w:t xml:space="preserve"> ). Oborové definice ESI viz </w:t>
      </w:r>
      <w:hyperlink r:id="rId12" w:history="1">
        <w:r w:rsidRPr="00B63847">
          <w:rPr>
            <w:rStyle w:val="Hyperlink"/>
            <w:rFonts w:cs="MetaPro-Normal"/>
            <w:color w:val="A6A6A6"/>
            <w:u w:val="none"/>
          </w:rPr>
          <w:t>http://archive.sciencewatch.com/about/met/fielddef/</w:t>
        </w:r>
      </w:hyperlink>
      <w:r w:rsidRPr="00B63847">
        <w:t xml:space="preserve"> </w:t>
      </w:r>
    </w:p>
  </w:footnote>
  <w:footnote w:id="39">
    <w:p w:rsidR="009D46E6" w:rsidRDefault="009D46E6" w:rsidP="00892E4B">
      <w:pPr>
        <w:pStyle w:val="Poznmka"/>
      </w:pPr>
      <w:r w:rsidRPr="00B63847">
        <w:rPr>
          <w:rStyle w:val="FootnoteReference"/>
          <w:rFonts w:cs="MetaPro-Normal"/>
          <w:vertAlign w:val="baseline"/>
        </w:rPr>
        <w:footnoteRef/>
      </w:r>
      <w:r w:rsidRPr="00B63847">
        <w:t xml:space="preserve"> Ve skupině „Ostatní“ jsou zde sloučeny organizační složky státu, státní příspěvkové organizace, veřejné výzkumné instituce mimo AV ČR a ostatní právnické a fyzické osoby)</w:t>
      </w:r>
    </w:p>
  </w:footnote>
  <w:footnote w:id="40">
    <w:p w:rsidR="009D46E6" w:rsidRDefault="009D46E6" w:rsidP="00892E4B">
      <w:pPr>
        <w:pStyle w:val="Poznmka"/>
      </w:pPr>
      <w:r w:rsidRPr="00B63847">
        <w:rPr>
          <w:rStyle w:val="FootnoteReference"/>
          <w:rFonts w:cs="MetaPro-Normal"/>
          <w:sz w:val="20"/>
          <w:szCs w:val="20"/>
          <w:vertAlign w:val="baseline"/>
        </w:rPr>
        <w:footnoteRef/>
      </w:r>
      <w:r w:rsidRPr="00B63847">
        <w:rPr>
          <w:rStyle w:val="FootnoteReference"/>
          <w:rFonts w:cs="MetaPro-Normal"/>
          <w:sz w:val="20"/>
          <w:szCs w:val="20"/>
          <w:vertAlign w:val="baseline"/>
        </w:rPr>
        <w:t xml:space="preserve"> </w:t>
      </w:r>
      <w:r w:rsidRPr="00B63847">
        <w:t xml:space="preserve">Ne všem přihlášeným vynálezům prostřednictvím patentové přihlášky je však nakonec udělen patent. Z přihlášek podaných mezi roky 1995 až 2003 českými přihlašovateli u ÚPV ČR byl patent udělen necelé polovině z nich (46 %). Nejvyšší úspěšnost zaznamenaly veřejné vysoké školy a veřejné výzkumné instituce, kde byl patent udělen u 87 %, resp. 85 % podaných patentových přihlášek. U podniků to bylo v 60 % případů a u fyzických osob pouze u 30 % podaných patentových přihlášek. Průměrná doba od podání patentové přihlášky po udělení patentu byla u ÚPV ČR u českých přihlašovatelů ve výše uvedeném období 3 roky a 4 měsíce. </w:t>
      </w:r>
    </w:p>
  </w:footnote>
  <w:footnote w:id="41">
    <w:p w:rsidR="009D46E6" w:rsidRDefault="009D46E6" w:rsidP="00892E4B">
      <w:pPr>
        <w:pStyle w:val="Poznmka"/>
      </w:pPr>
      <w:r w:rsidRPr="00B63847">
        <w:rPr>
          <w:rStyle w:val="FootnoteReference"/>
          <w:rFonts w:cs="MetaPro-Normal"/>
          <w:sz w:val="20"/>
          <w:szCs w:val="20"/>
          <w:vertAlign w:val="baseline"/>
        </w:rPr>
        <w:footnoteRef/>
      </w:r>
      <w:r w:rsidRPr="00B63847">
        <w:t xml:space="preserve"> Na základě dat o počtu patentových přihlášek podaných u ÚPV ČR, průměrné době od podání přihlášky k udělení patentu a úspěšnosti jednotlivých typů přihlašovatelů lze odhadnout vývoj počtu udělených patentů v ČR tuzemským přihlašovatelům v následujících cca třech letech. </w:t>
      </w:r>
    </w:p>
  </w:footnote>
  <w:footnote w:id="42">
    <w:p w:rsidR="009D46E6" w:rsidRPr="00B63847" w:rsidRDefault="009D46E6" w:rsidP="00892E4B">
      <w:pPr>
        <w:pStyle w:val="Poznmka"/>
      </w:pPr>
      <w:r w:rsidRPr="00B63847">
        <w:rPr>
          <w:rStyle w:val="FootnoteReference"/>
          <w:rFonts w:cs="MetaPro-Normal"/>
          <w:sz w:val="20"/>
          <w:szCs w:val="20"/>
          <w:vertAlign w:val="baseline"/>
        </w:rPr>
        <w:footnoteRef/>
      </w:r>
      <w:r w:rsidRPr="00B63847">
        <w:t xml:space="preserve"> Pro předměty s nižší vynálezeckou úrovní, popř. menšího ekonomického významu, je možné zvolit jednodušší, rychlejší a méně nákladnou ochranu užitným vzorem. V porovnání s patentovou ochranou však u zapsaných užitných vzorů existuje podstatně vyšší míra právní nejistoty související s absencí úředního průzkumu novosti technického řešení a míry požadované tvůrčí úrovně. Naproti tomu ochrana patentem je vhodná zejména pro světově nové technické řešení s nadějí na úspěšné projití přísným průzkumem, pokud se výroba na něm založená jeví jako dlouhodobá a perspektivní a při silné konkurenci.</w:t>
      </w:r>
    </w:p>
    <w:p w:rsidR="009D46E6" w:rsidRDefault="009D46E6" w:rsidP="00892E4B">
      <w:pPr>
        <w:pStyle w:val="Poznmka"/>
      </w:pPr>
    </w:p>
  </w:footnote>
  <w:footnote w:id="43">
    <w:p w:rsidR="009D46E6" w:rsidRDefault="009D46E6" w:rsidP="00892E4B">
      <w:pPr>
        <w:pStyle w:val="Poznmka"/>
      </w:pPr>
      <w:r w:rsidRPr="00B63847">
        <w:rPr>
          <w:rStyle w:val="FootnoteReference"/>
          <w:rFonts w:cs="MetaPro-Normal"/>
          <w:sz w:val="20"/>
          <w:szCs w:val="20"/>
          <w:vertAlign w:val="baseline"/>
        </w:rPr>
        <w:footnoteRef/>
      </w:r>
      <w:r w:rsidRPr="00B63847">
        <w:rPr>
          <w:sz w:val="20"/>
          <w:szCs w:val="20"/>
        </w:rPr>
        <w:t xml:space="preserve"> </w:t>
      </w:r>
      <w:r w:rsidRPr="00B63847">
        <w:t xml:space="preserve">Od roku 2002 totiž existuje pro zahraniční přihlašovatele možnost podat patentovou přihlášku přímo u Evropského patentového úřadu s uvedením designace této přihlášky pro jakoukoliv zemi EU. Z tohoto důvodu se postupně významně snížil počet přihlášek patentů podaných zahraničními přihlašovateli přímo u ÚPV ČR tzv. národní cestou z cca 5 tisíc v roce 2000 na v průměru cca 100 ročně v posledních čtyřech letech. Z tohoto důvodu nejsou údaje o podaných patentových přihláškách u ÚPV ČR zahraničními subjekty publikovány. </w:t>
      </w:r>
    </w:p>
  </w:footnote>
  <w:footnote w:id="44">
    <w:p w:rsidR="009D46E6" w:rsidRDefault="009D46E6" w:rsidP="00892E4B">
      <w:pPr>
        <w:pStyle w:val="Poznmka"/>
      </w:pPr>
      <w:r w:rsidRPr="00B63847">
        <w:rPr>
          <w:rStyle w:val="FootnoteReference"/>
          <w:rFonts w:cs="MetaPro-Normal"/>
          <w:sz w:val="20"/>
          <w:szCs w:val="20"/>
          <w:vertAlign w:val="baseline"/>
        </w:rPr>
        <w:footnoteRef/>
      </w:r>
      <w:r w:rsidRPr="00B63847">
        <w:rPr>
          <w:sz w:val="20"/>
          <w:szCs w:val="20"/>
        </w:rPr>
        <w:t xml:space="preserve"> </w:t>
      </w:r>
      <w:r w:rsidRPr="00B63847">
        <w:t>Evropský patent poskytuje svému majiteli v každém smluvním státě, pro který byl designován, po jeho validaci národním patentovým úřadem, stejná práva, jaká by pro něho vyplývala z národního patentu uděleného v tomto státě národní (klasickou) cestou.</w:t>
      </w:r>
    </w:p>
  </w:footnote>
  <w:footnote w:id="45">
    <w:p w:rsidR="009D46E6" w:rsidRDefault="009D46E6" w:rsidP="00892E4B">
      <w:pPr>
        <w:pStyle w:val="Poznmka"/>
      </w:pPr>
      <w:r w:rsidRPr="00B63847">
        <w:rPr>
          <w:rStyle w:val="FootnoteReference"/>
          <w:rFonts w:cs="MetaPro-Normal"/>
          <w:sz w:val="20"/>
          <w:szCs w:val="20"/>
          <w:vertAlign w:val="baseline"/>
        </w:rPr>
        <w:footnoteRef/>
      </w:r>
      <w:r w:rsidRPr="00B63847">
        <w:t xml:space="preserve"> http://iocb-tto.cz/content/view/antiviral-drugs</w:t>
      </w:r>
    </w:p>
  </w:footnote>
  <w:footnote w:id="46">
    <w:p w:rsidR="009D46E6" w:rsidRDefault="009D46E6" w:rsidP="00892E4B">
      <w:pPr>
        <w:pStyle w:val="Poznmka"/>
      </w:pPr>
      <w:r w:rsidRPr="00B63847">
        <w:footnoteRef/>
      </w:r>
      <w:r w:rsidRPr="00B63847">
        <w:t xml:space="preserve"> Souhrnný inovační index hodnotí inovační výkonnost zemí EU a dalších vybraných zemí Evropy, výpočet se provádí na základě statistické analýzy mnoha dalších separátních ukazatelů v oblastní inovační činnosti, rozdělených do několika bloků. Pomocí metody vážené agregace dílčích ukazatelů a robustní analýzou se odvozuje souhrnný inovační index.</w:t>
      </w:r>
    </w:p>
  </w:footnote>
  <w:footnote w:id="47">
    <w:p w:rsidR="009D46E6" w:rsidRDefault="009D46E6" w:rsidP="00892E4B">
      <w:pPr>
        <w:pStyle w:val="Poznmka"/>
      </w:pPr>
      <w:r w:rsidRPr="00B63847">
        <w:rPr>
          <w:rStyle w:val="FootnoteReference"/>
          <w:rFonts w:cs="MetaPro-Normal"/>
          <w:vertAlign w:val="baseline"/>
        </w:rPr>
        <w:footnoteRef/>
      </w:r>
      <w:r w:rsidRPr="00B63847">
        <w:t xml:space="preserve"> Více informací k této problematice naleznete na </w:t>
      </w:r>
      <w:hyperlink r:id="rId13" w:history="1">
        <w:r w:rsidRPr="00B63847">
          <w:t>www.czso.cz/csu/tz.nsf/i/zahranicni_obchod_v_narodnim_pojeti20110308</w:t>
        </w:r>
      </w:hyperlink>
      <w:r w:rsidRPr="00B63847">
        <w:t>.</w:t>
      </w:r>
    </w:p>
  </w:footnote>
  <w:footnote w:id="48">
    <w:p w:rsidR="009D46E6" w:rsidRDefault="009D46E6" w:rsidP="00892E4B">
      <w:pPr>
        <w:pStyle w:val="Poznmka"/>
      </w:pPr>
      <w:r w:rsidRPr="00B63847">
        <w:rPr>
          <w:rStyle w:val="FootnoteReference"/>
          <w:rFonts w:cs="MetaPro-Normal"/>
          <w:vertAlign w:val="baseline"/>
        </w:rPr>
        <w:footnoteRef/>
      </w:r>
      <w:r w:rsidRPr="00B63847">
        <w:t xml:space="preserve"> V textu následující analýzy je zkratka 7. RP užívána souhrnně pro 7. RP a EURATOM</w:t>
      </w:r>
    </w:p>
  </w:footnote>
  <w:footnote w:id="49">
    <w:p w:rsidR="009D46E6" w:rsidRDefault="009D46E6" w:rsidP="00892E4B">
      <w:pPr>
        <w:pStyle w:val="Poznmka"/>
      </w:pPr>
      <w:r w:rsidRPr="00B63847">
        <w:rPr>
          <w:rStyle w:val="FootnoteReference"/>
          <w:rFonts w:cs="MetaPro-Normal"/>
          <w:vertAlign w:val="baseline"/>
        </w:rPr>
        <w:footnoteRef/>
      </w:r>
      <w:r w:rsidRPr="00B63847">
        <w:t>Závěrečný účet kapitoly MZV za rok 2012 [http://www.mzv.cz/jnp/cz/o_ministerstvu/majetek_a_rozpocet]</w:t>
      </w:r>
    </w:p>
  </w:footnote>
  <w:footnote w:id="50">
    <w:p w:rsidR="009D46E6" w:rsidRDefault="009D46E6" w:rsidP="00892E4B">
      <w:pPr>
        <w:pStyle w:val="Poznmka"/>
      </w:pPr>
      <w:r w:rsidRPr="00B63847">
        <w:rPr>
          <w:rStyle w:val="FootnoteReference"/>
          <w:rFonts w:cs="MetaPro-Normal"/>
          <w:vertAlign w:val="baseline"/>
        </w:rPr>
        <w:footnoteRef/>
      </w:r>
      <w:r w:rsidRPr="00B63847">
        <w:t xml:space="preserve"> Závěrečný účet kapitoly MŠMT za rok 2012 (http://www.msmt.cz/vzdelavani/skolstvi-v-cr/ekonomika-skolstvi/szu)</w:t>
      </w:r>
    </w:p>
  </w:footnote>
  <w:footnote w:id="51">
    <w:p w:rsidR="009D46E6" w:rsidRDefault="009D46E6" w:rsidP="00892E4B">
      <w:pPr>
        <w:pStyle w:val="Poznmka"/>
      </w:pPr>
      <w:r w:rsidRPr="00B63847">
        <w:rPr>
          <w:rStyle w:val="FootnoteReference"/>
          <w:rFonts w:cs="MetaPro-Normal"/>
          <w:vertAlign w:val="baseline"/>
        </w:rPr>
        <w:footnoteRef/>
      </w:r>
      <w:r w:rsidRPr="00B63847">
        <w:t xml:space="preserve"> Rok 2012 je závěrečným rokem řešení projektů podpořených v dřívějších programech COST, EUPRO, EUREKA, INGO a KONTAKT. Aktuální programy s označením CZ nebo II na tyto programy plynule navazují. Statistiky čerpání zobrazují souhrnná data.</w:t>
      </w:r>
    </w:p>
  </w:footnote>
  <w:footnote w:id="52">
    <w:p w:rsidR="009D46E6" w:rsidRDefault="009D46E6" w:rsidP="00892E4B">
      <w:pPr>
        <w:pStyle w:val="Poznmka"/>
      </w:pPr>
      <w:r w:rsidRPr="00B63847">
        <w:rPr>
          <w:rStyle w:val="FootnoteReference"/>
          <w:rFonts w:cs="MetaPro-Normal"/>
          <w:vertAlign w:val="baseline"/>
        </w:rPr>
        <w:footnoteRef/>
      </w:r>
      <w:r w:rsidRPr="00B63847">
        <w:t xml:space="preserve"> Rozpočet kapitoly MŠMT na rok 2013 (http://www.msmt.cz/vzdelavani/skolstvi-v-cr/ekonomika-skolstvi/rozpocet-kapitoly-msmt)</w:t>
      </w:r>
    </w:p>
  </w:footnote>
  <w:footnote w:id="53">
    <w:p w:rsidR="009D46E6" w:rsidRDefault="009D46E6" w:rsidP="00892E4B">
      <w:pPr>
        <w:pStyle w:val="Poznmka"/>
      </w:pPr>
      <w:r w:rsidRPr="00B63847">
        <w:rPr>
          <w:rStyle w:val="FootnoteReference"/>
          <w:rFonts w:cs="MetaPro-Normal"/>
          <w:vertAlign w:val="baseline"/>
        </w:rPr>
        <w:footnoteRef/>
      </w:r>
      <w:r w:rsidRPr="00B63847">
        <w:t xml:space="preserve"> Čadil, Vondrák (2013): Vyhodnocení programu COST, EUREKA, INGO, KONTAKT. Technologické centrum AV ČR.</w:t>
      </w:r>
    </w:p>
  </w:footnote>
  <w:footnote w:id="54">
    <w:p w:rsidR="009D46E6" w:rsidRDefault="009D46E6" w:rsidP="00892E4B">
      <w:pPr>
        <w:pStyle w:val="Poznmka"/>
      </w:pPr>
      <w:r w:rsidRPr="00B63847">
        <w:rPr>
          <w:rStyle w:val="FootnoteReference"/>
          <w:rFonts w:cs="MetaPro-Normal"/>
          <w:vertAlign w:val="baseline"/>
        </w:rPr>
        <w:footnoteRef/>
      </w:r>
      <w:r w:rsidRPr="00B63847">
        <w:t xml:space="preserve"> Návrh výdajů státního rozpočtu České republiky na výzkum, experimentální vývoj a inovace na rok 2014 s výhledem na léta 2015 a 2016</w:t>
      </w:r>
    </w:p>
  </w:footnote>
  <w:footnote w:id="55">
    <w:p w:rsidR="009D46E6" w:rsidRDefault="009D46E6" w:rsidP="00892E4B">
      <w:pPr>
        <w:pStyle w:val="Poznmka"/>
      </w:pPr>
      <w:r w:rsidRPr="00B63847">
        <w:rPr>
          <w:rStyle w:val="FootnoteReference"/>
          <w:rFonts w:cs="MetaPro-Normal"/>
          <w:vertAlign w:val="baseline"/>
        </w:rPr>
        <w:footnoteRef/>
      </w:r>
      <w:r w:rsidRPr="00B63847">
        <w:t xml:space="preserve"> Popsaný vývoj se liší od trendu prezentovaného v předchozím vydání Analýzy. Důvodem jsou revize a opravy zdrojových dat</w:t>
      </w:r>
    </w:p>
  </w:footnote>
  <w:footnote w:id="56">
    <w:p w:rsidR="009D46E6" w:rsidRDefault="009D46E6" w:rsidP="00892E4B">
      <w:pPr>
        <w:pStyle w:val="Poznmka"/>
      </w:pPr>
      <w:r w:rsidRPr="00B63847">
        <w:rPr>
          <w:rStyle w:val="FootnoteReference"/>
          <w:rFonts w:cs="MetaPro-Normal"/>
          <w:vertAlign w:val="baseline"/>
        </w:rPr>
        <w:footnoteRef/>
      </w:r>
      <w:r w:rsidRPr="00B63847">
        <w:t xml:space="preserve"> Pro zahraniční soukromé zdroje nejsou údaje o cílových subjektech dostupné</w:t>
      </w:r>
    </w:p>
  </w:footnote>
  <w:footnote w:id="57">
    <w:p w:rsidR="009D46E6" w:rsidRDefault="009D46E6" w:rsidP="00892E4B">
      <w:pPr>
        <w:pStyle w:val="Poznmka"/>
      </w:pPr>
      <w:r w:rsidRPr="00B63847">
        <w:rPr>
          <w:rStyle w:val="FootnoteReference"/>
          <w:rFonts w:cs="MetaPro-Normal"/>
          <w:vertAlign w:val="baseline"/>
        </w:rPr>
        <w:footnoteRef/>
      </w:r>
      <w:r w:rsidRPr="00B63847">
        <w:t xml:space="preserve"> V předchozím programovacím období nebyly VaVaI v Česku explicitně podporovány</w:t>
      </w:r>
    </w:p>
  </w:footnote>
  <w:footnote w:id="58">
    <w:p w:rsidR="009D46E6" w:rsidRDefault="009D46E6" w:rsidP="00892E4B">
      <w:pPr>
        <w:pStyle w:val="Poznmka"/>
      </w:pPr>
      <w:r w:rsidRPr="00B63847">
        <w:rPr>
          <w:rStyle w:val="FootnoteReference"/>
          <w:rFonts w:cs="MetaPro-Normal"/>
          <w:vertAlign w:val="baseline"/>
        </w:rPr>
        <w:footnoteRef/>
      </w:r>
      <w:r w:rsidRPr="00B63847">
        <w:t xml:space="preserve"> Podle pravidla n+2 musí být alokace podpory pro n-tý rok vyčerpána v následujících dvou kalendářních letech. </w:t>
      </w:r>
    </w:p>
  </w:footnote>
  <w:footnote w:id="59">
    <w:p w:rsidR="009D46E6" w:rsidRDefault="009D46E6" w:rsidP="00892E4B">
      <w:pPr>
        <w:pStyle w:val="Poznmka"/>
      </w:pPr>
      <w:r w:rsidRPr="00B63847">
        <w:rPr>
          <w:rStyle w:val="FootnoteReference"/>
          <w:rFonts w:cs="MetaPro-Normal"/>
          <w:vertAlign w:val="baseline"/>
        </w:rPr>
        <w:footnoteRef/>
      </w:r>
      <w:r w:rsidRPr="00B63847">
        <w:t xml:space="preserve"> V některých případech (podpora výzkumu) je podpora ze SF navyšována prostředky státního rozpočtu (viz OP VaVpI).</w:t>
      </w:r>
    </w:p>
  </w:footnote>
  <w:footnote w:id="60">
    <w:p w:rsidR="009D46E6" w:rsidRDefault="009D46E6" w:rsidP="00892E4B">
      <w:pPr>
        <w:pStyle w:val="Poznmka"/>
      </w:pPr>
      <w:r w:rsidRPr="00B63847">
        <w:rPr>
          <w:rStyle w:val="FootnoteReference"/>
          <w:rFonts w:cs="MetaPro-Normal"/>
          <w:vertAlign w:val="baseline"/>
        </w:rPr>
        <w:footnoteRef/>
      </w:r>
      <w:r w:rsidRPr="00B63847">
        <w:t xml:space="preserve"> MŠMT (2013): Průběžná evaluace OP VaVpI, verze 1.2</w:t>
      </w:r>
    </w:p>
  </w:footnote>
  <w:footnote w:id="61">
    <w:p w:rsidR="009D46E6" w:rsidRDefault="009D46E6" w:rsidP="00892E4B">
      <w:pPr>
        <w:pStyle w:val="Poznmka"/>
      </w:pPr>
      <w:r w:rsidRPr="00B63847">
        <w:rPr>
          <w:rStyle w:val="FootnoteReference"/>
          <w:rFonts w:cs="MetaPro-Normal"/>
          <w:vertAlign w:val="baseline"/>
        </w:rPr>
        <w:footnoteRef/>
      </w:r>
      <w:r w:rsidRPr="00B63847">
        <w:t xml:space="preserve"> Aktuálnost monitorovacích indikátorů je nízká - informace jsou shromažďovány ke konci roku a až následně zanášeny do systému.</w:t>
      </w:r>
    </w:p>
  </w:footnote>
  <w:footnote w:id="62">
    <w:p w:rsidR="009D46E6" w:rsidRDefault="009D46E6" w:rsidP="00892E4B">
      <w:pPr>
        <w:pStyle w:val="Poznmka"/>
      </w:pPr>
      <w:r w:rsidRPr="00B63847">
        <w:rPr>
          <w:rStyle w:val="FootnoteReference"/>
          <w:rFonts w:cs="MetaPro-Normal"/>
          <w:vertAlign w:val="baseline"/>
        </w:rPr>
        <w:footnoteRef/>
      </w:r>
      <w:r w:rsidRPr="00B63847">
        <w:t xml:space="preserve"> Hlavní příjemci podpory VaVaI ze SF jsou uvedeny v přílohových tabulkách.</w:t>
      </w:r>
    </w:p>
  </w:footnote>
  <w:footnote w:id="63">
    <w:p w:rsidR="009D46E6" w:rsidRDefault="009D46E6" w:rsidP="00892E4B">
      <w:pPr>
        <w:pStyle w:val="Poznmka"/>
      </w:pPr>
      <w:r w:rsidRPr="00B63847">
        <w:rPr>
          <w:rStyle w:val="FootnoteReference"/>
          <w:rFonts w:cs="MetaPro-Normal"/>
          <w:vertAlign w:val="baseline"/>
        </w:rPr>
        <w:footnoteRef/>
      </w:r>
      <w:r w:rsidRPr="00B63847">
        <w:t xml:space="preserve"> OPPI (2012): Střednědobé hodnocení Operačního programu Podnikání a inovace 2007-2013</w:t>
      </w:r>
    </w:p>
  </w:footnote>
  <w:footnote w:id="64">
    <w:p w:rsidR="009D46E6" w:rsidRDefault="009D46E6" w:rsidP="00892E4B">
      <w:pPr>
        <w:pStyle w:val="Poznmka"/>
      </w:pPr>
      <w:r w:rsidRPr="00B63847">
        <w:rPr>
          <w:rStyle w:val="FootnoteReference"/>
          <w:rFonts w:cs="MetaPro-Normal"/>
          <w:vertAlign w:val="baseline"/>
        </w:rPr>
        <w:footnoteRef/>
      </w:r>
      <w:r w:rsidRPr="00B63847">
        <w:t xml:space="preserve"> HOPE-E.S. (2012): Evaluace realiizace Operačního programu Praha - Konkurenceschopnost [http://www.prahafondy.eu/cz/oppk/ dokumenty/evaluace.html]</w:t>
      </w:r>
    </w:p>
  </w:footnote>
  <w:footnote w:id="65">
    <w:p w:rsidR="009D46E6" w:rsidRDefault="009D46E6" w:rsidP="00892E4B">
      <w:pPr>
        <w:pStyle w:val="Poznmka"/>
      </w:pPr>
      <w:r w:rsidRPr="00B63847">
        <w:rPr>
          <w:rStyle w:val="FootnoteReference"/>
          <w:rFonts w:cs="MetaPro-Normal"/>
          <w:vertAlign w:val="baseline"/>
        </w:rPr>
        <w:footnoteRef/>
      </w:r>
      <w:r w:rsidRPr="00B63847">
        <w:t xml:space="preserve"> Report on Evaluation and Negotiation of Projects under OP RDI [http://www.msmt.cz/file/16287_1_1/]</w:t>
      </w:r>
    </w:p>
  </w:footnote>
  <w:footnote w:id="66">
    <w:p w:rsidR="009D46E6" w:rsidRDefault="009D46E6" w:rsidP="00892E4B">
      <w:pPr>
        <w:pStyle w:val="Poznmka"/>
      </w:pPr>
      <w:r w:rsidRPr="00B63847">
        <w:rPr>
          <w:rStyle w:val="FootnoteReference"/>
          <w:rFonts w:cs="MetaPro-Normal"/>
          <w:vertAlign w:val="baseline"/>
        </w:rPr>
        <w:footnoteRef/>
      </w:r>
      <w:r w:rsidRPr="00B63847">
        <w:t xml:space="preserve"> Podrobnější diskuze udržitelnosti a zaměření VaV infrastruktur je obsahem studií Technologického centra AV ČR [</w:t>
      </w:r>
      <w:hyperlink r:id="rId14" w:history="1">
        <w:r w:rsidRPr="00B63847">
          <w:rPr>
            <w:rStyle w:val="Hyperlink"/>
            <w:rFonts w:cs="MetaPro-Normal"/>
            <w:color w:val="A6A6A6"/>
            <w:u w:val="none"/>
          </w:rPr>
          <w:t>http://www.vyzkum.cz/FrontClanek.aspx?idsekce=13634</w:t>
        </w:r>
      </w:hyperlink>
      <w:r w:rsidRPr="00B63847">
        <w:t>].</w:t>
      </w:r>
    </w:p>
  </w:footnote>
  <w:footnote w:id="67">
    <w:p w:rsidR="009D46E6" w:rsidRDefault="009D46E6" w:rsidP="00892E4B">
      <w:pPr>
        <w:pStyle w:val="Poznmka"/>
      </w:pPr>
      <w:r w:rsidRPr="00B63847">
        <w:rPr>
          <w:rStyle w:val="FootnoteReference"/>
          <w:rFonts w:cs="MetaPro-Normal"/>
          <w:vertAlign w:val="baseline"/>
        </w:rPr>
        <w:footnoteRef/>
      </w:r>
      <w:r w:rsidRPr="00B63847">
        <w:t xml:space="preserve"> Počty zaměstnanců jsou uváděny jako tzv. ekvivalent plného pracovního úvazku (FTE), který odráží skutečnou dobu věnovanou VaV.</w:t>
      </w:r>
    </w:p>
  </w:footnote>
  <w:footnote w:id="68">
    <w:p w:rsidR="009D46E6" w:rsidRDefault="009D46E6" w:rsidP="00892E4B">
      <w:pPr>
        <w:pStyle w:val="Poznmka"/>
      </w:pPr>
      <w:r w:rsidRPr="00B63847">
        <w:rPr>
          <w:rStyle w:val="FootnoteReference"/>
          <w:rFonts w:cs="MetaPro-Normal"/>
          <w:vertAlign w:val="baseline"/>
        </w:rPr>
        <w:footnoteRef/>
      </w:r>
      <w:r w:rsidRPr="00B63847">
        <w:t xml:space="preserve"> blíže viz </w:t>
      </w:r>
      <w:hyperlink r:id="rId15" w:history="1">
        <w:r w:rsidRPr="00B63847">
          <w:rPr>
            <w:rStyle w:val="Hyperlink"/>
            <w:rFonts w:cs="MetaPro-Normal"/>
            <w:color w:val="A6A6A6"/>
            <w:u w:val="none"/>
          </w:rPr>
          <w:t>http://www.msmt.cz/vyzkum/narodni-program-udrzitelnosti-i-1</w:t>
        </w:r>
      </w:hyperlink>
    </w:p>
  </w:footnote>
  <w:footnote w:id="69">
    <w:p w:rsidR="009D46E6" w:rsidRDefault="009D46E6" w:rsidP="00892E4B">
      <w:pPr>
        <w:pStyle w:val="Poznmka"/>
      </w:pPr>
      <w:r w:rsidRPr="00B63847">
        <w:rPr>
          <w:rStyle w:val="FootnoteReference"/>
          <w:rFonts w:cs="MetaPro-Normal"/>
          <w:vertAlign w:val="baseline"/>
        </w:rPr>
        <w:footnoteRef/>
      </w:r>
      <w:r w:rsidRPr="00B63847">
        <w:t xml:space="preserve"> Bližší informace viz http://www.msmt.cz/strukturalni-fondy/prubezna-evaluace-projektu-podporenych-v-ramci-prioritnich</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46E6" w:rsidRPr="00CC19AF" w:rsidRDefault="009D46E6" w:rsidP="00CC19AF"/>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46E6" w:rsidRPr="00275333" w:rsidRDefault="009D46E6" w:rsidP="00DB1559">
    <w:pPr>
      <w:pStyle w:val="heading"/>
      <w:tabs>
        <w:tab w:val="right" w:pos="9638"/>
      </w:tabs>
    </w:pPr>
    <w:fldSimple w:instr=" STYLEREF  &quot;Nadpis 1&quot; \l  \* MERGEFORMAT ">
      <w:r>
        <w:rPr>
          <w:noProof/>
        </w:rPr>
        <w:t>Inovace a high-tech odvětví</w:t>
      </w:r>
    </w:fldSimple>
    <w:r>
      <w:tab/>
    </w:r>
    <w:fldSimple w:instr=" PAGE   \* MERGEFORMAT ">
      <w:r>
        <w:rPr>
          <w:noProof/>
        </w:rPr>
        <w:t>124</w:t>
      </w:r>
    </w:fldSimple>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46E6" w:rsidRPr="00BE0502" w:rsidRDefault="009D46E6" w:rsidP="00DB1559">
    <w:pPr>
      <w:pStyle w:val="heading"/>
      <w:tabs>
        <w:tab w:val="right" w:pos="9638"/>
      </w:tabs>
    </w:pPr>
    <w:fldSimple w:instr=" STYLEREF  &quot;Nadpis 1&quot; \l  \* MERGEFORMAT ">
      <w:r w:rsidRPr="00F00387">
        <w:rPr>
          <w:b/>
          <w:bCs/>
          <w:noProof/>
          <w:lang w:val="en-US"/>
        </w:rPr>
        <w:t>Mezinárodní spolupráce ve výzkumu</w:t>
      </w:r>
      <w:r>
        <w:rPr>
          <w:noProof/>
        </w:rPr>
        <w:t xml:space="preserve"> a vývoji</w:t>
      </w:r>
    </w:fldSimple>
    <w:r>
      <w:tab/>
    </w:r>
    <w:fldSimple w:instr=" PAGE   \* MERGEFORMAT ">
      <w:r>
        <w:rPr>
          <w:noProof/>
        </w:rPr>
        <w:t>142</w:t>
      </w:r>
    </w:fldSimple>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46E6" w:rsidRPr="00BE0502" w:rsidRDefault="009D46E6" w:rsidP="00DB1559">
    <w:pPr>
      <w:pStyle w:val="heading"/>
      <w:tabs>
        <w:tab w:val="right" w:pos="9638"/>
      </w:tabs>
    </w:pPr>
    <w:fldSimple w:instr=" STYLEREF  &quot;Nadpis 1&quot; \l  \* MERGEFORMAT ">
      <w:r w:rsidRPr="00F00387">
        <w:rPr>
          <w:b/>
          <w:bCs/>
          <w:noProof/>
          <w:lang w:val="en-US"/>
        </w:rPr>
        <w:t>Přílohy</w:t>
      </w:r>
    </w:fldSimple>
    <w:r>
      <w:tab/>
    </w:r>
    <w:fldSimple w:instr=" PAGE   \* MERGEFORMAT ">
      <w:r>
        <w:rPr>
          <w:noProof/>
        </w:rPr>
        <w:t>184</w:t>
      </w:r>
    </w:fldSimple>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46E6" w:rsidRPr="00907298" w:rsidRDefault="009D46E6" w:rsidP="00907298"/>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46E6" w:rsidRPr="00275333" w:rsidRDefault="009D46E6" w:rsidP="00DB1559">
    <w:pPr>
      <w:pStyle w:val="heading"/>
      <w:tabs>
        <w:tab w:val="right" w:pos="9638"/>
      </w:tabs>
    </w:pPr>
    <w:fldSimple w:instr=" STYLEREF  &quot;Nadpis 1_nonumber&quot; \l  \* MERGEFORMAT ">
      <w:r>
        <w:rPr>
          <w:noProof/>
        </w:rPr>
        <w:t>Shrnutí</w:t>
      </w:r>
    </w:fldSimple>
    <w:r>
      <w:tab/>
    </w:r>
    <w:fldSimple w:instr=" PAGE   \* MERGEFORMAT ">
      <w:r>
        <w:rPr>
          <w:noProof/>
        </w:rPr>
        <w:t>10</w:t>
      </w:r>
    </w:fldSimple>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46E6" w:rsidRPr="000C2C74" w:rsidRDefault="009D46E6" w:rsidP="00DB1559">
    <w:pPr>
      <w:pStyle w:val="heading"/>
      <w:tabs>
        <w:tab w:val="right" w:pos="9638"/>
      </w:tabs>
    </w:pPr>
    <w:r w:rsidRPr="000C2C74">
      <w:t xml:space="preserve">Analýza stavu výzkumu, vývoje a inovací v České republice a jejich srovnání se zahraničím v roce 2013 </w:t>
    </w:r>
    <w:r>
      <w:tab/>
    </w:r>
    <w:fldSimple w:instr=" PAGE   \* MERGEFORMAT ">
      <w:r>
        <w:rPr>
          <w:noProof/>
        </w:rPr>
        <w:t>9</w:t>
      </w:r>
    </w:fldSimple>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46E6" w:rsidRPr="00275333" w:rsidRDefault="009D46E6" w:rsidP="00DB1559">
    <w:pPr>
      <w:pStyle w:val="heading"/>
      <w:tabs>
        <w:tab w:val="right" w:pos="9638"/>
      </w:tabs>
    </w:pPr>
    <w:fldSimple w:instr=" STYLEREF  &quot;Nadpis 1_nonumber&quot; \l  \* MERGEFORMAT ">
      <w:r>
        <w:rPr>
          <w:noProof/>
        </w:rPr>
        <w:t>Obsah</w:t>
      </w:r>
    </w:fldSimple>
    <w:r>
      <w:tab/>
    </w:r>
    <w:fldSimple w:instr=" PAGE   \* MERGEFORMAT ">
      <w:r>
        <w:rPr>
          <w:noProof/>
        </w:rPr>
        <w:t>16</w:t>
      </w:r>
    </w:fldSimple>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46E6" w:rsidRDefault="009D46E6" w:rsidP="00DB1559">
    <w:pPr>
      <w:pStyle w:val="heading"/>
      <w:tabs>
        <w:tab w:val="right" w:pos="9638"/>
      </w:tabs>
    </w:pPr>
    <w:r>
      <w:t xml:space="preserve">Analýza stavu výzkumu, vývoje a inovací v České republice a jejich srovnání se zahraničím v roce 2013 </w:t>
    </w:r>
    <w:r>
      <w:tab/>
    </w:r>
    <w:fldSimple w:instr=" PAGE   \* MERGEFORMAT ">
      <w:r>
        <w:rPr>
          <w:noProof/>
        </w:rPr>
        <w:t>185</w:t>
      </w:r>
    </w:fldSimple>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46E6" w:rsidRPr="00275333" w:rsidRDefault="009D46E6" w:rsidP="00DB1559">
    <w:pPr>
      <w:pStyle w:val="heading"/>
      <w:tabs>
        <w:tab w:val="right" w:pos="9638"/>
      </w:tabs>
    </w:pPr>
    <w:fldSimple w:instr=" STYLEREF  &quot;Nadpis 1_nonumber&quot; \l  \* MERGEFORMAT ">
      <w:r>
        <w:rPr>
          <w:noProof/>
        </w:rPr>
        <w:t>Makroekonomický rámec analýzy výzkumu, vývoje a inovací</w:t>
      </w:r>
    </w:fldSimple>
    <w:r>
      <w:tab/>
    </w:r>
    <w:fldSimple w:instr=" PAGE   \* MERGEFORMAT ">
      <w:r>
        <w:rPr>
          <w:noProof/>
        </w:rPr>
        <w:t>22</w:t>
      </w:r>
    </w:fldSimple>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46E6" w:rsidRPr="00275333" w:rsidRDefault="009D46E6" w:rsidP="00DB1559">
    <w:pPr>
      <w:pStyle w:val="heading"/>
      <w:tabs>
        <w:tab w:val="right" w:pos="9638"/>
      </w:tabs>
    </w:pPr>
    <w:fldSimple w:instr=" STYLEREF  &quot;Nadpis 1&quot; \l  \* MERGEFORMAT ">
      <w:r w:rsidRPr="00F00387">
        <w:rPr>
          <w:b/>
          <w:bCs/>
          <w:noProof/>
          <w:lang w:val="en-US"/>
        </w:rPr>
        <w:t>Investice do výzkumu a vývoje</w:t>
      </w:r>
    </w:fldSimple>
    <w:r>
      <w:tab/>
    </w:r>
    <w:fldSimple w:instr=" PAGE   \* MERGEFORMAT ">
      <w:r>
        <w:rPr>
          <w:noProof/>
        </w:rPr>
        <w:t>64</w:t>
      </w:r>
    </w:fldSimple>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46E6" w:rsidRPr="00275333" w:rsidRDefault="009D46E6" w:rsidP="00DB1559">
    <w:pPr>
      <w:pStyle w:val="heading"/>
      <w:tabs>
        <w:tab w:val="right" w:pos="9638"/>
      </w:tabs>
    </w:pPr>
    <w:fldSimple w:instr=" STYLEREF  &quot;Nadpis 1&quot; \l  \* MERGEFORMAT ">
      <w:r w:rsidRPr="00F00387">
        <w:rPr>
          <w:b/>
          <w:bCs/>
          <w:noProof/>
          <w:lang w:val="en-US"/>
        </w:rPr>
        <w:t>Výsledky výzkumu a vývoje</w:t>
      </w:r>
    </w:fldSimple>
    <w:r>
      <w:tab/>
    </w:r>
    <w:fldSimple w:instr=" PAGE   \* MERGEFORMAT ">
      <w:r>
        <w:rPr>
          <w:noProof/>
        </w:rPr>
        <w:t>118</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911C708E"/>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FC2CD6F8"/>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4ECA0A10"/>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6BE255E0"/>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DD549044"/>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8D69B18"/>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4EA0BC8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F390733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BBE8984"/>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651419E8"/>
    <w:lvl w:ilvl="0">
      <w:start w:val="1"/>
      <w:numFmt w:val="bullet"/>
      <w:lvlText w:val=""/>
      <w:lvlJc w:val="left"/>
      <w:pPr>
        <w:tabs>
          <w:tab w:val="num" w:pos="360"/>
        </w:tabs>
        <w:ind w:left="360" w:hanging="360"/>
      </w:pPr>
      <w:rPr>
        <w:rFonts w:ascii="Symbol" w:hAnsi="Symbol" w:hint="default"/>
      </w:rPr>
    </w:lvl>
  </w:abstractNum>
  <w:abstractNum w:abstractNumId="10">
    <w:nsid w:val="03A75BD1"/>
    <w:multiLevelType w:val="hybridMultilevel"/>
    <w:tmpl w:val="47CCAFE2"/>
    <w:lvl w:ilvl="0" w:tplc="6F604DBC">
      <w:start w:val="1"/>
      <w:numFmt w:val="bullet"/>
      <w:lvlText w:val=""/>
      <w:lvlJc w:val="left"/>
      <w:pPr>
        <w:tabs>
          <w:tab w:val="num" w:pos="360"/>
        </w:tabs>
        <w:ind w:left="36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1">
    <w:nsid w:val="0B597618"/>
    <w:multiLevelType w:val="hybridMultilevel"/>
    <w:tmpl w:val="E4262C9A"/>
    <w:lvl w:ilvl="0" w:tplc="EE444686">
      <w:start w:val="1"/>
      <w:numFmt w:val="bullet"/>
      <w:lvlText w:val=""/>
      <w:lvlJc w:val="left"/>
      <w:pPr>
        <w:tabs>
          <w:tab w:val="num" w:pos="360"/>
        </w:tabs>
        <w:ind w:left="36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6F604DBC">
      <w:start w:val="1"/>
      <w:numFmt w:val="bullet"/>
      <w:lvlText w:val=""/>
      <w:lvlJc w:val="left"/>
      <w:pPr>
        <w:tabs>
          <w:tab w:val="num" w:pos="2160"/>
        </w:tabs>
        <w:ind w:left="2160" w:hanging="360"/>
      </w:pPr>
      <w:rPr>
        <w:rFonts w:ascii="Symbol" w:hAnsi="Symbol"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2">
    <w:nsid w:val="15DA07FF"/>
    <w:multiLevelType w:val="multilevel"/>
    <w:tmpl w:val="23C468D0"/>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3">
    <w:nsid w:val="160E4305"/>
    <w:multiLevelType w:val="multilevel"/>
    <w:tmpl w:val="FFFFFFF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nsid w:val="172E709C"/>
    <w:multiLevelType w:val="multilevel"/>
    <w:tmpl w:val="F096663C"/>
    <w:lvl w:ilvl="0">
      <w:start w:val="1"/>
      <w:numFmt w:val="upperLetter"/>
      <w:pStyle w:val="Heading1"/>
      <w:lvlText w:val="%1"/>
      <w:lvlJc w:val="left"/>
      <w:pPr>
        <w:ind w:left="454" w:hanging="454"/>
      </w:pPr>
      <w:rPr>
        <w:rFonts w:cs="Times New Roman" w:hint="default"/>
      </w:rPr>
    </w:lvl>
    <w:lvl w:ilvl="1">
      <w:start w:val="1"/>
      <w:numFmt w:val="decimal"/>
      <w:pStyle w:val="Heading2"/>
      <w:lvlText w:val="%1.%2"/>
      <w:lvlJc w:val="left"/>
      <w:pPr>
        <w:ind w:left="567" w:hanging="567"/>
      </w:pPr>
      <w:rPr>
        <w:rFonts w:cs="Times New Roman" w:hint="default"/>
      </w:rPr>
    </w:lvl>
    <w:lvl w:ilvl="2">
      <w:start w:val="1"/>
      <w:numFmt w:val="decimal"/>
      <w:lvlText w:val="%1.%2.%3"/>
      <w:lvlJc w:val="left"/>
      <w:pPr>
        <w:ind w:left="680" w:hanging="680"/>
      </w:pPr>
      <w:rPr>
        <w:rFonts w:cs="Times New Roman" w:hint="default"/>
      </w:rPr>
    </w:lvl>
    <w:lvl w:ilvl="3">
      <w:start w:val="1"/>
      <w:numFmt w:val="decimal"/>
      <w:lvlText w:val="%1.%2.%3.%4"/>
      <w:lvlJc w:val="left"/>
      <w:pPr>
        <w:ind w:left="864" w:hanging="864"/>
      </w:pPr>
      <w:rPr>
        <w:rFonts w:cs="Times New Roman" w:hint="default"/>
      </w:rPr>
    </w:lvl>
    <w:lvl w:ilvl="4">
      <w:start w:val="1"/>
      <w:numFmt w:val="decimal"/>
      <w:pStyle w:val="Heading5"/>
      <w:lvlText w:val="%1.%2.%3.%4.%5"/>
      <w:lvlJc w:val="left"/>
      <w:pPr>
        <w:ind w:left="1008" w:hanging="1008"/>
      </w:pPr>
      <w:rPr>
        <w:rFonts w:cs="Times New Roman" w:hint="default"/>
      </w:rPr>
    </w:lvl>
    <w:lvl w:ilvl="5">
      <w:start w:val="1"/>
      <w:numFmt w:val="decimal"/>
      <w:pStyle w:val="Heading6"/>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pStyle w:val="Heading9"/>
      <w:lvlText w:val="%1.%2.%3.%4.%5.%6.%7.%8.%9"/>
      <w:lvlJc w:val="left"/>
      <w:pPr>
        <w:ind w:left="1584" w:hanging="1584"/>
      </w:pPr>
      <w:rPr>
        <w:rFonts w:cs="Times New Roman" w:hint="default"/>
      </w:rPr>
    </w:lvl>
  </w:abstractNum>
  <w:abstractNum w:abstractNumId="15">
    <w:nsid w:val="23E23F45"/>
    <w:multiLevelType w:val="multilevel"/>
    <w:tmpl w:val="0405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16">
    <w:nsid w:val="252B2BDB"/>
    <w:multiLevelType w:val="hybridMultilevel"/>
    <w:tmpl w:val="B8A2AAF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nsid w:val="25C77F34"/>
    <w:multiLevelType w:val="hybridMultilevel"/>
    <w:tmpl w:val="467A3E88"/>
    <w:lvl w:ilvl="0" w:tplc="EE444686">
      <w:start w:val="1"/>
      <w:numFmt w:val="bullet"/>
      <w:lvlText w:val=""/>
      <w:lvlJc w:val="left"/>
      <w:pPr>
        <w:tabs>
          <w:tab w:val="num" w:pos="360"/>
        </w:tabs>
        <w:ind w:left="36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8">
    <w:nsid w:val="27884A8E"/>
    <w:multiLevelType w:val="hybridMultilevel"/>
    <w:tmpl w:val="B7E6751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nsid w:val="2E6051FA"/>
    <w:multiLevelType w:val="multilevel"/>
    <w:tmpl w:val="04050023"/>
    <w:styleLink w:val="ArticleSection"/>
    <w:lvl w:ilvl="0">
      <w:start w:val="1"/>
      <w:numFmt w:val="upperRoman"/>
      <w:lvlText w:val="Článek %1."/>
      <w:lvlJc w:val="left"/>
      <w:pPr>
        <w:tabs>
          <w:tab w:val="num" w:pos="1440"/>
        </w:tabs>
      </w:pPr>
      <w:rPr>
        <w:rFonts w:cs="Times New Roman"/>
      </w:rPr>
    </w:lvl>
    <w:lvl w:ilvl="1">
      <w:start w:val="1"/>
      <w:numFmt w:val="decimalZero"/>
      <w:isLgl/>
      <w:lvlText w:val="Oddíl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0">
    <w:nsid w:val="36E40933"/>
    <w:multiLevelType w:val="hybridMultilevel"/>
    <w:tmpl w:val="E4262C9A"/>
    <w:lvl w:ilvl="0" w:tplc="EE444686">
      <w:start w:val="1"/>
      <w:numFmt w:val="bullet"/>
      <w:lvlText w:val=""/>
      <w:lvlJc w:val="left"/>
      <w:pPr>
        <w:tabs>
          <w:tab w:val="num" w:pos="360"/>
        </w:tabs>
        <w:ind w:left="36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6F604DBC">
      <w:start w:val="1"/>
      <w:numFmt w:val="bullet"/>
      <w:lvlText w:val=""/>
      <w:lvlJc w:val="left"/>
      <w:pPr>
        <w:tabs>
          <w:tab w:val="num" w:pos="2160"/>
        </w:tabs>
        <w:ind w:left="2160" w:hanging="360"/>
      </w:pPr>
      <w:rPr>
        <w:rFonts w:ascii="Symbol" w:hAnsi="Symbol"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1">
    <w:nsid w:val="37F74062"/>
    <w:multiLevelType w:val="hybridMultilevel"/>
    <w:tmpl w:val="CB449624"/>
    <w:lvl w:ilvl="0" w:tplc="EE444686">
      <w:start w:val="1"/>
      <w:numFmt w:val="bullet"/>
      <w:lvlText w:val=""/>
      <w:lvlJc w:val="left"/>
      <w:pPr>
        <w:tabs>
          <w:tab w:val="num" w:pos="360"/>
        </w:tabs>
        <w:ind w:left="36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2">
    <w:nsid w:val="392D40DC"/>
    <w:multiLevelType w:val="hybridMultilevel"/>
    <w:tmpl w:val="50DA4C62"/>
    <w:lvl w:ilvl="0" w:tplc="EE444686">
      <w:start w:val="1"/>
      <w:numFmt w:val="bullet"/>
      <w:lvlText w:val=""/>
      <w:lvlJc w:val="left"/>
      <w:pPr>
        <w:tabs>
          <w:tab w:val="num" w:pos="360"/>
        </w:tabs>
        <w:ind w:left="360" w:hanging="360"/>
      </w:pPr>
      <w:rPr>
        <w:rFonts w:ascii="Symbol" w:hAnsi="Symbol" w:hint="default"/>
      </w:rPr>
    </w:lvl>
    <w:lvl w:ilvl="1" w:tplc="04050003" w:tentative="1">
      <w:start w:val="1"/>
      <w:numFmt w:val="bullet"/>
      <w:lvlText w:val="o"/>
      <w:lvlJc w:val="left"/>
      <w:pPr>
        <w:tabs>
          <w:tab w:val="num" w:pos="739"/>
        </w:tabs>
        <w:ind w:left="739" w:hanging="360"/>
      </w:pPr>
      <w:rPr>
        <w:rFonts w:ascii="Courier New" w:hAnsi="Courier New" w:hint="default"/>
      </w:rPr>
    </w:lvl>
    <w:lvl w:ilvl="2" w:tplc="04050005" w:tentative="1">
      <w:start w:val="1"/>
      <w:numFmt w:val="bullet"/>
      <w:lvlText w:val=""/>
      <w:lvlJc w:val="left"/>
      <w:pPr>
        <w:tabs>
          <w:tab w:val="num" w:pos="1459"/>
        </w:tabs>
        <w:ind w:left="1459" w:hanging="360"/>
      </w:pPr>
      <w:rPr>
        <w:rFonts w:ascii="Wingdings" w:hAnsi="Wingdings" w:hint="default"/>
      </w:rPr>
    </w:lvl>
    <w:lvl w:ilvl="3" w:tplc="04050001" w:tentative="1">
      <w:start w:val="1"/>
      <w:numFmt w:val="bullet"/>
      <w:lvlText w:val=""/>
      <w:lvlJc w:val="left"/>
      <w:pPr>
        <w:tabs>
          <w:tab w:val="num" w:pos="2179"/>
        </w:tabs>
        <w:ind w:left="2179" w:hanging="360"/>
      </w:pPr>
      <w:rPr>
        <w:rFonts w:ascii="Symbol" w:hAnsi="Symbol" w:hint="default"/>
      </w:rPr>
    </w:lvl>
    <w:lvl w:ilvl="4" w:tplc="04050003" w:tentative="1">
      <w:start w:val="1"/>
      <w:numFmt w:val="bullet"/>
      <w:lvlText w:val="o"/>
      <w:lvlJc w:val="left"/>
      <w:pPr>
        <w:tabs>
          <w:tab w:val="num" w:pos="2899"/>
        </w:tabs>
        <w:ind w:left="2899" w:hanging="360"/>
      </w:pPr>
      <w:rPr>
        <w:rFonts w:ascii="Courier New" w:hAnsi="Courier New" w:hint="default"/>
      </w:rPr>
    </w:lvl>
    <w:lvl w:ilvl="5" w:tplc="04050005" w:tentative="1">
      <w:start w:val="1"/>
      <w:numFmt w:val="bullet"/>
      <w:lvlText w:val=""/>
      <w:lvlJc w:val="left"/>
      <w:pPr>
        <w:tabs>
          <w:tab w:val="num" w:pos="3619"/>
        </w:tabs>
        <w:ind w:left="3619" w:hanging="360"/>
      </w:pPr>
      <w:rPr>
        <w:rFonts w:ascii="Wingdings" w:hAnsi="Wingdings" w:hint="default"/>
      </w:rPr>
    </w:lvl>
    <w:lvl w:ilvl="6" w:tplc="04050001" w:tentative="1">
      <w:start w:val="1"/>
      <w:numFmt w:val="bullet"/>
      <w:lvlText w:val=""/>
      <w:lvlJc w:val="left"/>
      <w:pPr>
        <w:tabs>
          <w:tab w:val="num" w:pos="4339"/>
        </w:tabs>
        <w:ind w:left="4339" w:hanging="360"/>
      </w:pPr>
      <w:rPr>
        <w:rFonts w:ascii="Symbol" w:hAnsi="Symbol" w:hint="default"/>
      </w:rPr>
    </w:lvl>
    <w:lvl w:ilvl="7" w:tplc="04050003" w:tentative="1">
      <w:start w:val="1"/>
      <w:numFmt w:val="bullet"/>
      <w:lvlText w:val="o"/>
      <w:lvlJc w:val="left"/>
      <w:pPr>
        <w:tabs>
          <w:tab w:val="num" w:pos="5059"/>
        </w:tabs>
        <w:ind w:left="5059" w:hanging="360"/>
      </w:pPr>
      <w:rPr>
        <w:rFonts w:ascii="Courier New" w:hAnsi="Courier New" w:hint="default"/>
      </w:rPr>
    </w:lvl>
    <w:lvl w:ilvl="8" w:tplc="04050005" w:tentative="1">
      <w:start w:val="1"/>
      <w:numFmt w:val="bullet"/>
      <w:lvlText w:val=""/>
      <w:lvlJc w:val="left"/>
      <w:pPr>
        <w:tabs>
          <w:tab w:val="num" w:pos="5779"/>
        </w:tabs>
        <w:ind w:left="5779" w:hanging="360"/>
      </w:pPr>
      <w:rPr>
        <w:rFonts w:ascii="Wingdings" w:hAnsi="Wingdings" w:hint="default"/>
      </w:rPr>
    </w:lvl>
  </w:abstractNum>
  <w:abstractNum w:abstractNumId="23">
    <w:nsid w:val="404135CA"/>
    <w:multiLevelType w:val="multilevel"/>
    <w:tmpl w:val="56FC7024"/>
    <w:lvl w:ilvl="0">
      <w:start w:val="1"/>
      <w:numFmt w:val="upperLetter"/>
      <w:pStyle w:val="Anadpis"/>
      <w:lvlText w:val="%1"/>
      <w:lvlJc w:val="left"/>
      <w:pPr>
        <w:ind w:left="432" w:hanging="432"/>
      </w:pPr>
      <w:rPr>
        <w:rFonts w:cs="Times New Roman" w:hint="default"/>
      </w:rPr>
    </w:lvl>
    <w:lvl w:ilvl="1">
      <w:start w:val="1"/>
      <w:numFmt w:val="decimal"/>
      <w:pStyle w:val="Anadpis1"/>
      <w:lvlText w:val="%1. %2"/>
      <w:lvlJc w:val="left"/>
      <w:pPr>
        <w:ind w:left="576" w:hanging="576"/>
      </w:pPr>
      <w:rPr>
        <w:rFonts w:cs="Times New Roman" w:hint="default"/>
      </w:rPr>
    </w:lvl>
    <w:lvl w:ilvl="2">
      <w:start w:val="1"/>
      <w:numFmt w:val="decimal"/>
      <w:pStyle w:val="Anadpis2"/>
      <w:lvlText w:val="%1. %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24">
    <w:nsid w:val="45005B8B"/>
    <w:multiLevelType w:val="hybridMultilevel"/>
    <w:tmpl w:val="CB449624"/>
    <w:lvl w:ilvl="0" w:tplc="6F604DBC">
      <w:start w:val="1"/>
      <w:numFmt w:val="bullet"/>
      <w:lvlText w:val=""/>
      <w:lvlJc w:val="left"/>
      <w:pPr>
        <w:tabs>
          <w:tab w:val="num" w:pos="360"/>
        </w:tabs>
        <w:ind w:left="360" w:hanging="360"/>
      </w:pPr>
      <w:rPr>
        <w:rFonts w:ascii="Symbol" w:hAnsi="Symbol" w:hint="default"/>
      </w:rPr>
    </w:lvl>
    <w:lvl w:ilvl="1" w:tplc="04050003">
      <w:start w:val="1"/>
      <w:numFmt w:val="decimal"/>
      <w:lvlText w:val="%2."/>
      <w:lvlJc w:val="left"/>
      <w:pPr>
        <w:tabs>
          <w:tab w:val="num" w:pos="1440"/>
        </w:tabs>
        <w:ind w:left="1440" w:hanging="360"/>
      </w:pPr>
      <w:rPr>
        <w:rFonts w:cs="Times New Roman"/>
      </w:rPr>
    </w:lvl>
    <w:lvl w:ilvl="2" w:tplc="04050005">
      <w:start w:val="1"/>
      <w:numFmt w:val="decimal"/>
      <w:lvlText w:val="%3."/>
      <w:lvlJc w:val="left"/>
      <w:pPr>
        <w:tabs>
          <w:tab w:val="num" w:pos="2160"/>
        </w:tabs>
        <w:ind w:left="2160" w:hanging="360"/>
      </w:pPr>
      <w:rPr>
        <w:rFonts w:cs="Times New Roman"/>
      </w:rPr>
    </w:lvl>
    <w:lvl w:ilvl="3" w:tplc="04050001">
      <w:start w:val="1"/>
      <w:numFmt w:val="decimal"/>
      <w:lvlText w:val="%4."/>
      <w:lvlJc w:val="left"/>
      <w:pPr>
        <w:tabs>
          <w:tab w:val="num" w:pos="2880"/>
        </w:tabs>
        <w:ind w:left="2880" w:hanging="360"/>
      </w:pPr>
      <w:rPr>
        <w:rFonts w:cs="Times New Roman"/>
      </w:rPr>
    </w:lvl>
    <w:lvl w:ilvl="4" w:tplc="04050003">
      <w:start w:val="1"/>
      <w:numFmt w:val="decimal"/>
      <w:lvlText w:val="%5."/>
      <w:lvlJc w:val="left"/>
      <w:pPr>
        <w:tabs>
          <w:tab w:val="num" w:pos="3600"/>
        </w:tabs>
        <w:ind w:left="3600" w:hanging="360"/>
      </w:pPr>
      <w:rPr>
        <w:rFonts w:cs="Times New Roman"/>
      </w:rPr>
    </w:lvl>
    <w:lvl w:ilvl="5" w:tplc="04050005">
      <w:start w:val="1"/>
      <w:numFmt w:val="decimal"/>
      <w:lvlText w:val="%6."/>
      <w:lvlJc w:val="left"/>
      <w:pPr>
        <w:tabs>
          <w:tab w:val="num" w:pos="4320"/>
        </w:tabs>
        <w:ind w:left="4320" w:hanging="360"/>
      </w:pPr>
      <w:rPr>
        <w:rFonts w:cs="Times New Roman"/>
      </w:rPr>
    </w:lvl>
    <w:lvl w:ilvl="6" w:tplc="04050001">
      <w:start w:val="1"/>
      <w:numFmt w:val="decimal"/>
      <w:lvlText w:val="%7."/>
      <w:lvlJc w:val="left"/>
      <w:pPr>
        <w:tabs>
          <w:tab w:val="num" w:pos="5040"/>
        </w:tabs>
        <w:ind w:left="5040" w:hanging="360"/>
      </w:pPr>
      <w:rPr>
        <w:rFonts w:cs="Times New Roman"/>
      </w:rPr>
    </w:lvl>
    <w:lvl w:ilvl="7" w:tplc="04050003">
      <w:start w:val="1"/>
      <w:numFmt w:val="decimal"/>
      <w:lvlText w:val="%8."/>
      <w:lvlJc w:val="left"/>
      <w:pPr>
        <w:tabs>
          <w:tab w:val="num" w:pos="5760"/>
        </w:tabs>
        <w:ind w:left="5760" w:hanging="360"/>
      </w:pPr>
      <w:rPr>
        <w:rFonts w:cs="Times New Roman"/>
      </w:rPr>
    </w:lvl>
    <w:lvl w:ilvl="8" w:tplc="04050005">
      <w:start w:val="1"/>
      <w:numFmt w:val="decimal"/>
      <w:lvlText w:val="%9."/>
      <w:lvlJc w:val="left"/>
      <w:pPr>
        <w:tabs>
          <w:tab w:val="num" w:pos="6480"/>
        </w:tabs>
        <w:ind w:left="6480" w:hanging="360"/>
      </w:pPr>
      <w:rPr>
        <w:rFonts w:cs="Times New Roman"/>
      </w:rPr>
    </w:lvl>
  </w:abstractNum>
  <w:abstractNum w:abstractNumId="25">
    <w:nsid w:val="469175C4"/>
    <w:multiLevelType w:val="hybridMultilevel"/>
    <w:tmpl w:val="2CCAC412"/>
    <w:lvl w:ilvl="0" w:tplc="EE444686">
      <w:start w:val="1"/>
      <w:numFmt w:val="bullet"/>
      <w:lvlText w:val=""/>
      <w:lvlJc w:val="left"/>
      <w:pPr>
        <w:tabs>
          <w:tab w:val="num" w:pos="360"/>
        </w:tabs>
        <w:ind w:left="36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6">
    <w:nsid w:val="4AE86785"/>
    <w:multiLevelType w:val="hybridMultilevel"/>
    <w:tmpl w:val="4E5CA1F8"/>
    <w:lvl w:ilvl="0" w:tplc="B810B62E">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nsid w:val="4F1360AC"/>
    <w:multiLevelType w:val="hybridMultilevel"/>
    <w:tmpl w:val="CE7E4C92"/>
    <w:lvl w:ilvl="0" w:tplc="6B24C69A">
      <w:start w:val="1"/>
      <w:numFmt w:val="bullet"/>
      <w:pStyle w:val="Odrky2"/>
      <w:lvlText w:val="-"/>
      <w:lvlJc w:val="left"/>
      <w:pPr>
        <w:ind w:left="1287" w:hanging="360"/>
      </w:pPr>
      <w:rPr>
        <w:rFonts w:ascii="Arial" w:hAnsi="Arial" w:hint="default"/>
      </w:rPr>
    </w:lvl>
    <w:lvl w:ilvl="1" w:tplc="04050003" w:tentative="1">
      <w:start w:val="1"/>
      <w:numFmt w:val="bullet"/>
      <w:lvlText w:val="o"/>
      <w:lvlJc w:val="left"/>
      <w:pPr>
        <w:ind w:left="2007" w:hanging="360"/>
      </w:pPr>
      <w:rPr>
        <w:rFonts w:ascii="Courier New" w:hAnsi="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28">
    <w:nsid w:val="4F193DB4"/>
    <w:multiLevelType w:val="hybridMultilevel"/>
    <w:tmpl w:val="E4262C9A"/>
    <w:lvl w:ilvl="0" w:tplc="6F604DBC">
      <w:start w:val="1"/>
      <w:numFmt w:val="bullet"/>
      <w:lvlText w:val=""/>
      <w:lvlJc w:val="left"/>
      <w:pPr>
        <w:tabs>
          <w:tab w:val="num" w:pos="360"/>
        </w:tabs>
        <w:ind w:left="36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6F604DBC">
      <w:start w:val="1"/>
      <w:numFmt w:val="bullet"/>
      <w:lvlText w:val=""/>
      <w:lvlJc w:val="left"/>
      <w:pPr>
        <w:tabs>
          <w:tab w:val="num" w:pos="2160"/>
        </w:tabs>
        <w:ind w:left="2160" w:hanging="360"/>
      </w:pPr>
      <w:rPr>
        <w:rFonts w:ascii="Symbol" w:hAnsi="Symbol"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9">
    <w:nsid w:val="516554B0"/>
    <w:multiLevelType w:val="hybridMultilevel"/>
    <w:tmpl w:val="FD08D866"/>
    <w:lvl w:ilvl="0" w:tplc="7F6839CE">
      <w:start w:val="1"/>
      <w:numFmt w:val="bullet"/>
      <w:pStyle w:val="Odrky"/>
      <w:lvlText w:val=""/>
      <w:lvlJc w:val="left"/>
      <w:pPr>
        <w:ind w:left="360" w:hanging="360"/>
      </w:pPr>
      <w:rPr>
        <w:rFonts w:ascii="Wingdings" w:hAnsi="Wingdings" w:hint="default"/>
        <w:b w:val="0"/>
        <w:i w:val="0"/>
        <w:sz w:val="20"/>
        <w:u w:color="595959"/>
      </w:rPr>
    </w:lvl>
    <w:lvl w:ilvl="1" w:tplc="04050003">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0">
    <w:nsid w:val="580031A8"/>
    <w:multiLevelType w:val="hybridMultilevel"/>
    <w:tmpl w:val="E4262C9A"/>
    <w:lvl w:ilvl="0" w:tplc="EE444686">
      <w:start w:val="1"/>
      <w:numFmt w:val="bullet"/>
      <w:lvlText w:val=""/>
      <w:lvlJc w:val="left"/>
      <w:pPr>
        <w:tabs>
          <w:tab w:val="num" w:pos="360"/>
        </w:tabs>
        <w:ind w:left="36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6F604DBC">
      <w:start w:val="1"/>
      <w:numFmt w:val="bullet"/>
      <w:lvlText w:val=""/>
      <w:lvlJc w:val="left"/>
      <w:pPr>
        <w:tabs>
          <w:tab w:val="num" w:pos="2160"/>
        </w:tabs>
        <w:ind w:left="2160" w:hanging="360"/>
      </w:pPr>
      <w:rPr>
        <w:rFonts w:ascii="Symbol" w:hAnsi="Symbol"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1">
    <w:nsid w:val="5C8A715D"/>
    <w:multiLevelType w:val="hybridMultilevel"/>
    <w:tmpl w:val="AC2EF6F0"/>
    <w:lvl w:ilvl="0" w:tplc="EE444686">
      <w:start w:val="1"/>
      <w:numFmt w:val="bullet"/>
      <w:lvlText w:val=""/>
      <w:lvlJc w:val="left"/>
      <w:pPr>
        <w:tabs>
          <w:tab w:val="num" w:pos="645"/>
        </w:tabs>
        <w:ind w:left="645"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2">
    <w:nsid w:val="6D9E0DF8"/>
    <w:multiLevelType w:val="hybridMultilevel"/>
    <w:tmpl w:val="47CCAFE2"/>
    <w:lvl w:ilvl="0" w:tplc="04050001">
      <w:start w:val="1"/>
      <w:numFmt w:val="bullet"/>
      <w:lvlText w:val=""/>
      <w:lvlJc w:val="left"/>
      <w:pPr>
        <w:tabs>
          <w:tab w:val="num" w:pos="720"/>
        </w:tabs>
        <w:ind w:left="720" w:hanging="360"/>
      </w:pPr>
      <w:rPr>
        <w:rFonts w:ascii="Symbol" w:hAnsi="Symbol" w:hint="default"/>
      </w:rPr>
    </w:lvl>
    <w:lvl w:ilvl="1" w:tplc="04050001">
      <w:start w:val="1"/>
      <w:numFmt w:val="bullet"/>
      <w:lvlText w:val=""/>
      <w:lvlJc w:val="left"/>
      <w:pPr>
        <w:tabs>
          <w:tab w:val="num" w:pos="1800"/>
        </w:tabs>
        <w:ind w:left="1800" w:hanging="360"/>
      </w:pPr>
      <w:rPr>
        <w:rFonts w:ascii="Symbol" w:hAnsi="Symbol" w:hint="default"/>
      </w:rPr>
    </w:lvl>
    <w:lvl w:ilvl="2" w:tplc="04050005" w:tentative="1">
      <w:start w:val="1"/>
      <w:numFmt w:val="bullet"/>
      <w:lvlText w:val=""/>
      <w:lvlJc w:val="left"/>
      <w:pPr>
        <w:tabs>
          <w:tab w:val="num" w:pos="2520"/>
        </w:tabs>
        <w:ind w:left="2520" w:hanging="360"/>
      </w:pPr>
      <w:rPr>
        <w:rFonts w:ascii="Wingdings" w:hAnsi="Wingdings" w:hint="default"/>
      </w:rPr>
    </w:lvl>
    <w:lvl w:ilvl="3" w:tplc="04050001" w:tentative="1">
      <w:start w:val="1"/>
      <w:numFmt w:val="bullet"/>
      <w:lvlText w:val=""/>
      <w:lvlJc w:val="left"/>
      <w:pPr>
        <w:tabs>
          <w:tab w:val="num" w:pos="3240"/>
        </w:tabs>
        <w:ind w:left="3240" w:hanging="360"/>
      </w:pPr>
      <w:rPr>
        <w:rFonts w:ascii="Symbol" w:hAnsi="Symbol" w:hint="default"/>
      </w:rPr>
    </w:lvl>
    <w:lvl w:ilvl="4" w:tplc="04050003" w:tentative="1">
      <w:start w:val="1"/>
      <w:numFmt w:val="bullet"/>
      <w:lvlText w:val="o"/>
      <w:lvlJc w:val="left"/>
      <w:pPr>
        <w:tabs>
          <w:tab w:val="num" w:pos="3960"/>
        </w:tabs>
        <w:ind w:left="3960" w:hanging="360"/>
      </w:pPr>
      <w:rPr>
        <w:rFonts w:ascii="Courier New" w:hAnsi="Courier New" w:hint="default"/>
      </w:rPr>
    </w:lvl>
    <w:lvl w:ilvl="5" w:tplc="04050005" w:tentative="1">
      <w:start w:val="1"/>
      <w:numFmt w:val="bullet"/>
      <w:lvlText w:val=""/>
      <w:lvlJc w:val="left"/>
      <w:pPr>
        <w:tabs>
          <w:tab w:val="num" w:pos="4680"/>
        </w:tabs>
        <w:ind w:left="4680" w:hanging="360"/>
      </w:pPr>
      <w:rPr>
        <w:rFonts w:ascii="Wingdings" w:hAnsi="Wingdings" w:hint="default"/>
      </w:rPr>
    </w:lvl>
    <w:lvl w:ilvl="6" w:tplc="04050001" w:tentative="1">
      <w:start w:val="1"/>
      <w:numFmt w:val="bullet"/>
      <w:lvlText w:val=""/>
      <w:lvlJc w:val="left"/>
      <w:pPr>
        <w:tabs>
          <w:tab w:val="num" w:pos="5400"/>
        </w:tabs>
        <w:ind w:left="5400" w:hanging="360"/>
      </w:pPr>
      <w:rPr>
        <w:rFonts w:ascii="Symbol" w:hAnsi="Symbol" w:hint="default"/>
      </w:rPr>
    </w:lvl>
    <w:lvl w:ilvl="7" w:tplc="04050003" w:tentative="1">
      <w:start w:val="1"/>
      <w:numFmt w:val="bullet"/>
      <w:lvlText w:val="o"/>
      <w:lvlJc w:val="left"/>
      <w:pPr>
        <w:tabs>
          <w:tab w:val="num" w:pos="6120"/>
        </w:tabs>
        <w:ind w:left="6120" w:hanging="360"/>
      </w:pPr>
      <w:rPr>
        <w:rFonts w:ascii="Courier New" w:hAnsi="Courier New" w:hint="default"/>
      </w:rPr>
    </w:lvl>
    <w:lvl w:ilvl="8" w:tplc="04050005" w:tentative="1">
      <w:start w:val="1"/>
      <w:numFmt w:val="bullet"/>
      <w:lvlText w:val=""/>
      <w:lvlJc w:val="left"/>
      <w:pPr>
        <w:tabs>
          <w:tab w:val="num" w:pos="6840"/>
        </w:tabs>
        <w:ind w:left="6840" w:hanging="360"/>
      </w:pPr>
      <w:rPr>
        <w:rFonts w:ascii="Wingdings" w:hAnsi="Wingdings" w:hint="default"/>
      </w:rPr>
    </w:lvl>
  </w:abstractNum>
  <w:abstractNum w:abstractNumId="33">
    <w:nsid w:val="6DC86930"/>
    <w:multiLevelType w:val="hybridMultilevel"/>
    <w:tmpl w:val="5CF22226"/>
    <w:lvl w:ilvl="0" w:tplc="04050001">
      <w:start w:val="1"/>
      <w:numFmt w:val="bullet"/>
      <w:lvlText w:val=""/>
      <w:lvlJc w:val="left"/>
      <w:pPr>
        <w:tabs>
          <w:tab w:val="num" w:pos="880"/>
        </w:tabs>
        <w:ind w:left="88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4">
    <w:nsid w:val="7529656A"/>
    <w:multiLevelType w:val="hybridMultilevel"/>
    <w:tmpl w:val="CB449624"/>
    <w:lvl w:ilvl="0" w:tplc="04050001">
      <w:start w:val="1"/>
      <w:numFmt w:val="bullet"/>
      <w:lvlText w:val=""/>
      <w:lvlJc w:val="left"/>
      <w:pPr>
        <w:ind w:left="720" w:hanging="360"/>
      </w:pPr>
      <w:rPr>
        <w:rFonts w:ascii="Symbol" w:hAnsi="Symbol" w:hint="default"/>
      </w:rPr>
    </w:lvl>
    <w:lvl w:ilvl="1" w:tplc="04050003">
      <w:start w:val="1"/>
      <w:numFmt w:val="decimal"/>
      <w:lvlText w:val="%2."/>
      <w:lvlJc w:val="left"/>
      <w:pPr>
        <w:tabs>
          <w:tab w:val="num" w:pos="1800"/>
        </w:tabs>
        <w:ind w:left="1800" w:hanging="360"/>
      </w:pPr>
      <w:rPr>
        <w:rFonts w:cs="Times New Roman"/>
      </w:rPr>
    </w:lvl>
    <w:lvl w:ilvl="2" w:tplc="04050005">
      <w:start w:val="1"/>
      <w:numFmt w:val="decimal"/>
      <w:lvlText w:val="%3."/>
      <w:lvlJc w:val="left"/>
      <w:pPr>
        <w:tabs>
          <w:tab w:val="num" w:pos="2520"/>
        </w:tabs>
        <w:ind w:left="2520" w:hanging="360"/>
      </w:pPr>
      <w:rPr>
        <w:rFonts w:cs="Times New Roman"/>
      </w:rPr>
    </w:lvl>
    <w:lvl w:ilvl="3" w:tplc="04050001">
      <w:start w:val="1"/>
      <w:numFmt w:val="decimal"/>
      <w:lvlText w:val="%4."/>
      <w:lvlJc w:val="left"/>
      <w:pPr>
        <w:tabs>
          <w:tab w:val="num" w:pos="3240"/>
        </w:tabs>
        <w:ind w:left="3240" w:hanging="360"/>
      </w:pPr>
      <w:rPr>
        <w:rFonts w:cs="Times New Roman"/>
      </w:rPr>
    </w:lvl>
    <w:lvl w:ilvl="4" w:tplc="04050003">
      <w:start w:val="1"/>
      <w:numFmt w:val="decimal"/>
      <w:lvlText w:val="%5."/>
      <w:lvlJc w:val="left"/>
      <w:pPr>
        <w:tabs>
          <w:tab w:val="num" w:pos="3960"/>
        </w:tabs>
        <w:ind w:left="3960" w:hanging="360"/>
      </w:pPr>
      <w:rPr>
        <w:rFonts w:cs="Times New Roman"/>
      </w:rPr>
    </w:lvl>
    <w:lvl w:ilvl="5" w:tplc="04050005">
      <w:start w:val="1"/>
      <w:numFmt w:val="decimal"/>
      <w:lvlText w:val="%6."/>
      <w:lvlJc w:val="left"/>
      <w:pPr>
        <w:tabs>
          <w:tab w:val="num" w:pos="4680"/>
        </w:tabs>
        <w:ind w:left="4680" w:hanging="360"/>
      </w:pPr>
      <w:rPr>
        <w:rFonts w:cs="Times New Roman"/>
      </w:rPr>
    </w:lvl>
    <w:lvl w:ilvl="6" w:tplc="04050001">
      <w:start w:val="1"/>
      <w:numFmt w:val="decimal"/>
      <w:lvlText w:val="%7."/>
      <w:lvlJc w:val="left"/>
      <w:pPr>
        <w:tabs>
          <w:tab w:val="num" w:pos="5400"/>
        </w:tabs>
        <w:ind w:left="5400" w:hanging="360"/>
      </w:pPr>
      <w:rPr>
        <w:rFonts w:cs="Times New Roman"/>
      </w:rPr>
    </w:lvl>
    <w:lvl w:ilvl="7" w:tplc="04050003">
      <w:start w:val="1"/>
      <w:numFmt w:val="decimal"/>
      <w:lvlText w:val="%8."/>
      <w:lvlJc w:val="left"/>
      <w:pPr>
        <w:tabs>
          <w:tab w:val="num" w:pos="6120"/>
        </w:tabs>
        <w:ind w:left="6120" w:hanging="360"/>
      </w:pPr>
      <w:rPr>
        <w:rFonts w:cs="Times New Roman"/>
      </w:rPr>
    </w:lvl>
    <w:lvl w:ilvl="8" w:tplc="04050005">
      <w:start w:val="1"/>
      <w:numFmt w:val="decimal"/>
      <w:lvlText w:val="%9."/>
      <w:lvlJc w:val="left"/>
      <w:pPr>
        <w:tabs>
          <w:tab w:val="num" w:pos="6840"/>
        </w:tabs>
        <w:ind w:left="6840" w:hanging="360"/>
      </w:pPr>
      <w:rPr>
        <w:rFonts w:cs="Times New Roman"/>
      </w:rPr>
    </w:lvl>
  </w:abstractNum>
  <w:abstractNum w:abstractNumId="35">
    <w:nsid w:val="7779355E"/>
    <w:multiLevelType w:val="multilevel"/>
    <w:tmpl w:val="FFFFFFF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nsid w:val="7871517D"/>
    <w:multiLevelType w:val="multilevel"/>
    <w:tmpl w:val="624692D6"/>
    <w:lvl w:ilvl="0">
      <w:start w:val="1"/>
      <w:numFmt w:val="lowerLetter"/>
      <w:lvlText w:val="%1)"/>
      <w:lvlJc w:val="left"/>
      <w:pPr>
        <w:ind w:left="1068" w:hanging="360"/>
      </w:pPr>
      <w:rPr>
        <w:rFonts w:cs="Times New Roman" w:hint="default"/>
      </w:rPr>
    </w:lvl>
    <w:lvl w:ilvl="1">
      <w:start w:val="1"/>
      <w:numFmt w:val="lowerLetter"/>
      <w:lvlText w:val="%2."/>
      <w:lvlJc w:val="left"/>
      <w:pPr>
        <w:ind w:left="1428" w:hanging="360"/>
      </w:pPr>
      <w:rPr>
        <w:rFonts w:cs="Times New Roman"/>
      </w:rPr>
    </w:lvl>
    <w:lvl w:ilvl="2">
      <w:start w:val="1"/>
      <w:numFmt w:val="lowerRoman"/>
      <w:lvlText w:val="%3)"/>
      <w:lvlJc w:val="left"/>
      <w:pPr>
        <w:ind w:left="1788" w:hanging="360"/>
      </w:pPr>
      <w:rPr>
        <w:rFonts w:cs="Times New Roman"/>
      </w:rPr>
    </w:lvl>
    <w:lvl w:ilvl="3">
      <w:start w:val="1"/>
      <w:numFmt w:val="decimal"/>
      <w:lvlText w:val="(%4)"/>
      <w:lvlJc w:val="left"/>
      <w:pPr>
        <w:ind w:left="2148" w:hanging="360"/>
      </w:pPr>
      <w:rPr>
        <w:rFonts w:cs="Times New Roman"/>
      </w:rPr>
    </w:lvl>
    <w:lvl w:ilvl="4">
      <w:start w:val="1"/>
      <w:numFmt w:val="lowerLetter"/>
      <w:lvlText w:val="(%5)"/>
      <w:lvlJc w:val="left"/>
      <w:pPr>
        <w:ind w:left="2508" w:hanging="360"/>
      </w:pPr>
      <w:rPr>
        <w:rFonts w:cs="Times New Roman"/>
      </w:rPr>
    </w:lvl>
    <w:lvl w:ilvl="5">
      <w:start w:val="1"/>
      <w:numFmt w:val="lowerRoman"/>
      <w:lvlText w:val="(%6)"/>
      <w:lvlJc w:val="left"/>
      <w:pPr>
        <w:ind w:left="2868" w:hanging="360"/>
      </w:pPr>
      <w:rPr>
        <w:rFonts w:cs="Times New Roman"/>
      </w:rPr>
    </w:lvl>
    <w:lvl w:ilvl="6">
      <w:start w:val="1"/>
      <w:numFmt w:val="decimal"/>
      <w:lvlText w:val="%7."/>
      <w:lvlJc w:val="left"/>
      <w:pPr>
        <w:ind w:left="3228" w:hanging="360"/>
      </w:pPr>
      <w:rPr>
        <w:rFonts w:cs="Times New Roman"/>
      </w:rPr>
    </w:lvl>
    <w:lvl w:ilvl="7">
      <w:start w:val="1"/>
      <w:numFmt w:val="lowerLetter"/>
      <w:lvlText w:val="%8."/>
      <w:lvlJc w:val="left"/>
      <w:pPr>
        <w:ind w:left="3588" w:hanging="360"/>
      </w:pPr>
      <w:rPr>
        <w:rFonts w:cs="Times New Roman"/>
      </w:rPr>
    </w:lvl>
    <w:lvl w:ilvl="8">
      <w:start w:val="1"/>
      <w:numFmt w:val="lowerRoman"/>
      <w:lvlText w:val="%9."/>
      <w:lvlJc w:val="left"/>
      <w:pPr>
        <w:ind w:left="3948" w:hanging="360"/>
      </w:pPr>
      <w:rPr>
        <w:rFonts w:cs="Times New Roman"/>
      </w:rPr>
    </w:lvl>
  </w:abstractNum>
  <w:abstractNum w:abstractNumId="37">
    <w:nsid w:val="7E92087F"/>
    <w:multiLevelType w:val="multilevel"/>
    <w:tmpl w:val="0405001F"/>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38">
    <w:nsid w:val="7F1E0499"/>
    <w:multiLevelType w:val="hybridMultilevel"/>
    <w:tmpl w:val="14C072B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nsid w:val="7FB16EBA"/>
    <w:multiLevelType w:val="hybridMultilevel"/>
    <w:tmpl w:val="AC2EF6F0"/>
    <w:lvl w:ilvl="0" w:tplc="EE444686">
      <w:start w:val="1"/>
      <w:numFmt w:val="bullet"/>
      <w:lvlText w:val=""/>
      <w:lvlJc w:val="left"/>
      <w:pPr>
        <w:tabs>
          <w:tab w:val="num" w:pos="645"/>
        </w:tabs>
        <w:ind w:left="645"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9"/>
  </w:num>
  <w:num w:numId="17">
    <w:abstractNumId w:val="7"/>
  </w:num>
  <w:num w:numId="18">
    <w:abstractNumId w:val="6"/>
  </w:num>
  <w:num w:numId="19">
    <w:abstractNumId w:val="5"/>
  </w:num>
  <w:num w:numId="20">
    <w:abstractNumId w:val="4"/>
  </w:num>
  <w:num w:numId="21">
    <w:abstractNumId w:val="29"/>
  </w:num>
  <w:num w:numId="22">
    <w:abstractNumId w:val="8"/>
  </w:num>
  <w:num w:numId="23">
    <w:abstractNumId w:val="3"/>
  </w:num>
  <w:num w:numId="24">
    <w:abstractNumId w:val="2"/>
  </w:num>
  <w:num w:numId="25">
    <w:abstractNumId w:val="1"/>
  </w:num>
  <w:num w:numId="26">
    <w:abstractNumId w:val="0"/>
  </w:num>
  <w:num w:numId="27">
    <w:abstractNumId w:val="9"/>
  </w:num>
  <w:num w:numId="28">
    <w:abstractNumId w:val="7"/>
  </w:num>
  <w:num w:numId="29">
    <w:abstractNumId w:val="6"/>
  </w:num>
  <w:num w:numId="30">
    <w:abstractNumId w:val="5"/>
  </w:num>
  <w:num w:numId="31">
    <w:abstractNumId w:val="4"/>
  </w:num>
  <w:num w:numId="32">
    <w:abstractNumId w:val="15"/>
  </w:num>
  <w:num w:numId="33">
    <w:abstractNumId w:val="19"/>
  </w:num>
  <w:num w:numId="34">
    <w:abstractNumId w:val="14"/>
  </w:num>
  <w:num w:numId="35">
    <w:abstractNumId w:val="23"/>
  </w:num>
  <w:num w:numId="36">
    <w:abstractNumId w:val="27"/>
  </w:num>
  <w:num w:numId="37">
    <w:abstractNumId w:val="26"/>
  </w:num>
  <w:num w:numId="38">
    <w:abstractNumId w:val="28"/>
  </w:num>
  <w:num w:numId="39">
    <w:abstractNumId w:val="10"/>
  </w:num>
  <w:num w:numId="40">
    <w:abstractNumId w:val="32"/>
  </w:num>
  <w:num w:numId="41">
    <w:abstractNumId w:val="25"/>
  </w:num>
  <w:num w:numId="42">
    <w:abstractNumId w:val="21"/>
  </w:num>
  <w:num w:numId="43">
    <w:abstractNumId w:val="17"/>
  </w:num>
  <w:num w:numId="44">
    <w:abstractNumId w:val="20"/>
  </w:num>
  <w:num w:numId="45">
    <w:abstractNumId w:val="11"/>
  </w:num>
  <w:num w:numId="46">
    <w:abstractNumId w:val="30"/>
  </w:num>
  <w:num w:numId="47">
    <w:abstractNumId w:val="22"/>
  </w:num>
  <w:num w:numId="48">
    <w:abstractNumId w:val="16"/>
  </w:num>
  <w:num w:numId="49">
    <w:abstractNumId w:val="18"/>
  </w:num>
  <w:num w:numId="50">
    <w:abstractNumId w:val="31"/>
  </w:num>
  <w:num w:numId="51">
    <w:abstractNumId w:val="39"/>
  </w:num>
  <w:num w:numId="52">
    <w:abstractNumId w:val="33"/>
  </w:num>
  <w:num w:numId="53">
    <w:abstractNumId w:val="24"/>
  </w:num>
  <w:num w:numId="54">
    <w:abstractNumId w:val="34"/>
  </w:num>
  <w:num w:numId="55">
    <w:abstractNumId w:val="12"/>
  </w:num>
  <w:num w:numId="56">
    <w:abstractNumId w:val="36"/>
  </w:num>
  <w:num w:numId="57">
    <w:abstractNumId w:val="38"/>
  </w:num>
  <w:num w:numId="58">
    <w:abstractNumId w:val="37"/>
  </w:num>
  <w:num w:numId="59">
    <w:abstractNumId w:val="35"/>
  </w:num>
  <w:num w:numId="60">
    <w:abstractNumId w:val="13"/>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stylePaneFormatFilter w:val="0001"/>
  <w:defaultTabStop w:val="284"/>
  <w:hyphenationZone w:val="425"/>
  <w:evenAndOddHeaders/>
  <w:drawingGridHorizontalSpacing w:val="110"/>
  <w:displayHorizontalDrawingGridEvery w:val="2"/>
  <w:displayVerticalDrawingGridEvery w:val="2"/>
  <w:noPunctuationKerning/>
  <w:characterSpacingControl w:val="doNotCompress"/>
  <w:footnotePr>
    <w:footnote w:id="-1"/>
    <w:footnote w:id="0"/>
  </w:footnotePr>
  <w:endnotePr>
    <w:pos w:val="sectEnd"/>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337B5"/>
    <w:rsid w:val="000000A5"/>
    <w:rsid w:val="000000AD"/>
    <w:rsid w:val="000003AB"/>
    <w:rsid w:val="000006A0"/>
    <w:rsid w:val="00000C4C"/>
    <w:rsid w:val="00000CD1"/>
    <w:rsid w:val="000010BC"/>
    <w:rsid w:val="000014F0"/>
    <w:rsid w:val="000021B7"/>
    <w:rsid w:val="000023F4"/>
    <w:rsid w:val="00002B1D"/>
    <w:rsid w:val="00002CC1"/>
    <w:rsid w:val="0000333E"/>
    <w:rsid w:val="0000434A"/>
    <w:rsid w:val="00004FC5"/>
    <w:rsid w:val="000050A8"/>
    <w:rsid w:val="000059DA"/>
    <w:rsid w:val="00005DE7"/>
    <w:rsid w:val="000065B1"/>
    <w:rsid w:val="00006D2F"/>
    <w:rsid w:val="00007887"/>
    <w:rsid w:val="00007897"/>
    <w:rsid w:val="00010E90"/>
    <w:rsid w:val="0001107F"/>
    <w:rsid w:val="00011167"/>
    <w:rsid w:val="00011212"/>
    <w:rsid w:val="0001132D"/>
    <w:rsid w:val="00011639"/>
    <w:rsid w:val="00012BB3"/>
    <w:rsid w:val="00012FD5"/>
    <w:rsid w:val="00013B4B"/>
    <w:rsid w:val="00014723"/>
    <w:rsid w:val="00014996"/>
    <w:rsid w:val="00015499"/>
    <w:rsid w:val="000167BB"/>
    <w:rsid w:val="00017812"/>
    <w:rsid w:val="000208FF"/>
    <w:rsid w:val="0002091E"/>
    <w:rsid w:val="00020C9C"/>
    <w:rsid w:val="00021A20"/>
    <w:rsid w:val="00021EEA"/>
    <w:rsid w:val="00021FF8"/>
    <w:rsid w:val="0002215F"/>
    <w:rsid w:val="000223D7"/>
    <w:rsid w:val="00022AA9"/>
    <w:rsid w:val="00022F01"/>
    <w:rsid w:val="0002333B"/>
    <w:rsid w:val="000247FD"/>
    <w:rsid w:val="00024C5D"/>
    <w:rsid w:val="00024CF2"/>
    <w:rsid w:val="00025251"/>
    <w:rsid w:val="0002528E"/>
    <w:rsid w:val="000255E8"/>
    <w:rsid w:val="00025950"/>
    <w:rsid w:val="00025D67"/>
    <w:rsid w:val="0002607B"/>
    <w:rsid w:val="00026C14"/>
    <w:rsid w:val="0002703D"/>
    <w:rsid w:val="00027249"/>
    <w:rsid w:val="00027A9A"/>
    <w:rsid w:val="00027C99"/>
    <w:rsid w:val="0003198A"/>
    <w:rsid w:val="00032AB2"/>
    <w:rsid w:val="000338B1"/>
    <w:rsid w:val="000338C0"/>
    <w:rsid w:val="00033EBD"/>
    <w:rsid w:val="00034763"/>
    <w:rsid w:val="00034EA8"/>
    <w:rsid w:val="0003512A"/>
    <w:rsid w:val="00035F3D"/>
    <w:rsid w:val="000404F4"/>
    <w:rsid w:val="0004057E"/>
    <w:rsid w:val="00040AB6"/>
    <w:rsid w:val="0004122E"/>
    <w:rsid w:val="000419B9"/>
    <w:rsid w:val="0004200F"/>
    <w:rsid w:val="0004201A"/>
    <w:rsid w:val="00042575"/>
    <w:rsid w:val="0004373C"/>
    <w:rsid w:val="00044710"/>
    <w:rsid w:val="0004474C"/>
    <w:rsid w:val="0004499A"/>
    <w:rsid w:val="00044B84"/>
    <w:rsid w:val="00044F37"/>
    <w:rsid w:val="00044FA3"/>
    <w:rsid w:val="00045094"/>
    <w:rsid w:val="000450C4"/>
    <w:rsid w:val="00045203"/>
    <w:rsid w:val="00045A34"/>
    <w:rsid w:val="000469F4"/>
    <w:rsid w:val="000474ED"/>
    <w:rsid w:val="0004758E"/>
    <w:rsid w:val="00047C46"/>
    <w:rsid w:val="000500A0"/>
    <w:rsid w:val="00050111"/>
    <w:rsid w:val="0005037B"/>
    <w:rsid w:val="00050656"/>
    <w:rsid w:val="00051CAE"/>
    <w:rsid w:val="00052062"/>
    <w:rsid w:val="00053029"/>
    <w:rsid w:val="00053AB2"/>
    <w:rsid w:val="00053BA0"/>
    <w:rsid w:val="000545F5"/>
    <w:rsid w:val="0005505D"/>
    <w:rsid w:val="000553F7"/>
    <w:rsid w:val="00055660"/>
    <w:rsid w:val="00055994"/>
    <w:rsid w:val="00055C56"/>
    <w:rsid w:val="00055C6E"/>
    <w:rsid w:val="00055F7B"/>
    <w:rsid w:val="000567E4"/>
    <w:rsid w:val="00056CA3"/>
    <w:rsid w:val="00056DE7"/>
    <w:rsid w:val="00057387"/>
    <w:rsid w:val="000577E0"/>
    <w:rsid w:val="00057986"/>
    <w:rsid w:val="00057E57"/>
    <w:rsid w:val="00060BEE"/>
    <w:rsid w:val="00061281"/>
    <w:rsid w:val="00061BDD"/>
    <w:rsid w:val="00061E69"/>
    <w:rsid w:val="00061F8B"/>
    <w:rsid w:val="00062053"/>
    <w:rsid w:val="0006269A"/>
    <w:rsid w:val="00062B05"/>
    <w:rsid w:val="0006341B"/>
    <w:rsid w:val="00064008"/>
    <w:rsid w:val="000640CD"/>
    <w:rsid w:val="00064949"/>
    <w:rsid w:val="00064DDB"/>
    <w:rsid w:val="00065740"/>
    <w:rsid w:val="00066361"/>
    <w:rsid w:val="00066517"/>
    <w:rsid w:val="00066583"/>
    <w:rsid w:val="00066C5B"/>
    <w:rsid w:val="00066FF3"/>
    <w:rsid w:val="000672CB"/>
    <w:rsid w:val="00067CFB"/>
    <w:rsid w:val="00070A59"/>
    <w:rsid w:val="00070F7B"/>
    <w:rsid w:val="000713E2"/>
    <w:rsid w:val="00071C5E"/>
    <w:rsid w:val="000725A5"/>
    <w:rsid w:val="00072882"/>
    <w:rsid w:val="000729AB"/>
    <w:rsid w:val="000729B4"/>
    <w:rsid w:val="00072A4D"/>
    <w:rsid w:val="00072C8A"/>
    <w:rsid w:val="00072FDA"/>
    <w:rsid w:val="0007318C"/>
    <w:rsid w:val="0007350B"/>
    <w:rsid w:val="00073F2B"/>
    <w:rsid w:val="000753E2"/>
    <w:rsid w:val="000756F8"/>
    <w:rsid w:val="000757EE"/>
    <w:rsid w:val="00075815"/>
    <w:rsid w:val="00076CBD"/>
    <w:rsid w:val="00076DD3"/>
    <w:rsid w:val="00076DE1"/>
    <w:rsid w:val="00077231"/>
    <w:rsid w:val="00077AC3"/>
    <w:rsid w:val="0008066F"/>
    <w:rsid w:val="000807BC"/>
    <w:rsid w:val="000811F5"/>
    <w:rsid w:val="00081B49"/>
    <w:rsid w:val="00081DE1"/>
    <w:rsid w:val="000823B0"/>
    <w:rsid w:val="00082BDE"/>
    <w:rsid w:val="00082C0D"/>
    <w:rsid w:val="00084990"/>
    <w:rsid w:val="00084A08"/>
    <w:rsid w:val="00084AF8"/>
    <w:rsid w:val="00086477"/>
    <w:rsid w:val="000872BC"/>
    <w:rsid w:val="00087BC2"/>
    <w:rsid w:val="00087C14"/>
    <w:rsid w:val="00087D33"/>
    <w:rsid w:val="00087D5F"/>
    <w:rsid w:val="0009056F"/>
    <w:rsid w:val="00090B99"/>
    <w:rsid w:val="00090C66"/>
    <w:rsid w:val="00090CF1"/>
    <w:rsid w:val="00090EB2"/>
    <w:rsid w:val="000919E5"/>
    <w:rsid w:val="00092631"/>
    <w:rsid w:val="0009311E"/>
    <w:rsid w:val="00094602"/>
    <w:rsid w:val="0009509A"/>
    <w:rsid w:val="00095316"/>
    <w:rsid w:val="00095FAD"/>
    <w:rsid w:val="00096126"/>
    <w:rsid w:val="000964E4"/>
    <w:rsid w:val="00096F6D"/>
    <w:rsid w:val="000972E1"/>
    <w:rsid w:val="00097333"/>
    <w:rsid w:val="00097565"/>
    <w:rsid w:val="000978BB"/>
    <w:rsid w:val="00097919"/>
    <w:rsid w:val="000A0BED"/>
    <w:rsid w:val="000A1782"/>
    <w:rsid w:val="000A1CC8"/>
    <w:rsid w:val="000A2489"/>
    <w:rsid w:val="000A299B"/>
    <w:rsid w:val="000A2E2C"/>
    <w:rsid w:val="000A3709"/>
    <w:rsid w:val="000A379A"/>
    <w:rsid w:val="000A47BF"/>
    <w:rsid w:val="000A5202"/>
    <w:rsid w:val="000A5A0C"/>
    <w:rsid w:val="000A5A97"/>
    <w:rsid w:val="000A5E10"/>
    <w:rsid w:val="000A641B"/>
    <w:rsid w:val="000A694A"/>
    <w:rsid w:val="000A7903"/>
    <w:rsid w:val="000A7959"/>
    <w:rsid w:val="000B0189"/>
    <w:rsid w:val="000B0F14"/>
    <w:rsid w:val="000B1306"/>
    <w:rsid w:val="000B13E1"/>
    <w:rsid w:val="000B1BFE"/>
    <w:rsid w:val="000B1C47"/>
    <w:rsid w:val="000B2F97"/>
    <w:rsid w:val="000B31EE"/>
    <w:rsid w:val="000B4343"/>
    <w:rsid w:val="000B495B"/>
    <w:rsid w:val="000B4F3B"/>
    <w:rsid w:val="000B5418"/>
    <w:rsid w:val="000B5D48"/>
    <w:rsid w:val="000B662E"/>
    <w:rsid w:val="000B6ED0"/>
    <w:rsid w:val="000B7271"/>
    <w:rsid w:val="000B77EA"/>
    <w:rsid w:val="000B79CB"/>
    <w:rsid w:val="000C0022"/>
    <w:rsid w:val="000C0173"/>
    <w:rsid w:val="000C042C"/>
    <w:rsid w:val="000C0B3B"/>
    <w:rsid w:val="000C0EB9"/>
    <w:rsid w:val="000C1020"/>
    <w:rsid w:val="000C127C"/>
    <w:rsid w:val="000C1350"/>
    <w:rsid w:val="000C209C"/>
    <w:rsid w:val="000C232E"/>
    <w:rsid w:val="000C2422"/>
    <w:rsid w:val="000C2A0A"/>
    <w:rsid w:val="000C2C74"/>
    <w:rsid w:val="000C30F8"/>
    <w:rsid w:val="000C3A41"/>
    <w:rsid w:val="000C3F55"/>
    <w:rsid w:val="000C41A6"/>
    <w:rsid w:val="000C4C97"/>
    <w:rsid w:val="000C5D31"/>
    <w:rsid w:val="000C601D"/>
    <w:rsid w:val="000C68DF"/>
    <w:rsid w:val="000C6A63"/>
    <w:rsid w:val="000C6B58"/>
    <w:rsid w:val="000C6ED5"/>
    <w:rsid w:val="000C780B"/>
    <w:rsid w:val="000C7A21"/>
    <w:rsid w:val="000D0154"/>
    <w:rsid w:val="000D1742"/>
    <w:rsid w:val="000D20E7"/>
    <w:rsid w:val="000D2760"/>
    <w:rsid w:val="000D28BB"/>
    <w:rsid w:val="000D493F"/>
    <w:rsid w:val="000D580E"/>
    <w:rsid w:val="000D62B7"/>
    <w:rsid w:val="000D6343"/>
    <w:rsid w:val="000D636E"/>
    <w:rsid w:val="000D63C8"/>
    <w:rsid w:val="000D68C8"/>
    <w:rsid w:val="000D6D5E"/>
    <w:rsid w:val="000D7062"/>
    <w:rsid w:val="000D72C0"/>
    <w:rsid w:val="000D75E6"/>
    <w:rsid w:val="000D7742"/>
    <w:rsid w:val="000E0162"/>
    <w:rsid w:val="000E0254"/>
    <w:rsid w:val="000E1A68"/>
    <w:rsid w:val="000E1EA1"/>
    <w:rsid w:val="000E201C"/>
    <w:rsid w:val="000E23C1"/>
    <w:rsid w:val="000E2655"/>
    <w:rsid w:val="000E278F"/>
    <w:rsid w:val="000E2C04"/>
    <w:rsid w:val="000E2C25"/>
    <w:rsid w:val="000E3106"/>
    <w:rsid w:val="000E3129"/>
    <w:rsid w:val="000E35CC"/>
    <w:rsid w:val="000E398A"/>
    <w:rsid w:val="000E3B0C"/>
    <w:rsid w:val="000E447C"/>
    <w:rsid w:val="000E4615"/>
    <w:rsid w:val="000E4843"/>
    <w:rsid w:val="000E4C49"/>
    <w:rsid w:val="000E4CC9"/>
    <w:rsid w:val="000E4DA1"/>
    <w:rsid w:val="000E527C"/>
    <w:rsid w:val="000E5D85"/>
    <w:rsid w:val="000E6AC0"/>
    <w:rsid w:val="000E7ADF"/>
    <w:rsid w:val="000F02F4"/>
    <w:rsid w:val="000F064B"/>
    <w:rsid w:val="000F15E6"/>
    <w:rsid w:val="000F3738"/>
    <w:rsid w:val="000F38D1"/>
    <w:rsid w:val="000F3ACF"/>
    <w:rsid w:val="000F4C0A"/>
    <w:rsid w:val="000F4FBC"/>
    <w:rsid w:val="000F5419"/>
    <w:rsid w:val="000F54F5"/>
    <w:rsid w:val="000F6884"/>
    <w:rsid w:val="000F6B50"/>
    <w:rsid w:val="001002B9"/>
    <w:rsid w:val="001005E6"/>
    <w:rsid w:val="00100667"/>
    <w:rsid w:val="001006E7"/>
    <w:rsid w:val="00101B05"/>
    <w:rsid w:val="0010381F"/>
    <w:rsid w:val="001039BB"/>
    <w:rsid w:val="00104512"/>
    <w:rsid w:val="00104D4B"/>
    <w:rsid w:val="00104F8F"/>
    <w:rsid w:val="0010506E"/>
    <w:rsid w:val="001056D1"/>
    <w:rsid w:val="00106027"/>
    <w:rsid w:val="0010613A"/>
    <w:rsid w:val="00107017"/>
    <w:rsid w:val="00107279"/>
    <w:rsid w:val="0011024D"/>
    <w:rsid w:val="001108C0"/>
    <w:rsid w:val="00111A43"/>
    <w:rsid w:val="001120B8"/>
    <w:rsid w:val="00112618"/>
    <w:rsid w:val="00112A15"/>
    <w:rsid w:val="00113135"/>
    <w:rsid w:val="0011325B"/>
    <w:rsid w:val="001138E5"/>
    <w:rsid w:val="00113DC8"/>
    <w:rsid w:val="001145C7"/>
    <w:rsid w:val="001168F8"/>
    <w:rsid w:val="00116E7F"/>
    <w:rsid w:val="001171EB"/>
    <w:rsid w:val="001174BF"/>
    <w:rsid w:val="00117888"/>
    <w:rsid w:val="001178D9"/>
    <w:rsid w:val="00120DC2"/>
    <w:rsid w:val="001214B1"/>
    <w:rsid w:val="00122307"/>
    <w:rsid w:val="00122920"/>
    <w:rsid w:val="00123A9B"/>
    <w:rsid w:val="00123B54"/>
    <w:rsid w:val="00123E0E"/>
    <w:rsid w:val="00123E10"/>
    <w:rsid w:val="00125074"/>
    <w:rsid w:val="00125CD8"/>
    <w:rsid w:val="00126362"/>
    <w:rsid w:val="00126404"/>
    <w:rsid w:val="00126D55"/>
    <w:rsid w:val="001276A8"/>
    <w:rsid w:val="0013058B"/>
    <w:rsid w:val="001307FF"/>
    <w:rsid w:val="0013094C"/>
    <w:rsid w:val="001317D6"/>
    <w:rsid w:val="00131BB2"/>
    <w:rsid w:val="00131CFE"/>
    <w:rsid w:val="00134055"/>
    <w:rsid w:val="001344F7"/>
    <w:rsid w:val="00134F2A"/>
    <w:rsid w:val="00135278"/>
    <w:rsid w:val="001362DB"/>
    <w:rsid w:val="00137102"/>
    <w:rsid w:val="001375B1"/>
    <w:rsid w:val="00137CCB"/>
    <w:rsid w:val="00137E68"/>
    <w:rsid w:val="00140A1F"/>
    <w:rsid w:val="001410D0"/>
    <w:rsid w:val="001416A4"/>
    <w:rsid w:val="00142246"/>
    <w:rsid w:val="0014248C"/>
    <w:rsid w:val="00142924"/>
    <w:rsid w:val="00143356"/>
    <w:rsid w:val="001433E1"/>
    <w:rsid w:val="001436B3"/>
    <w:rsid w:val="0014397E"/>
    <w:rsid w:val="00143CA7"/>
    <w:rsid w:val="00144245"/>
    <w:rsid w:val="00144912"/>
    <w:rsid w:val="00145704"/>
    <w:rsid w:val="00145944"/>
    <w:rsid w:val="001462BC"/>
    <w:rsid w:val="00146743"/>
    <w:rsid w:val="00147B50"/>
    <w:rsid w:val="00150018"/>
    <w:rsid w:val="001501CE"/>
    <w:rsid w:val="0015053A"/>
    <w:rsid w:val="00150CAC"/>
    <w:rsid w:val="00150F08"/>
    <w:rsid w:val="00151520"/>
    <w:rsid w:val="0015181E"/>
    <w:rsid w:val="00151A94"/>
    <w:rsid w:val="00151D19"/>
    <w:rsid w:val="00152641"/>
    <w:rsid w:val="00152E77"/>
    <w:rsid w:val="001534D7"/>
    <w:rsid w:val="001536D3"/>
    <w:rsid w:val="00153811"/>
    <w:rsid w:val="001557E2"/>
    <w:rsid w:val="00155931"/>
    <w:rsid w:val="00156861"/>
    <w:rsid w:val="00156A6F"/>
    <w:rsid w:val="00156AAA"/>
    <w:rsid w:val="0015717C"/>
    <w:rsid w:val="00157318"/>
    <w:rsid w:val="001573D7"/>
    <w:rsid w:val="00157446"/>
    <w:rsid w:val="0016082D"/>
    <w:rsid w:val="00161481"/>
    <w:rsid w:val="00162BA9"/>
    <w:rsid w:val="00162D4C"/>
    <w:rsid w:val="0016364A"/>
    <w:rsid w:val="001636A9"/>
    <w:rsid w:val="00164137"/>
    <w:rsid w:val="00165D2C"/>
    <w:rsid w:val="001666D6"/>
    <w:rsid w:val="00166974"/>
    <w:rsid w:val="00166E7C"/>
    <w:rsid w:val="0016724B"/>
    <w:rsid w:val="0016744C"/>
    <w:rsid w:val="001674AD"/>
    <w:rsid w:val="00167E1B"/>
    <w:rsid w:val="00170BD1"/>
    <w:rsid w:val="001716C5"/>
    <w:rsid w:val="0017276A"/>
    <w:rsid w:val="00172D07"/>
    <w:rsid w:val="0017302C"/>
    <w:rsid w:val="001734A8"/>
    <w:rsid w:val="001735D8"/>
    <w:rsid w:val="00173D40"/>
    <w:rsid w:val="0017400A"/>
    <w:rsid w:val="00174793"/>
    <w:rsid w:val="00174CF3"/>
    <w:rsid w:val="00174ED6"/>
    <w:rsid w:val="00175A77"/>
    <w:rsid w:val="00175EB2"/>
    <w:rsid w:val="00176457"/>
    <w:rsid w:val="00176F54"/>
    <w:rsid w:val="001771DE"/>
    <w:rsid w:val="00177283"/>
    <w:rsid w:val="001779EE"/>
    <w:rsid w:val="00180D79"/>
    <w:rsid w:val="00181598"/>
    <w:rsid w:val="00181681"/>
    <w:rsid w:val="00181F00"/>
    <w:rsid w:val="001821C8"/>
    <w:rsid w:val="0018220D"/>
    <w:rsid w:val="001822B2"/>
    <w:rsid w:val="00182B5C"/>
    <w:rsid w:val="00182D9D"/>
    <w:rsid w:val="00183AA9"/>
    <w:rsid w:val="0018465C"/>
    <w:rsid w:val="00185130"/>
    <w:rsid w:val="00187C23"/>
    <w:rsid w:val="0019039A"/>
    <w:rsid w:val="0019106E"/>
    <w:rsid w:val="00191B1A"/>
    <w:rsid w:val="00191BF3"/>
    <w:rsid w:val="00192C9D"/>
    <w:rsid w:val="00192F57"/>
    <w:rsid w:val="001934B0"/>
    <w:rsid w:val="00194007"/>
    <w:rsid w:val="001945F6"/>
    <w:rsid w:val="001952C4"/>
    <w:rsid w:val="0019580C"/>
    <w:rsid w:val="001959D0"/>
    <w:rsid w:val="00195D5B"/>
    <w:rsid w:val="001967C4"/>
    <w:rsid w:val="0019760C"/>
    <w:rsid w:val="00197708"/>
    <w:rsid w:val="001979EF"/>
    <w:rsid w:val="00197DBC"/>
    <w:rsid w:val="00197EB8"/>
    <w:rsid w:val="00197F04"/>
    <w:rsid w:val="001A128A"/>
    <w:rsid w:val="001A131D"/>
    <w:rsid w:val="001A311A"/>
    <w:rsid w:val="001A317C"/>
    <w:rsid w:val="001A353F"/>
    <w:rsid w:val="001A3EB8"/>
    <w:rsid w:val="001A45BD"/>
    <w:rsid w:val="001A4E61"/>
    <w:rsid w:val="001A57C3"/>
    <w:rsid w:val="001A5D13"/>
    <w:rsid w:val="001A628C"/>
    <w:rsid w:val="001A7447"/>
    <w:rsid w:val="001A7B4C"/>
    <w:rsid w:val="001A7BFF"/>
    <w:rsid w:val="001B03B6"/>
    <w:rsid w:val="001B04FA"/>
    <w:rsid w:val="001B05B3"/>
    <w:rsid w:val="001B0EB4"/>
    <w:rsid w:val="001B141E"/>
    <w:rsid w:val="001B17C7"/>
    <w:rsid w:val="001B18B1"/>
    <w:rsid w:val="001B267C"/>
    <w:rsid w:val="001B2774"/>
    <w:rsid w:val="001B29C1"/>
    <w:rsid w:val="001B2AD6"/>
    <w:rsid w:val="001B35C0"/>
    <w:rsid w:val="001B387C"/>
    <w:rsid w:val="001B3F71"/>
    <w:rsid w:val="001B4D79"/>
    <w:rsid w:val="001B5BB3"/>
    <w:rsid w:val="001B64D6"/>
    <w:rsid w:val="001B787C"/>
    <w:rsid w:val="001B7DF8"/>
    <w:rsid w:val="001C0627"/>
    <w:rsid w:val="001C0713"/>
    <w:rsid w:val="001C0FCB"/>
    <w:rsid w:val="001C113E"/>
    <w:rsid w:val="001C2288"/>
    <w:rsid w:val="001C263A"/>
    <w:rsid w:val="001C3471"/>
    <w:rsid w:val="001C358E"/>
    <w:rsid w:val="001C4909"/>
    <w:rsid w:val="001C4E56"/>
    <w:rsid w:val="001C4F77"/>
    <w:rsid w:val="001C5405"/>
    <w:rsid w:val="001C6CDD"/>
    <w:rsid w:val="001C76D8"/>
    <w:rsid w:val="001C7AC7"/>
    <w:rsid w:val="001D0563"/>
    <w:rsid w:val="001D063F"/>
    <w:rsid w:val="001D08E9"/>
    <w:rsid w:val="001D0EBC"/>
    <w:rsid w:val="001D103A"/>
    <w:rsid w:val="001D1485"/>
    <w:rsid w:val="001D1D98"/>
    <w:rsid w:val="001D1E39"/>
    <w:rsid w:val="001D2EB9"/>
    <w:rsid w:val="001D3113"/>
    <w:rsid w:val="001D3F1D"/>
    <w:rsid w:val="001D48BB"/>
    <w:rsid w:val="001D5A18"/>
    <w:rsid w:val="001D5DDB"/>
    <w:rsid w:val="001D6331"/>
    <w:rsid w:val="001D72FE"/>
    <w:rsid w:val="001D76CD"/>
    <w:rsid w:val="001D7B22"/>
    <w:rsid w:val="001D7DD1"/>
    <w:rsid w:val="001D7F37"/>
    <w:rsid w:val="001E00CE"/>
    <w:rsid w:val="001E00EE"/>
    <w:rsid w:val="001E03D9"/>
    <w:rsid w:val="001E0810"/>
    <w:rsid w:val="001E14D8"/>
    <w:rsid w:val="001E1557"/>
    <w:rsid w:val="001E1E51"/>
    <w:rsid w:val="001E1F71"/>
    <w:rsid w:val="001E237E"/>
    <w:rsid w:val="001E33FC"/>
    <w:rsid w:val="001E3E20"/>
    <w:rsid w:val="001E3EB6"/>
    <w:rsid w:val="001E3FC1"/>
    <w:rsid w:val="001E54A7"/>
    <w:rsid w:val="001E5E50"/>
    <w:rsid w:val="001E5E51"/>
    <w:rsid w:val="001E61C0"/>
    <w:rsid w:val="001E6915"/>
    <w:rsid w:val="001E6A7F"/>
    <w:rsid w:val="001E6CE3"/>
    <w:rsid w:val="001E6E8C"/>
    <w:rsid w:val="001E6F37"/>
    <w:rsid w:val="001E7F26"/>
    <w:rsid w:val="001F13FD"/>
    <w:rsid w:val="001F1F1E"/>
    <w:rsid w:val="001F32A7"/>
    <w:rsid w:val="001F3789"/>
    <w:rsid w:val="001F3B5A"/>
    <w:rsid w:val="001F3E43"/>
    <w:rsid w:val="001F4567"/>
    <w:rsid w:val="001F48FF"/>
    <w:rsid w:val="001F513C"/>
    <w:rsid w:val="001F52D2"/>
    <w:rsid w:val="001F52E4"/>
    <w:rsid w:val="001F5385"/>
    <w:rsid w:val="001F5879"/>
    <w:rsid w:val="001F58CE"/>
    <w:rsid w:val="001F6152"/>
    <w:rsid w:val="001F6C3E"/>
    <w:rsid w:val="001F6F1E"/>
    <w:rsid w:val="0020131D"/>
    <w:rsid w:val="002014A8"/>
    <w:rsid w:val="00202D02"/>
    <w:rsid w:val="00202D41"/>
    <w:rsid w:val="002033E3"/>
    <w:rsid w:val="002034CD"/>
    <w:rsid w:val="002035C2"/>
    <w:rsid w:val="00203B7F"/>
    <w:rsid w:val="00203BC0"/>
    <w:rsid w:val="002040D8"/>
    <w:rsid w:val="00204499"/>
    <w:rsid w:val="0020512F"/>
    <w:rsid w:val="00205851"/>
    <w:rsid w:val="00205A27"/>
    <w:rsid w:val="002063CC"/>
    <w:rsid w:val="0020687D"/>
    <w:rsid w:val="00207961"/>
    <w:rsid w:val="00207AE5"/>
    <w:rsid w:val="00207D96"/>
    <w:rsid w:val="002100C5"/>
    <w:rsid w:val="00210E81"/>
    <w:rsid w:val="0021126A"/>
    <w:rsid w:val="0021134F"/>
    <w:rsid w:val="00213034"/>
    <w:rsid w:val="002132C0"/>
    <w:rsid w:val="002132C1"/>
    <w:rsid w:val="00214514"/>
    <w:rsid w:val="0021544D"/>
    <w:rsid w:val="00215486"/>
    <w:rsid w:val="002155C2"/>
    <w:rsid w:val="00215823"/>
    <w:rsid w:val="00215B21"/>
    <w:rsid w:val="002165AE"/>
    <w:rsid w:val="0021796E"/>
    <w:rsid w:val="00217B8B"/>
    <w:rsid w:val="00220D00"/>
    <w:rsid w:val="0022102E"/>
    <w:rsid w:val="002210AF"/>
    <w:rsid w:val="0022126F"/>
    <w:rsid w:val="00221A4C"/>
    <w:rsid w:val="00222C12"/>
    <w:rsid w:val="0022306E"/>
    <w:rsid w:val="0022369D"/>
    <w:rsid w:val="00224144"/>
    <w:rsid w:val="0022556B"/>
    <w:rsid w:val="00225EB9"/>
    <w:rsid w:val="00225F65"/>
    <w:rsid w:val="0022681C"/>
    <w:rsid w:val="00226A91"/>
    <w:rsid w:val="00230CD1"/>
    <w:rsid w:val="002313F3"/>
    <w:rsid w:val="0023171A"/>
    <w:rsid w:val="00231B36"/>
    <w:rsid w:val="00232D51"/>
    <w:rsid w:val="00233A25"/>
    <w:rsid w:val="00234327"/>
    <w:rsid w:val="002349FC"/>
    <w:rsid w:val="00234EC0"/>
    <w:rsid w:val="0023538B"/>
    <w:rsid w:val="002356E9"/>
    <w:rsid w:val="00235EE6"/>
    <w:rsid w:val="0023626D"/>
    <w:rsid w:val="002364BB"/>
    <w:rsid w:val="00236979"/>
    <w:rsid w:val="002372A3"/>
    <w:rsid w:val="00237508"/>
    <w:rsid w:val="00237906"/>
    <w:rsid w:val="00237DA3"/>
    <w:rsid w:val="002402CC"/>
    <w:rsid w:val="00240889"/>
    <w:rsid w:val="002429C0"/>
    <w:rsid w:val="00242D57"/>
    <w:rsid w:val="00243AF0"/>
    <w:rsid w:val="00243FD1"/>
    <w:rsid w:val="002441F9"/>
    <w:rsid w:val="0024491D"/>
    <w:rsid w:val="00245052"/>
    <w:rsid w:val="00245A72"/>
    <w:rsid w:val="00246491"/>
    <w:rsid w:val="00246646"/>
    <w:rsid w:val="0024685D"/>
    <w:rsid w:val="0024761E"/>
    <w:rsid w:val="002476D3"/>
    <w:rsid w:val="00247FA0"/>
    <w:rsid w:val="00251086"/>
    <w:rsid w:val="002513BD"/>
    <w:rsid w:val="002513C5"/>
    <w:rsid w:val="00251502"/>
    <w:rsid w:val="00251D51"/>
    <w:rsid w:val="002523B6"/>
    <w:rsid w:val="002538F7"/>
    <w:rsid w:val="00253A2A"/>
    <w:rsid w:val="00253C1E"/>
    <w:rsid w:val="002549E0"/>
    <w:rsid w:val="00254D34"/>
    <w:rsid w:val="002558B6"/>
    <w:rsid w:val="0025606D"/>
    <w:rsid w:val="00256563"/>
    <w:rsid w:val="002574E5"/>
    <w:rsid w:val="00257774"/>
    <w:rsid w:val="00257BCB"/>
    <w:rsid w:val="00261D42"/>
    <w:rsid w:val="00261F2E"/>
    <w:rsid w:val="002620FB"/>
    <w:rsid w:val="00263E27"/>
    <w:rsid w:val="002650CF"/>
    <w:rsid w:val="00265B21"/>
    <w:rsid w:val="00265D8C"/>
    <w:rsid w:val="002669DE"/>
    <w:rsid w:val="00266E12"/>
    <w:rsid w:val="00267101"/>
    <w:rsid w:val="00267794"/>
    <w:rsid w:val="002702C8"/>
    <w:rsid w:val="002711A9"/>
    <w:rsid w:val="00271200"/>
    <w:rsid w:val="002719E5"/>
    <w:rsid w:val="00272296"/>
    <w:rsid w:val="00272A17"/>
    <w:rsid w:val="00274A4E"/>
    <w:rsid w:val="00275333"/>
    <w:rsid w:val="00275F78"/>
    <w:rsid w:val="00276221"/>
    <w:rsid w:val="002766CA"/>
    <w:rsid w:val="00276D2B"/>
    <w:rsid w:val="00276F64"/>
    <w:rsid w:val="0027728B"/>
    <w:rsid w:val="002778AC"/>
    <w:rsid w:val="002803CE"/>
    <w:rsid w:val="00281B84"/>
    <w:rsid w:val="002835CB"/>
    <w:rsid w:val="00283843"/>
    <w:rsid w:val="002841AA"/>
    <w:rsid w:val="00284E35"/>
    <w:rsid w:val="002852F3"/>
    <w:rsid w:val="002857AC"/>
    <w:rsid w:val="00285F14"/>
    <w:rsid w:val="00285FDB"/>
    <w:rsid w:val="00286308"/>
    <w:rsid w:val="002863F2"/>
    <w:rsid w:val="00286581"/>
    <w:rsid w:val="002878D4"/>
    <w:rsid w:val="00287F30"/>
    <w:rsid w:val="00290189"/>
    <w:rsid w:val="0029101A"/>
    <w:rsid w:val="002919DC"/>
    <w:rsid w:val="002926CF"/>
    <w:rsid w:val="002928F4"/>
    <w:rsid w:val="0029409C"/>
    <w:rsid w:val="00294198"/>
    <w:rsid w:val="002946A4"/>
    <w:rsid w:val="00295189"/>
    <w:rsid w:val="002954B4"/>
    <w:rsid w:val="0029609A"/>
    <w:rsid w:val="002968E5"/>
    <w:rsid w:val="0029736C"/>
    <w:rsid w:val="002A01A6"/>
    <w:rsid w:val="002A01E8"/>
    <w:rsid w:val="002A029D"/>
    <w:rsid w:val="002A0905"/>
    <w:rsid w:val="002A0909"/>
    <w:rsid w:val="002A09F9"/>
    <w:rsid w:val="002A0F2A"/>
    <w:rsid w:val="002A14D5"/>
    <w:rsid w:val="002A1D45"/>
    <w:rsid w:val="002A1E08"/>
    <w:rsid w:val="002A31D5"/>
    <w:rsid w:val="002A4D38"/>
    <w:rsid w:val="002A5075"/>
    <w:rsid w:val="002A5DFB"/>
    <w:rsid w:val="002A6103"/>
    <w:rsid w:val="002A6118"/>
    <w:rsid w:val="002A6306"/>
    <w:rsid w:val="002A7A9D"/>
    <w:rsid w:val="002B0794"/>
    <w:rsid w:val="002B0845"/>
    <w:rsid w:val="002B1193"/>
    <w:rsid w:val="002B140A"/>
    <w:rsid w:val="002B1755"/>
    <w:rsid w:val="002B21B0"/>
    <w:rsid w:val="002B2B65"/>
    <w:rsid w:val="002B2CFE"/>
    <w:rsid w:val="002B48DB"/>
    <w:rsid w:val="002B4A17"/>
    <w:rsid w:val="002B50EE"/>
    <w:rsid w:val="002B6578"/>
    <w:rsid w:val="002B67A7"/>
    <w:rsid w:val="002B68DF"/>
    <w:rsid w:val="002B75BA"/>
    <w:rsid w:val="002B7DC1"/>
    <w:rsid w:val="002B7FD9"/>
    <w:rsid w:val="002C02F2"/>
    <w:rsid w:val="002C03E2"/>
    <w:rsid w:val="002C06AC"/>
    <w:rsid w:val="002C07BC"/>
    <w:rsid w:val="002C17DC"/>
    <w:rsid w:val="002C1AE5"/>
    <w:rsid w:val="002C1CA2"/>
    <w:rsid w:val="002C1E60"/>
    <w:rsid w:val="002C2386"/>
    <w:rsid w:val="002C282E"/>
    <w:rsid w:val="002C291D"/>
    <w:rsid w:val="002C297E"/>
    <w:rsid w:val="002C358C"/>
    <w:rsid w:val="002C44FE"/>
    <w:rsid w:val="002C4E85"/>
    <w:rsid w:val="002C56CF"/>
    <w:rsid w:val="002C56F7"/>
    <w:rsid w:val="002C5C93"/>
    <w:rsid w:val="002C5DC3"/>
    <w:rsid w:val="002C5EEA"/>
    <w:rsid w:val="002C6D7E"/>
    <w:rsid w:val="002C7202"/>
    <w:rsid w:val="002C75D3"/>
    <w:rsid w:val="002C7D5A"/>
    <w:rsid w:val="002C7E02"/>
    <w:rsid w:val="002C7FA9"/>
    <w:rsid w:val="002D075B"/>
    <w:rsid w:val="002D1599"/>
    <w:rsid w:val="002D1631"/>
    <w:rsid w:val="002D1E00"/>
    <w:rsid w:val="002D1EDE"/>
    <w:rsid w:val="002D1FB8"/>
    <w:rsid w:val="002D2830"/>
    <w:rsid w:val="002D288C"/>
    <w:rsid w:val="002D31C1"/>
    <w:rsid w:val="002D389F"/>
    <w:rsid w:val="002D38E1"/>
    <w:rsid w:val="002D3EB3"/>
    <w:rsid w:val="002D44DA"/>
    <w:rsid w:val="002D4AB6"/>
    <w:rsid w:val="002D5951"/>
    <w:rsid w:val="002D671A"/>
    <w:rsid w:val="002D6D7D"/>
    <w:rsid w:val="002D70E2"/>
    <w:rsid w:val="002D719F"/>
    <w:rsid w:val="002D7C00"/>
    <w:rsid w:val="002E0B80"/>
    <w:rsid w:val="002E0B96"/>
    <w:rsid w:val="002E0D43"/>
    <w:rsid w:val="002E0F96"/>
    <w:rsid w:val="002E14FF"/>
    <w:rsid w:val="002E1975"/>
    <w:rsid w:val="002E1B18"/>
    <w:rsid w:val="002E1FEE"/>
    <w:rsid w:val="002E249B"/>
    <w:rsid w:val="002E3AE4"/>
    <w:rsid w:val="002E3DBE"/>
    <w:rsid w:val="002E440D"/>
    <w:rsid w:val="002E4466"/>
    <w:rsid w:val="002E52BE"/>
    <w:rsid w:val="002E651D"/>
    <w:rsid w:val="002E6678"/>
    <w:rsid w:val="002E69ED"/>
    <w:rsid w:val="002E6EC4"/>
    <w:rsid w:val="002E7926"/>
    <w:rsid w:val="002E7F4C"/>
    <w:rsid w:val="002F0779"/>
    <w:rsid w:val="002F0AEF"/>
    <w:rsid w:val="002F25F3"/>
    <w:rsid w:val="002F28A3"/>
    <w:rsid w:val="002F2957"/>
    <w:rsid w:val="002F2BD6"/>
    <w:rsid w:val="002F2CB3"/>
    <w:rsid w:val="002F2E1F"/>
    <w:rsid w:val="002F2EE4"/>
    <w:rsid w:val="002F3DC4"/>
    <w:rsid w:val="002F472C"/>
    <w:rsid w:val="002F47B0"/>
    <w:rsid w:val="002F4C69"/>
    <w:rsid w:val="002F4CB9"/>
    <w:rsid w:val="002F4EC0"/>
    <w:rsid w:val="002F52C4"/>
    <w:rsid w:val="002F5321"/>
    <w:rsid w:val="002F5675"/>
    <w:rsid w:val="002F5FDD"/>
    <w:rsid w:val="002F6E87"/>
    <w:rsid w:val="002F7ABE"/>
    <w:rsid w:val="002F7B56"/>
    <w:rsid w:val="00301BF8"/>
    <w:rsid w:val="00301DB0"/>
    <w:rsid w:val="00301F13"/>
    <w:rsid w:val="00301F82"/>
    <w:rsid w:val="00302122"/>
    <w:rsid w:val="00302801"/>
    <w:rsid w:val="003039DA"/>
    <w:rsid w:val="00303A2A"/>
    <w:rsid w:val="00304351"/>
    <w:rsid w:val="003043D4"/>
    <w:rsid w:val="00304F1D"/>
    <w:rsid w:val="00305CB4"/>
    <w:rsid w:val="00305D32"/>
    <w:rsid w:val="003060B7"/>
    <w:rsid w:val="00306419"/>
    <w:rsid w:val="003069C6"/>
    <w:rsid w:val="00310A23"/>
    <w:rsid w:val="00310C5A"/>
    <w:rsid w:val="003120E5"/>
    <w:rsid w:val="003120F0"/>
    <w:rsid w:val="00312340"/>
    <w:rsid w:val="0031289D"/>
    <w:rsid w:val="00312910"/>
    <w:rsid w:val="00314063"/>
    <w:rsid w:val="003140DB"/>
    <w:rsid w:val="00314252"/>
    <w:rsid w:val="0031462F"/>
    <w:rsid w:val="00314C92"/>
    <w:rsid w:val="00314EFC"/>
    <w:rsid w:val="00315B8B"/>
    <w:rsid w:val="00316B94"/>
    <w:rsid w:val="003172AD"/>
    <w:rsid w:val="003179A2"/>
    <w:rsid w:val="00317BF7"/>
    <w:rsid w:val="003213D0"/>
    <w:rsid w:val="0032141F"/>
    <w:rsid w:val="003214A8"/>
    <w:rsid w:val="00321D70"/>
    <w:rsid w:val="0032212C"/>
    <w:rsid w:val="003230B1"/>
    <w:rsid w:val="0032362C"/>
    <w:rsid w:val="0032438B"/>
    <w:rsid w:val="0032495C"/>
    <w:rsid w:val="00325909"/>
    <w:rsid w:val="0032614C"/>
    <w:rsid w:val="00326980"/>
    <w:rsid w:val="00326CB3"/>
    <w:rsid w:val="00327055"/>
    <w:rsid w:val="003274A3"/>
    <w:rsid w:val="003277C2"/>
    <w:rsid w:val="0032788D"/>
    <w:rsid w:val="0033042E"/>
    <w:rsid w:val="00330A40"/>
    <w:rsid w:val="00330ADA"/>
    <w:rsid w:val="00331449"/>
    <w:rsid w:val="00331587"/>
    <w:rsid w:val="00331BA9"/>
    <w:rsid w:val="00331BB3"/>
    <w:rsid w:val="0033260B"/>
    <w:rsid w:val="003335F7"/>
    <w:rsid w:val="003335FC"/>
    <w:rsid w:val="00333B87"/>
    <w:rsid w:val="0033548F"/>
    <w:rsid w:val="00335754"/>
    <w:rsid w:val="003363E4"/>
    <w:rsid w:val="00336CC9"/>
    <w:rsid w:val="0033784E"/>
    <w:rsid w:val="003378CC"/>
    <w:rsid w:val="00337F8C"/>
    <w:rsid w:val="00340512"/>
    <w:rsid w:val="00341714"/>
    <w:rsid w:val="0034233C"/>
    <w:rsid w:val="0034249C"/>
    <w:rsid w:val="00342A1D"/>
    <w:rsid w:val="00342B8F"/>
    <w:rsid w:val="00343945"/>
    <w:rsid w:val="00343971"/>
    <w:rsid w:val="00343F3D"/>
    <w:rsid w:val="00344D9B"/>
    <w:rsid w:val="00345766"/>
    <w:rsid w:val="00345B68"/>
    <w:rsid w:val="00345CD2"/>
    <w:rsid w:val="00345CE3"/>
    <w:rsid w:val="00346139"/>
    <w:rsid w:val="003465C6"/>
    <w:rsid w:val="00346CAC"/>
    <w:rsid w:val="003472FB"/>
    <w:rsid w:val="00347741"/>
    <w:rsid w:val="00347FD3"/>
    <w:rsid w:val="00350641"/>
    <w:rsid w:val="003508F0"/>
    <w:rsid w:val="00351008"/>
    <w:rsid w:val="00352A05"/>
    <w:rsid w:val="00353017"/>
    <w:rsid w:val="00353640"/>
    <w:rsid w:val="00353D18"/>
    <w:rsid w:val="00353EEC"/>
    <w:rsid w:val="00354848"/>
    <w:rsid w:val="003548A6"/>
    <w:rsid w:val="003549E4"/>
    <w:rsid w:val="003552B6"/>
    <w:rsid w:val="00355B4B"/>
    <w:rsid w:val="003571D6"/>
    <w:rsid w:val="00357237"/>
    <w:rsid w:val="00357324"/>
    <w:rsid w:val="00357EF0"/>
    <w:rsid w:val="00360EC6"/>
    <w:rsid w:val="00361209"/>
    <w:rsid w:val="00361A53"/>
    <w:rsid w:val="0036292E"/>
    <w:rsid w:val="003632E3"/>
    <w:rsid w:val="00363952"/>
    <w:rsid w:val="00364119"/>
    <w:rsid w:val="00364253"/>
    <w:rsid w:val="00364E21"/>
    <w:rsid w:val="003671E1"/>
    <w:rsid w:val="0036755A"/>
    <w:rsid w:val="003675C4"/>
    <w:rsid w:val="0036777F"/>
    <w:rsid w:val="003679F5"/>
    <w:rsid w:val="00367C85"/>
    <w:rsid w:val="0037014A"/>
    <w:rsid w:val="00370B9C"/>
    <w:rsid w:val="00370C85"/>
    <w:rsid w:val="00370C91"/>
    <w:rsid w:val="00370FCE"/>
    <w:rsid w:val="00371548"/>
    <w:rsid w:val="003719AF"/>
    <w:rsid w:val="00371BBD"/>
    <w:rsid w:val="00372246"/>
    <w:rsid w:val="003724C0"/>
    <w:rsid w:val="003725AA"/>
    <w:rsid w:val="00372799"/>
    <w:rsid w:val="00372E12"/>
    <w:rsid w:val="00372EBE"/>
    <w:rsid w:val="00372EDE"/>
    <w:rsid w:val="003733E9"/>
    <w:rsid w:val="003737D2"/>
    <w:rsid w:val="00373B56"/>
    <w:rsid w:val="00373E7A"/>
    <w:rsid w:val="00373FCC"/>
    <w:rsid w:val="0037407B"/>
    <w:rsid w:val="00374D58"/>
    <w:rsid w:val="00375D7E"/>
    <w:rsid w:val="00375FC8"/>
    <w:rsid w:val="00377331"/>
    <w:rsid w:val="003773F9"/>
    <w:rsid w:val="00377D84"/>
    <w:rsid w:val="0038056E"/>
    <w:rsid w:val="00383622"/>
    <w:rsid w:val="0038398F"/>
    <w:rsid w:val="00383DC1"/>
    <w:rsid w:val="00384014"/>
    <w:rsid w:val="003844C2"/>
    <w:rsid w:val="00384639"/>
    <w:rsid w:val="003846C8"/>
    <w:rsid w:val="00384ED5"/>
    <w:rsid w:val="0038539C"/>
    <w:rsid w:val="00385680"/>
    <w:rsid w:val="003862CC"/>
    <w:rsid w:val="00386347"/>
    <w:rsid w:val="00386A3D"/>
    <w:rsid w:val="00387C66"/>
    <w:rsid w:val="00387F07"/>
    <w:rsid w:val="0039046B"/>
    <w:rsid w:val="00390870"/>
    <w:rsid w:val="0039126A"/>
    <w:rsid w:val="0039167B"/>
    <w:rsid w:val="0039173A"/>
    <w:rsid w:val="003922BE"/>
    <w:rsid w:val="00392C1E"/>
    <w:rsid w:val="003931CC"/>
    <w:rsid w:val="00393336"/>
    <w:rsid w:val="00393436"/>
    <w:rsid w:val="00393774"/>
    <w:rsid w:val="003937A7"/>
    <w:rsid w:val="00394063"/>
    <w:rsid w:val="0039480E"/>
    <w:rsid w:val="00394D8B"/>
    <w:rsid w:val="00395A01"/>
    <w:rsid w:val="00395A51"/>
    <w:rsid w:val="00395A56"/>
    <w:rsid w:val="00396507"/>
    <w:rsid w:val="0039682E"/>
    <w:rsid w:val="00396949"/>
    <w:rsid w:val="00396F2F"/>
    <w:rsid w:val="003971A6"/>
    <w:rsid w:val="00397916"/>
    <w:rsid w:val="00397AA0"/>
    <w:rsid w:val="00397DAB"/>
    <w:rsid w:val="003A05D0"/>
    <w:rsid w:val="003A0955"/>
    <w:rsid w:val="003A0B2F"/>
    <w:rsid w:val="003A0E9C"/>
    <w:rsid w:val="003A129F"/>
    <w:rsid w:val="003A1634"/>
    <w:rsid w:val="003A3E40"/>
    <w:rsid w:val="003A7BAC"/>
    <w:rsid w:val="003B00ED"/>
    <w:rsid w:val="003B066F"/>
    <w:rsid w:val="003B0AB6"/>
    <w:rsid w:val="003B0BCB"/>
    <w:rsid w:val="003B1882"/>
    <w:rsid w:val="003B1D3B"/>
    <w:rsid w:val="003B275D"/>
    <w:rsid w:val="003B2B76"/>
    <w:rsid w:val="003B2EE9"/>
    <w:rsid w:val="003B335D"/>
    <w:rsid w:val="003B3783"/>
    <w:rsid w:val="003B3FF5"/>
    <w:rsid w:val="003B6101"/>
    <w:rsid w:val="003B671C"/>
    <w:rsid w:val="003C0038"/>
    <w:rsid w:val="003C05D1"/>
    <w:rsid w:val="003C09BC"/>
    <w:rsid w:val="003C0B47"/>
    <w:rsid w:val="003C1445"/>
    <w:rsid w:val="003C2C6B"/>
    <w:rsid w:val="003C3372"/>
    <w:rsid w:val="003C3D7C"/>
    <w:rsid w:val="003C4451"/>
    <w:rsid w:val="003C4E89"/>
    <w:rsid w:val="003C579C"/>
    <w:rsid w:val="003C676B"/>
    <w:rsid w:val="003C6A6C"/>
    <w:rsid w:val="003C6E2E"/>
    <w:rsid w:val="003D0993"/>
    <w:rsid w:val="003D09B6"/>
    <w:rsid w:val="003D09F6"/>
    <w:rsid w:val="003D0AD1"/>
    <w:rsid w:val="003D12EA"/>
    <w:rsid w:val="003D1617"/>
    <w:rsid w:val="003D26C0"/>
    <w:rsid w:val="003D273A"/>
    <w:rsid w:val="003D4485"/>
    <w:rsid w:val="003D4885"/>
    <w:rsid w:val="003D4986"/>
    <w:rsid w:val="003D4D1D"/>
    <w:rsid w:val="003D5248"/>
    <w:rsid w:val="003D5587"/>
    <w:rsid w:val="003D55CD"/>
    <w:rsid w:val="003D5ECB"/>
    <w:rsid w:val="003D66C7"/>
    <w:rsid w:val="003D71F1"/>
    <w:rsid w:val="003D77A0"/>
    <w:rsid w:val="003E0812"/>
    <w:rsid w:val="003E0D59"/>
    <w:rsid w:val="003E1299"/>
    <w:rsid w:val="003E13A7"/>
    <w:rsid w:val="003E15A8"/>
    <w:rsid w:val="003E1B4D"/>
    <w:rsid w:val="003E1FD5"/>
    <w:rsid w:val="003E2210"/>
    <w:rsid w:val="003E2A7B"/>
    <w:rsid w:val="003E3226"/>
    <w:rsid w:val="003E34A4"/>
    <w:rsid w:val="003E38E0"/>
    <w:rsid w:val="003E4473"/>
    <w:rsid w:val="003E4577"/>
    <w:rsid w:val="003E4772"/>
    <w:rsid w:val="003E5E11"/>
    <w:rsid w:val="003E6091"/>
    <w:rsid w:val="003E636E"/>
    <w:rsid w:val="003E6CA5"/>
    <w:rsid w:val="003E6ED0"/>
    <w:rsid w:val="003E6F10"/>
    <w:rsid w:val="003E7054"/>
    <w:rsid w:val="003E734B"/>
    <w:rsid w:val="003E7631"/>
    <w:rsid w:val="003F09B7"/>
    <w:rsid w:val="003F16C0"/>
    <w:rsid w:val="003F1D18"/>
    <w:rsid w:val="003F2025"/>
    <w:rsid w:val="003F23C5"/>
    <w:rsid w:val="003F388D"/>
    <w:rsid w:val="003F38A0"/>
    <w:rsid w:val="003F3FBA"/>
    <w:rsid w:val="003F4EBC"/>
    <w:rsid w:val="003F4F3C"/>
    <w:rsid w:val="003F50CC"/>
    <w:rsid w:val="003F56B9"/>
    <w:rsid w:val="003F61F5"/>
    <w:rsid w:val="003F78AE"/>
    <w:rsid w:val="003F79DE"/>
    <w:rsid w:val="004002ED"/>
    <w:rsid w:val="004009E9"/>
    <w:rsid w:val="004011C6"/>
    <w:rsid w:val="004014E9"/>
    <w:rsid w:val="004015CB"/>
    <w:rsid w:val="004024E5"/>
    <w:rsid w:val="004031ED"/>
    <w:rsid w:val="00403F01"/>
    <w:rsid w:val="00403F1F"/>
    <w:rsid w:val="00404721"/>
    <w:rsid w:val="0040501B"/>
    <w:rsid w:val="00405CCD"/>
    <w:rsid w:val="00405E7B"/>
    <w:rsid w:val="004063F0"/>
    <w:rsid w:val="0040690F"/>
    <w:rsid w:val="0040749F"/>
    <w:rsid w:val="00407D66"/>
    <w:rsid w:val="00410B33"/>
    <w:rsid w:val="00410EEE"/>
    <w:rsid w:val="00411425"/>
    <w:rsid w:val="00411795"/>
    <w:rsid w:val="00411AE0"/>
    <w:rsid w:val="00412319"/>
    <w:rsid w:val="00412F67"/>
    <w:rsid w:val="004135BA"/>
    <w:rsid w:val="00413B29"/>
    <w:rsid w:val="00414A6F"/>
    <w:rsid w:val="004157C7"/>
    <w:rsid w:val="004158D4"/>
    <w:rsid w:val="00417A71"/>
    <w:rsid w:val="00417FD1"/>
    <w:rsid w:val="00420C69"/>
    <w:rsid w:val="00421828"/>
    <w:rsid w:val="00421F05"/>
    <w:rsid w:val="0042220C"/>
    <w:rsid w:val="0042297D"/>
    <w:rsid w:val="00422AB1"/>
    <w:rsid w:val="00422AFD"/>
    <w:rsid w:val="004232C2"/>
    <w:rsid w:val="00424135"/>
    <w:rsid w:val="004243FA"/>
    <w:rsid w:val="004246B1"/>
    <w:rsid w:val="0042559A"/>
    <w:rsid w:val="004255A0"/>
    <w:rsid w:val="00427227"/>
    <w:rsid w:val="0042736D"/>
    <w:rsid w:val="0042790F"/>
    <w:rsid w:val="00430431"/>
    <w:rsid w:val="004306B2"/>
    <w:rsid w:val="00430867"/>
    <w:rsid w:val="00430877"/>
    <w:rsid w:val="0043097F"/>
    <w:rsid w:val="00430D50"/>
    <w:rsid w:val="00431EEB"/>
    <w:rsid w:val="0043213A"/>
    <w:rsid w:val="004321DA"/>
    <w:rsid w:val="00432264"/>
    <w:rsid w:val="00432920"/>
    <w:rsid w:val="00433379"/>
    <w:rsid w:val="00433B24"/>
    <w:rsid w:val="00434107"/>
    <w:rsid w:val="0043424C"/>
    <w:rsid w:val="004357A1"/>
    <w:rsid w:val="00435C4A"/>
    <w:rsid w:val="00436415"/>
    <w:rsid w:val="00436EDF"/>
    <w:rsid w:val="00436F9B"/>
    <w:rsid w:val="00440B60"/>
    <w:rsid w:val="00440CF6"/>
    <w:rsid w:val="00440D27"/>
    <w:rsid w:val="00440EC6"/>
    <w:rsid w:val="00441181"/>
    <w:rsid w:val="0044223B"/>
    <w:rsid w:val="00442274"/>
    <w:rsid w:val="0044260C"/>
    <w:rsid w:val="00442F11"/>
    <w:rsid w:val="004430C0"/>
    <w:rsid w:val="00443D1A"/>
    <w:rsid w:val="00444CF9"/>
    <w:rsid w:val="00445BC3"/>
    <w:rsid w:val="00445D6F"/>
    <w:rsid w:val="00446232"/>
    <w:rsid w:val="004462D4"/>
    <w:rsid w:val="004468A4"/>
    <w:rsid w:val="0045023D"/>
    <w:rsid w:val="00450A9E"/>
    <w:rsid w:val="00450AE5"/>
    <w:rsid w:val="00451710"/>
    <w:rsid w:val="0045198F"/>
    <w:rsid w:val="00452B51"/>
    <w:rsid w:val="0045340B"/>
    <w:rsid w:val="004534D7"/>
    <w:rsid w:val="004537B2"/>
    <w:rsid w:val="0045394A"/>
    <w:rsid w:val="00453C74"/>
    <w:rsid w:val="004543DA"/>
    <w:rsid w:val="00454A33"/>
    <w:rsid w:val="00455154"/>
    <w:rsid w:val="00455C76"/>
    <w:rsid w:val="00455CA1"/>
    <w:rsid w:val="00455D7B"/>
    <w:rsid w:val="00455DA0"/>
    <w:rsid w:val="0045646D"/>
    <w:rsid w:val="0046036B"/>
    <w:rsid w:val="0046073F"/>
    <w:rsid w:val="0046128D"/>
    <w:rsid w:val="00461419"/>
    <w:rsid w:val="004614FD"/>
    <w:rsid w:val="00461503"/>
    <w:rsid w:val="004616D7"/>
    <w:rsid w:val="004627ED"/>
    <w:rsid w:val="00462E6C"/>
    <w:rsid w:val="00463901"/>
    <w:rsid w:val="00463D95"/>
    <w:rsid w:val="00463EEC"/>
    <w:rsid w:val="004643CE"/>
    <w:rsid w:val="0046563B"/>
    <w:rsid w:val="00466135"/>
    <w:rsid w:val="00466A69"/>
    <w:rsid w:val="004679A3"/>
    <w:rsid w:val="00470247"/>
    <w:rsid w:val="004705F7"/>
    <w:rsid w:val="00471D9E"/>
    <w:rsid w:val="00471E5C"/>
    <w:rsid w:val="004721FF"/>
    <w:rsid w:val="004724C5"/>
    <w:rsid w:val="004730C6"/>
    <w:rsid w:val="00473494"/>
    <w:rsid w:val="00473D2C"/>
    <w:rsid w:val="004743D5"/>
    <w:rsid w:val="00474ADF"/>
    <w:rsid w:val="00475036"/>
    <w:rsid w:val="0047545D"/>
    <w:rsid w:val="00475D5B"/>
    <w:rsid w:val="00476759"/>
    <w:rsid w:val="00477D78"/>
    <w:rsid w:val="004810A3"/>
    <w:rsid w:val="0048121C"/>
    <w:rsid w:val="004812EA"/>
    <w:rsid w:val="004817DC"/>
    <w:rsid w:val="0048183B"/>
    <w:rsid w:val="0048199F"/>
    <w:rsid w:val="004823BB"/>
    <w:rsid w:val="00482C44"/>
    <w:rsid w:val="00483926"/>
    <w:rsid w:val="00484BF9"/>
    <w:rsid w:val="00484ED2"/>
    <w:rsid w:val="004853CC"/>
    <w:rsid w:val="0048569F"/>
    <w:rsid w:val="00485BD5"/>
    <w:rsid w:val="00486403"/>
    <w:rsid w:val="00486818"/>
    <w:rsid w:val="00486BCB"/>
    <w:rsid w:val="00486D82"/>
    <w:rsid w:val="00487ABB"/>
    <w:rsid w:val="004903BD"/>
    <w:rsid w:val="004905FB"/>
    <w:rsid w:val="00491083"/>
    <w:rsid w:val="0049110D"/>
    <w:rsid w:val="00491132"/>
    <w:rsid w:val="00491136"/>
    <w:rsid w:val="004920EF"/>
    <w:rsid w:val="00492CC7"/>
    <w:rsid w:val="004930F9"/>
    <w:rsid w:val="004943B2"/>
    <w:rsid w:val="004949DA"/>
    <w:rsid w:val="00496024"/>
    <w:rsid w:val="004960FA"/>
    <w:rsid w:val="00496157"/>
    <w:rsid w:val="00496796"/>
    <w:rsid w:val="004974D3"/>
    <w:rsid w:val="00497520"/>
    <w:rsid w:val="004A03D1"/>
    <w:rsid w:val="004A0760"/>
    <w:rsid w:val="004A0A44"/>
    <w:rsid w:val="004A20BB"/>
    <w:rsid w:val="004A25C8"/>
    <w:rsid w:val="004A2A8D"/>
    <w:rsid w:val="004A3AE1"/>
    <w:rsid w:val="004A3AF0"/>
    <w:rsid w:val="004A3BE5"/>
    <w:rsid w:val="004A3F6F"/>
    <w:rsid w:val="004A4473"/>
    <w:rsid w:val="004A4667"/>
    <w:rsid w:val="004A49FF"/>
    <w:rsid w:val="004A604D"/>
    <w:rsid w:val="004A6AA8"/>
    <w:rsid w:val="004A7419"/>
    <w:rsid w:val="004B05F4"/>
    <w:rsid w:val="004B2BFD"/>
    <w:rsid w:val="004B30BC"/>
    <w:rsid w:val="004B35F5"/>
    <w:rsid w:val="004B378F"/>
    <w:rsid w:val="004B4444"/>
    <w:rsid w:val="004B47C7"/>
    <w:rsid w:val="004B5D98"/>
    <w:rsid w:val="004B78B2"/>
    <w:rsid w:val="004C029C"/>
    <w:rsid w:val="004C074F"/>
    <w:rsid w:val="004C0C8B"/>
    <w:rsid w:val="004C0EDB"/>
    <w:rsid w:val="004C22D7"/>
    <w:rsid w:val="004C23B1"/>
    <w:rsid w:val="004C2458"/>
    <w:rsid w:val="004C2619"/>
    <w:rsid w:val="004C3336"/>
    <w:rsid w:val="004C345D"/>
    <w:rsid w:val="004C3D88"/>
    <w:rsid w:val="004C429A"/>
    <w:rsid w:val="004C57D8"/>
    <w:rsid w:val="004C5965"/>
    <w:rsid w:val="004C6083"/>
    <w:rsid w:val="004C670A"/>
    <w:rsid w:val="004C7998"/>
    <w:rsid w:val="004D0073"/>
    <w:rsid w:val="004D0195"/>
    <w:rsid w:val="004D01D4"/>
    <w:rsid w:val="004D01FA"/>
    <w:rsid w:val="004D03E4"/>
    <w:rsid w:val="004D0B6F"/>
    <w:rsid w:val="004D115E"/>
    <w:rsid w:val="004D1B36"/>
    <w:rsid w:val="004D2198"/>
    <w:rsid w:val="004D228F"/>
    <w:rsid w:val="004D301C"/>
    <w:rsid w:val="004D4524"/>
    <w:rsid w:val="004D50E7"/>
    <w:rsid w:val="004D5858"/>
    <w:rsid w:val="004D58C1"/>
    <w:rsid w:val="004D59F3"/>
    <w:rsid w:val="004D5ADC"/>
    <w:rsid w:val="004D5E4D"/>
    <w:rsid w:val="004D67F9"/>
    <w:rsid w:val="004D6DF6"/>
    <w:rsid w:val="004D7281"/>
    <w:rsid w:val="004D75D0"/>
    <w:rsid w:val="004D79E1"/>
    <w:rsid w:val="004D7C00"/>
    <w:rsid w:val="004E0697"/>
    <w:rsid w:val="004E0B2A"/>
    <w:rsid w:val="004E169C"/>
    <w:rsid w:val="004E1E63"/>
    <w:rsid w:val="004E23DA"/>
    <w:rsid w:val="004E299A"/>
    <w:rsid w:val="004E2AD9"/>
    <w:rsid w:val="004E2BDC"/>
    <w:rsid w:val="004E30E7"/>
    <w:rsid w:val="004E4A57"/>
    <w:rsid w:val="004E50A9"/>
    <w:rsid w:val="004E5615"/>
    <w:rsid w:val="004E5EF4"/>
    <w:rsid w:val="004E6215"/>
    <w:rsid w:val="004E63A8"/>
    <w:rsid w:val="004E6528"/>
    <w:rsid w:val="004E6657"/>
    <w:rsid w:val="004E6831"/>
    <w:rsid w:val="004E6B71"/>
    <w:rsid w:val="004E76CF"/>
    <w:rsid w:val="004E76F6"/>
    <w:rsid w:val="004E7804"/>
    <w:rsid w:val="004E7CDD"/>
    <w:rsid w:val="004E7D94"/>
    <w:rsid w:val="004E7F8A"/>
    <w:rsid w:val="004F0029"/>
    <w:rsid w:val="004F082D"/>
    <w:rsid w:val="004F0BC0"/>
    <w:rsid w:val="004F0C1F"/>
    <w:rsid w:val="004F2ACF"/>
    <w:rsid w:val="004F44C1"/>
    <w:rsid w:val="004F4A25"/>
    <w:rsid w:val="004F4ACA"/>
    <w:rsid w:val="004F513F"/>
    <w:rsid w:val="004F51CB"/>
    <w:rsid w:val="004F5DA4"/>
    <w:rsid w:val="004F6856"/>
    <w:rsid w:val="004F6E79"/>
    <w:rsid w:val="004F74D3"/>
    <w:rsid w:val="0050009B"/>
    <w:rsid w:val="005012C1"/>
    <w:rsid w:val="00501C89"/>
    <w:rsid w:val="00501EB7"/>
    <w:rsid w:val="005025BC"/>
    <w:rsid w:val="005026A7"/>
    <w:rsid w:val="00502DF4"/>
    <w:rsid w:val="00502FD6"/>
    <w:rsid w:val="0050371B"/>
    <w:rsid w:val="005037CD"/>
    <w:rsid w:val="005051FF"/>
    <w:rsid w:val="005052F8"/>
    <w:rsid w:val="005053A2"/>
    <w:rsid w:val="00506026"/>
    <w:rsid w:val="00506A30"/>
    <w:rsid w:val="00506BAE"/>
    <w:rsid w:val="00506D71"/>
    <w:rsid w:val="0050736E"/>
    <w:rsid w:val="00507EA1"/>
    <w:rsid w:val="00510119"/>
    <w:rsid w:val="00510C29"/>
    <w:rsid w:val="005112BF"/>
    <w:rsid w:val="005116FA"/>
    <w:rsid w:val="00511FEE"/>
    <w:rsid w:val="00512404"/>
    <w:rsid w:val="0051258A"/>
    <w:rsid w:val="00512605"/>
    <w:rsid w:val="00512AF6"/>
    <w:rsid w:val="00512DBF"/>
    <w:rsid w:val="00512FBB"/>
    <w:rsid w:val="005142E0"/>
    <w:rsid w:val="00514732"/>
    <w:rsid w:val="00514E87"/>
    <w:rsid w:val="00515DDE"/>
    <w:rsid w:val="00515F40"/>
    <w:rsid w:val="00516423"/>
    <w:rsid w:val="00517202"/>
    <w:rsid w:val="005177B6"/>
    <w:rsid w:val="0052083F"/>
    <w:rsid w:val="00520C4F"/>
    <w:rsid w:val="00521062"/>
    <w:rsid w:val="00521162"/>
    <w:rsid w:val="0052258C"/>
    <w:rsid w:val="005230B1"/>
    <w:rsid w:val="005232F8"/>
    <w:rsid w:val="00523F41"/>
    <w:rsid w:val="005249B9"/>
    <w:rsid w:val="005249FD"/>
    <w:rsid w:val="00524F09"/>
    <w:rsid w:val="005253A6"/>
    <w:rsid w:val="005256DB"/>
    <w:rsid w:val="005257C4"/>
    <w:rsid w:val="005257EA"/>
    <w:rsid w:val="00525B0E"/>
    <w:rsid w:val="00525B8B"/>
    <w:rsid w:val="00525E92"/>
    <w:rsid w:val="00526A83"/>
    <w:rsid w:val="00526C04"/>
    <w:rsid w:val="00526C07"/>
    <w:rsid w:val="00526E59"/>
    <w:rsid w:val="0052735C"/>
    <w:rsid w:val="00527DE5"/>
    <w:rsid w:val="005300AA"/>
    <w:rsid w:val="0053064E"/>
    <w:rsid w:val="00530751"/>
    <w:rsid w:val="00531026"/>
    <w:rsid w:val="00531311"/>
    <w:rsid w:val="00531C5B"/>
    <w:rsid w:val="005320D5"/>
    <w:rsid w:val="0053212F"/>
    <w:rsid w:val="0053286C"/>
    <w:rsid w:val="00532B41"/>
    <w:rsid w:val="0053360D"/>
    <w:rsid w:val="005337AE"/>
    <w:rsid w:val="0053392D"/>
    <w:rsid w:val="00533D46"/>
    <w:rsid w:val="00534421"/>
    <w:rsid w:val="00534453"/>
    <w:rsid w:val="00534E70"/>
    <w:rsid w:val="00535A48"/>
    <w:rsid w:val="00535C58"/>
    <w:rsid w:val="00536973"/>
    <w:rsid w:val="00536E36"/>
    <w:rsid w:val="00537333"/>
    <w:rsid w:val="0054021A"/>
    <w:rsid w:val="005408FC"/>
    <w:rsid w:val="00540B0B"/>
    <w:rsid w:val="00540B9C"/>
    <w:rsid w:val="00540CEA"/>
    <w:rsid w:val="00540E1E"/>
    <w:rsid w:val="00540EDB"/>
    <w:rsid w:val="00540F06"/>
    <w:rsid w:val="005411B3"/>
    <w:rsid w:val="0054148B"/>
    <w:rsid w:val="00541533"/>
    <w:rsid w:val="00542E9D"/>
    <w:rsid w:val="00542F72"/>
    <w:rsid w:val="00543B64"/>
    <w:rsid w:val="00543C71"/>
    <w:rsid w:val="0054470B"/>
    <w:rsid w:val="00544A0D"/>
    <w:rsid w:val="00545D18"/>
    <w:rsid w:val="0054601E"/>
    <w:rsid w:val="005465CE"/>
    <w:rsid w:val="00546662"/>
    <w:rsid w:val="00547917"/>
    <w:rsid w:val="00547A44"/>
    <w:rsid w:val="0055018F"/>
    <w:rsid w:val="0055042D"/>
    <w:rsid w:val="005504C2"/>
    <w:rsid w:val="00550BFD"/>
    <w:rsid w:val="00550FE9"/>
    <w:rsid w:val="0055158C"/>
    <w:rsid w:val="00553065"/>
    <w:rsid w:val="0055321C"/>
    <w:rsid w:val="00553F4B"/>
    <w:rsid w:val="005549C1"/>
    <w:rsid w:val="00554BD2"/>
    <w:rsid w:val="0055519D"/>
    <w:rsid w:val="0055538B"/>
    <w:rsid w:val="005558C5"/>
    <w:rsid w:val="0055623B"/>
    <w:rsid w:val="00556EF1"/>
    <w:rsid w:val="0055772E"/>
    <w:rsid w:val="00560134"/>
    <w:rsid w:val="005601C1"/>
    <w:rsid w:val="005602FF"/>
    <w:rsid w:val="00560BE2"/>
    <w:rsid w:val="00560E4E"/>
    <w:rsid w:val="00561533"/>
    <w:rsid w:val="00561B0B"/>
    <w:rsid w:val="00561F4F"/>
    <w:rsid w:val="00562460"/>
    <w:rsid w:val="00562BFA"/>
    <w:rsid w:val="00563019"/>
    <w:rsid w:val="005630BF"/>
    <w:rsid w:val="00563133"/>
    <w:rsid w:val="00563F5D"/>
    <w:rsid w:val="0056403C"/>
    <w:rsid w:val="00564705"/>
    <w:rsid w:val="00564B23"/>
    <w:rsid w:val="005652DC"/>
    <w:rsid w:val="005658DB"/>
    <w:rsid w:val="0056598C"/>
    <w:rsid w:val="00566097"/>
    <w:rsid w:val="005661E0"/>
    <w:rsid w:val="0056651C"/>
    <w:rsid w:val="005671BB"/>
    <w:rsid w:val="00567FA4"/>
    <w:rsid w:val="00570946"/>
    <w:rsid w:val="00570B6B"/>
    <w:rsid w:val="00571778"/>
    <w:rsid w:val="00571E3F"/>
    <w:rsid w:val="00571F11"/>
    <w:rsid w:val="005736DB"/>
    <w:rsid w:val="005738F1"/>
    <w:rsid w:val="00573D5E"/>
    <w:rsid w:val="005743C3"/>
    <w:rsid w:val="00574510"/>
    <w:rsid w:val="00575643"/>
    <w:rsid w:val="0057672A"/>
    <w:rsid w:val="00576EE6"/>
    <w:rsid w:val="0057798B"/>
    <w:rsid w:val="00577E6F"/>
    <w:rsid w:val="00580579"/>
    <w:rsid w:val="00580AC0"/>
    <w:rsid w:val="005829EB"/>
    <w:rsid w:val="005833C1"/>
    <w:rsid w:val="005835D6"/>
    <w:rsid w:val="00584108"/>
    <w:rsid w:val="005847E2"/>
    <w:rsid w:val="0058508A"/>
    <w:rsid w:val="0058547A"/>
    <w:rsid w:val="0058549F"/>
    <w:rsid w:val="00586764"/>
    <w:rsid w:val="00586E06"/>
    <w:rsid w:val="00590BDA"/>
    <w:rsid w:val="00590E83"/>
    <w:rsid w:val="00591503"/>
    <w:rsid w:val="00591BD9"/>
    <w:rsid w:val="00592AA9"/>
    <w:rsid w:val="00592C48"/>
    <w:rsid w:val="00594644"/>
    <w:rsid w:val="005948CC"/>
    <w:rsid w:val="0059578D"/>
    <w:rsid w:val="005958AD"/>
    <w:rsid w:val="00595A7E"/>
    <w:rsid w:val="00596213"/>
    <w:rsid w:val="005963D5"/>
    <w:rsid w:val="005970AD"/>
    <w:rsid w:val="00597E82"/>
    <w:rsid w:val="005A0533"/>
    <w:rsid w:val="005A0833"/>
    <w:rsid w:val="005A08EB"/>
    <w:rsid w:val="005A0F69"/>
    <w:rsid w:val="005A27BD"/>
    <w:rsid w:val="005A2C65"/>
    <w:rsid w:val="005A2CD3"/>
    <w:rsid w:val="005A3D3E"/>
    <w:rsid w:val="005A407E"/>
    <w:rsid w:val="005A4E88"/>
    <w:rsid w:val="005A5787"/>
    <w:rsid w:val="005A5B27"/>
    <w:rsid w:val="005A5DE5"/>
    <w:rsid w:val="005A5EE7"/>
    <w:rsid w:val="005A6850"/>
    <w:rsid w:val="005A7877"/>
    <w:rsid w:val="005A78A6"/>
    <w:rsid w:val="005A7B1F"/>
    <w:rsid w:val="005B127A"/>
    <w:rsid w:val="005B1661"/>
    <w:rsid w:val="005B1836"/>
    <w:rsid w:val="005B22B7"/>
    <w:rsid w:val="005B2771"/>
    <w:rsid w:val="005B3A29"/>
    <w:rsid w:val="005B467E"/>
    <w:rsid w:val="005B4836"/>
    <w:rsid w:val="005B4CF6"/>
    <w:rsid w:val="005B508D"/>
    <w:rsid w:val="005B595E"/>
    <w:rsid w:val="005B5C46"/>
    <w:rsid w:val="005B687D"/>
    <w:rsid w:val="005B6CFD"/>
    <w:rsid w:val="005B713B"/>
    <w:rsid w:val="005B76F9"/>
    <w:rsid w:val="005C0707"/>
    <w:rsid w:val="005C0905"/>
    <w:rsid w:val="005C096C"/>
    <w:rsid w:val="005C1113"/>
    <w:rsid w:val="005C1F02"/>
    <w:rsid w:val="005C3F1A"/>
    <w:rsid w:val="005C42EC"/>
    <w:rsid w:val="005C4808"/>
    <w:rsid w:val="005C5615"/>
    <w:rsid w:val="005C5991"/>
    <w:rsid w:val="005C5BF7"/>
    <w:rsid w:val="005C5D36"/>
    <w:rsid w:val="005C5EF0"/>
    <w:rsid w:val="005C6DFB"/>
    <w:rsid w:val="005C6ED7"/>
    <w:rsid w:val="005C6F0A"/>
    <w:rsid w:val="005C77EA"/>
    <w:rsid w:val="005C7D05"/>
    <w:rsid w:val="005D0380"/>
    <w:rsid w:val="005D1A3E"/>
    <w:rsid w:val="005D1CB7"/>
    <w:rsid w:val="005D2107"/>
    <w:rsid w:val="005D237C"/>
    <w:rsid w:val="005D2403"/>
    <w:rsid w:val="005D2722"/>
    <w:rsid w:val="005D29C9"/>
    <w:rsid w:val="005D2C5B"/>
    <w:rsid w:val="005D2D28"/>
    <w:rsid w:val="005D2F17"/>
    <w:rsid w:val="005D3749"/>
    <w:rsid w:val="005D3B73"/>
    <w:rsid w:val="005D4055"/>
    <w:rsid w:val="005D4071"/>
    <w:rsid w:val="005D4280"/>
    <w:rsid w:val="005D4EAE"/>
    <w:rsid w:val="005D5389"/>
    <w:rsid w:val="005D67E1"/>
    <w:rsid w:val="005D6ACA"/>
    <w:rsid w:val="005D6F17"/>
    <w:rsid w:val="005D7147"/>
    <w:rsid w:val="005D777D"/>
    <w:rsid w:val="005E0C87"/>
    <w:rsid w:val="005E107E"/>
    <w:rsid w:val="005E1085"/>
    <w:rsid w:val="005E14DA"/>
    <w:rsid w:val="005E237C"/>
    <w:rsid w:val="005E2BA1"/>
    <w:rsid w:val="005E3008"/>
    <w:rsid w:val="005E3C75"/>
    <w:rsid w:val="005E4743"/>
    <w:rsid w:val="005E5003"/>
    <w:rsid w:val="005E5D63"/>
    <w:rsid w:val="005E5F01"/>
    <w:rsid w:val="005E5F2A"/>
    <w:rsid w:val="005E6F08"/>
    <w:rsid w:val="005E7190"/>
    <w:rsid w:val="005E7D4A"/>
    <w:rsid w:val="005F01FC"/>
    <w:rsid w:val="005F05F8"/>
    <w:rsid w:val="005F0A18"/>
    <w:rsid w:val="005F0A80"/>
    <w:rsid w:val="005F1A20"/>
    <w:rsid w:val="005F1BD7"/>
    <w:rsid w:val="005F2B7A"/>
    <w:rsid w:val="005F2E99"/>
    <w:rsid w:val="005F304D"/>
    <w:rsid w:val="005F36CA"/>
    <w:rsid w:val="005F37A3"/>
    <w:rsid w:val="005F3DE2"/>
    <w:rsid w:val="005F46BE"/>
    <w:rsid w:val="005F470C"/>
    <w:rsid w:val="005F4827"/>
    <w:rsid w:val="005F49C7"/>
    <w:rsid w:val="005F4D03"/>
    <w:rsid w:val="005F4DDA"/>
    <w:rsid w:val="005F5A41"/>
    <w:rsid w:val="005F6A56"/>
    <w:rsid w:val="005F78C7"/>
    <w:rsid w:val="00600154"/>
    <w:rsid w:val="00600258"/>
    <w:rsid w:val="00600686"/>
    <w:rsid w:val="00600E96"/>
    <w:rsid w:val="00601A54"/>
    <w:rsid w:val="00601D44"/>
    <w:rsid w:val="0060204A"/>
    <w:rsid w:val="00602B8B"/>
    <w:rsid w:val="0060316B"/>
    <w:rsid w:val="006034A9"/>
    <w:rsid w:val="00603A8D"/>
    <w:rsid w:val="0060400D"/>
    <w:rsid w:val="00604358"/>
    <w:rsid w:val="00604AD3"/>
    <w:rsid w:val="00605955"/>
    <w:rsid w:val="00605B87"/>
    <w:rsid w:val="0060701D"/>
    <w:rsid w:val="006072F8"/>
    <w:rsid w:val="00607805"/>
    <w:rsid w:val="00607B83"/>
    <w:rsid w:val="00610299"/>
    <w:rsid w:val="006105AA"/>
    <w:rsid w:val="00611312"/>
    <w:rsid w:val="006115D4"/>
    <w:rsid w:val="0061163F"/>
    <w:rsid w:val="00611E56"/>
    <w:rsid w:val="00611E8D"/>
    <w:rsid w:val="00611FFE"/>
    <w:rsid w:val="00612601"/>
    <w:rsid w:val="006127FE"/>
    <w:rsid w:val="00612A95"/>
    <w:rsid w:val="00613BD2"/>
    <w:rsid w:val="00614990"/>
    <w:rsid w:val="00615FB3"/>
    <w:rsid w:val="00617327"/>
    <w:rsid w:val="00617BF8"/>
    <w:rsid w:val="006204D9"/>
    <w:rsid w:val="006209DC"/>
    <w:rsid w:val="00621535"/>
    <w:rsid w:val="00621ABE"/>
    <w:rsid w:val="00621E38"/>
    <w:rsid w:val="00622600"/>
    <w:rsid w:val="0062260A"/>
    <w:rsid w:val="006233FC"/>
    <w:rsid w:val="00623540"/>
    <w:rsid w:val="00623E32"/>
    <w:rsid w:val="00624536"/>
    <w:rsid w:val="0062528F"/>
    <w:rsid w:val="00625AA1"/>
    <w:rsid w:val="00625B4D"/>
    <w:rsid w:val="00627147"/>
    <w:rsid w:val="0062756F"/>
    <w:rsid w:val="006276BF"/>
    <w:rsid w:val="00627E25"/>
    <w:rsid w:val="00630345"/>
    <w:rsid w:val="00630833"/>
    <w:rsid w:val="00630DC2"/>
    <w:rsid w:val="00630F47"/>
    <w:rsid w:val="0063114B"/>
    <w:rsid w:val="00631215"/>
    <w:rsid w:val="0063123B"/>
    <w:rsid w:val="00632710"/>
    <w:rsid w:val="00632BFD"/>
    <w:rsid w:val="0063313D"/>
    <w:rsid w:val="0063411E"/>
    <w:rsid w:val="006342BF"/>
    <w:rsid w:val="0063467E"/>
    <w:rsid w:val="006346C0"/>
    <w:rsid w:val="00635E1B"/>
    <w:rsid w:val="006367AC"/>
    <w:rsid w:val="00636FE6"/>
    <w:rsid w:val="0063735D"/>
    <w:rsid w:val="00640626"/>
    <w:rsid w:val="0064089B"/>
    <w:rsid w:val="00640E27"/>
    <w:rsid w:val="0064137C"/>
    <w:rsid w:val="00641B0A"/>
    <w:rsid w:val="00641C34"/>
    <w:rsid w:val="0064299D"/>
    <w:rsid w:val="00642E0C"/>
    <w:rsid w:val="00643B2E"/>
    <w:rsid w:val="00646A58"/>
    <w:rsid w:val="0064717E"/>
    <w:rsid w:val="006472D1"/>
    <w:rsid w:val="006478B5"/>
    <w:rsid w:val="006478FB"/>
    <w:rsid w:val="00647A1B"/>
    <w:rsid w:val="00650F70"/>
    <w:rsid w:val="00651E89"/>
    <w:rsid w:val="00651ED1"/>
    <w:rsid w:val="00652D9E"/>
    <w:rsid w:val="00652DEA"/>
    <w:rsid w:val="006531F9"/>
    <w:rsid w:val="00653820"/>
    <w:rsid w:val="006540E8"/>
    <w:rsid w:val="00654154"/>
    <w:rsid w:val="00654418"/>
    <w:rsid w:val="00655438"/>
    <w:rsid w:val="00655608"/>
    <w:rsid w:val="0065695B"/>
    <w:rsid w:val="00656D75"/>
    <w:rsid w:val="00657CB3"/>
    <w:rsid w:val="00660160"/>
    <w:rsid w:val="00660D1C"/>
    <w:rsid w:val="0066125E"/>
    <w:rsid w:val="00661BA3"/>
    <w:rsid w:val="00661BD8"/>
    <w:rsid w:val="00661C86"/>
    <w:rsid w:val="00662381"/>
    <w:rsid w:val="00663429"/>
    <w:rsid w:val="00663D7A"/>
    <w:rsid w:val="00663E80"/>
    <w:rsid w:val="0066445B"/>
    <w:rsid w:val="0066475F"/>
    <w:rsid w:val="006647EC"/>
    <w:rsid w:val="00664880"/>
    <w:rsid w:val="00664E32"/>
    <w:rsid w:val="00664F9F"/>
    <w:rsid w:val="00666776"/>
    <w:rsid w:val="00667447"/>
    <w:rsid w:val="00667E23"/>
    <w:rsid w:val="00670A88"/>
    <w:rsid w:val="00670B2E"/>
    <w:rsid w:val="00670EEB"/>
    <w:rsid w:val="00671D5F"/>
    <w:rsid w:val="0067323A"/>
    <w:rsid w:val="00673A62"/>
    <w:rsid w:val="00673B8D"/>
    <w:rsid w:val="006740A3"/>
    <w:rsid w:val="00674A5C"/>
    <w:rsid w:val="00674A94"/>
    <w:rsid w:val="00674EEB"/>
    <w:rsid w:val="00675C35"/>
    <w:rsid w:val="00676B6F"/>
    <w:rsid w:val="00676C1D"/>
    <w:rsid w:val="00676E28"/>
    <w:rsid w:val="00677100"/>
    <w:rsid w:val="00677311"/>
    <w:rsid w:val="00677417"/>
    <w:rsid w:val="006800A9"/>
    <w:rsid w:val="0068013C"/>
    <w:rsid w:val="00681201"/>
    <w:rsid w:val="00681333"/>
    <w:rsid w:val="006817F5"/>
    <w:rsid w:val="00681FE5"/>
    <w:rsid w:val="00682B89"/>
    <w:rsid w:val="00683059"/>
    <w:rsid w:val="006835F1"/>
    <w:rsid w:val="00684494"/>
    <w:rsid w:val="00684F68"/>
    <w:rsid w:val="0068534F"/>
    <w:rsid w:val="006853F0"/>
    <w:rsid w:val="006859C6"/>
    <w:rsid w:val="00686C01"/>
    <w:rsid w:val="00687171"/>
    <w:rsid w:val="006874C2"/>
    <w:rsid w:val="00687601"/>
    <w:rsid w:val="00687667"/>
    <w:rsid w:val="006901ED"/>
    <w:rsid w:val="006907DC"/>
    <w:rsid w:val="00690909"/>
    <w:rsid w:val="006919B5"/>
    <w:rsid w:val="00692B18"/>
    <w:rsid w:val="00693A5E"/>
    <w:rsid w:val="00695481"/>
    <w:rsid w:val="00695757"/>
    <w:rsid w:val="006959A0"/>
    <w:rsid w:val="00695BD1"/>
    <w:rsid w:val="006967F9"/>
    <w:rsid w:val="00697A16"/>
    <w:rsid w:val="00697B1D"/>
    <w:rsid w:val="00697C8A"/>
    <w:rsid w:val="006A1739"/>
    <w:rsid w:val="006A1BD5"/>
    <w:rsid w:val="006A3429"/>
    <w:rsid w:val="006A3F30"/>
    <w:rsid w:val="006A4948"/>
    <w:rsid w:val="006A4BDB"/>
    <w:rsid w:val="006A4F8D"/>
    <w:rsid w:val="006A516F"/>
    <w:rsid w:val="006A5E7B"/>
    <w:rsid w:val="006A69AF"/>
    <w:rsid w:val="006A6F47"/>
    <w:rsid w:val="006A714C"/>
    <w:rsid w:val="006A7361"/>
    <w:rsid w:val="006A75DB"/>
    <w:rsid w:val="006A7A95"/>
    <w:rsid w:val="006B0065"/>
    <w:rsid w:val="006B00EF"/>
    <w:rsid w:val="006B0425"/>
    <w:rsid w:val="006B0BDA"/>
    <w:rsid w:val="006B1467"/>
    <w:rsid w:val="006B193E"/>
    <w:rsid w:val="006B1995"/>
    <w:rsid w:val="006B1E3A"/>
    <w:rsid w:val="006B23F0"/>
    <w:rsid w:val="006B2544"/>
    <w:rsid w:val="006B2A13"/>
    <w:rsid w:val="006B2A35"/>
    <w:rsid w:val="006B2CDF"/>
    <w:rsid w:val="006B3212"/>
    <w:rsid w:val="006B4F35"/>
    <w:rsid w:val="006B5288"/>
    <w:rsid w:val="006B5BC5"/>
    <w:rsid w:val="006B67B7"/>
    <w:rsid w:val="006B6910"/>
    <w:rsid w:val="006B6926"/>
    <w:rsid w:val="006B69C1"/>
    <w:rsid w:val="006B6A69"/>
    <w:rsid w:val="006B6AFF"/>
    <w:rsid w:val="006B7B8C"/>
    <w:rsid w:val="006C07A0"/>
    <w:rsid w:val="006C1958"/>
    <w:rsid w:val="006C1CE6"/>
    <w:rsid w:val="006C1ECE"/>
    <w:rsid w:val="006C25B8"/>
    <w:rsid w:val="006C26E8"/>
    <w:rsid w:val="006C32DF"/>
    <w:rsid w:val="006C3899"/>
    <w:rsid w:val="006C46A5"/>
    <w:rsid w:val="006C5339"/>
    <w:rsid w:val="006C5548"/>
    <w:rsid w:val="006C61EE"/>
    <w:rsid w:val="006C654C"/>
    <w:rsid w:val="006C65BD"/>
    <w:rsid w:val="006C6BCE"/>
    <w:rsid w:val="006C6C84"/>
    <w:rsid w:val="006C6E91"/>
    <w:rsid w:val="006C748E"/>
    <w:rsid w:val="006D03A1"/>
    <w:rsid w:val="006D0AA6"/>
    <w:rsid w:val="006D0E9F"/>
    <w:rsid w:val="006D1984"/>
    <w:rsid w:val="006D25B1"/>
    <w:rsid w:val="006D29A8"/>
    <w:rsid w:val="006D33D8"/>
    <w:rsid w:val="006D3AEE"/>
    <w:rsid w:val="006D4746"/>
    <w:rsid w:val="006D5250"/>
    <w:rsid w:val="006D5D34"/>
    <w:rsid w:val="006D5EBB"/>
    <w:rsid w:val="006D63C3"/>
    <w:rsid w:val="006D704D"/>
    <w:rsid w:val="006D7126"/>
    <w:rsid w:val="006D7881"/>
    <w:rsid w:val="006E078B"/>
    <w:rsid w:val="006E0A20"/>
    <w:rsid w:val="006E0DA5"/>
    <w:rsid w:val="006E1F99"/>
    <w:rsid w:val="006E2D16"/>
    <w:rsid w:val="006E3CE6"/>
    <w:rsid w:val="006E5071"/>
    <w:rsid w:val="006E55AD"/>
    <w:rsid w:val="006E5666"/>
    <w:rsid w:val="006E58A8"/>
    <w:rsid w:val="006E6EC3"/>
    <w:rsid w:val="006E7199"/>
    <w:rsid w:val="006F062E"/>
    <w:rsid w:val="006F09D4"/>
    <w:rsid w:val="006F1139"/>
    <w:rsid w:val="006F113A"/>
    <w:rsid w:val="006F15F7"/>
    <w:rsid w:val="006F18F7"/>
    <w:rsid w:val="006F212B"/>
    <w:rsid w:val="006F2135"/>
    <w:rsid w:val="006F21ED"/>
    <w:rsid w:val="006F2703"/>
    <w:rsid w:val="006F2CCC"/>
    <w:rsid w:val="006F2CEA"/>
    <w:rsid w:val="006F2F44"/>
    <w:rsid w:val="006F30B3"/>
    <w:rsid w:val="006F3995"/>
    <w:rsid w:val="006F425A"/>
    <w:rsid w:val="006F6D48"/>
    <w:rsid w:val="006F6DA8"/>
    <w:rsid w:val="006F7197"/>
    <w:rsid w:val="007001A1"/>
    <w:rsid w:val="007009CA"/>
    <w:rsid w:val="00700ACA"/>
    <w:rsid w:val="00700FB5"/>
    <w:rsid w:val="00702851"/>
    <w:rsid w:val="00702A9F"/>
    <w:rsid w:val="0070493A"/>
    <w:rsid w:val="007049DA"/>
    <w:rsid w:val="00704A21"/>
    <w:rsid w:val="00705886"/>
    <w:rsid w:val="00705F94"/>
    <w:rsid w:val="00706462"/>
    <w:rsid w:val="0070700F"/>
    <w:rsid w:val="00707037"/>
    <w:rsid w:val="0070736F"/>
    <w:rsid w:val="00707C9B"/>
    <w:rsid w:val="00710A01"/>
    <w:rsid w:val="00711218"/>
    <w:rsid w:val="0071175D"/>
    <w:rsid w:val="00711D54"/>
    <w:rsid w:val="007126F9"/>
    <w:rsid w:val="00713105"/>
    <w:rsid w:val="00713D77"/>
    <w:rsid w:val="00713E25"/>
    <w:rsid w:val="0071773F"/>
    <w:rsid w:val="00717CDA"/>
    <w:rsid w:val="00720561"/>
    <w:rsid w:val="007207E6"/>
    <w:rsid w:val="00722A56"/>
    <w:rsid w:val="00723051"/>
    <w:rsid w:val="0072355A"/>
    <w:rsid w:val="00723835"/>
    <w:rsid w:val="00724BC5"/>
    <w:rsid w:val="0072522D"/>
    <w:rsid w:val="00725E31"/>
    <w:rsid w:val="00725EAC"/>
    <w:rsid w:val="00725F0B"/>
    <w:rsid w:val="00726057"/>
    <w:rsid w:val="007266EF"/>
    <w:rsid w:val="00727312"/>
    <w:rsid w:val="00730139"/>
    <w:rsid w:val="00730BA1"/>
    <w:rsid w:val="00730DDF"/>
    <w:rsid w:val="00731E18"/>
    <w:rsid w:val="0073288E"/>
    <w:rsid w:val="00732B02"/>
    <w:rsid w:val="007331C6"/>
    <w:rsid w:val="00733A52"/>
    <w:rsid w:val="00733BC1"/>
    <w:rsid w:val="00734DD9"/>
    <w:rsid w:val="00735270"/>
    <w:rsid w:val="00735305"/>
    <w:rsid w:val="00735464"/>
    <w:rsid w:val="00735628"/>
    <w:rsid w:val="00737B03"/>
    <w:rsid w:val="007404D5"/>
    <w:rsid w:val="007404EE"/>
    <w:rsid w:val="0074073D"/>
    <w:rsid w:val="00740AC6"/>
    <w:rsid w:val="00740B5D"/>
    <w:rsid w:val="00741AB7"/>
    <w:rsid w:val="00742DAB"/>
    <w:rsid w:val="0074391C"/>
    <w:rsid w:val="007439FD"/>
    <w:rsid w:val="00743BB6"/>
    <w:rsid w:val="00743F68"/>
    <w:rsid w:val="00743F82"/>
    <w:rsid w:val="00743FA1"/>
    <w:rsid w:val="00744604"/>
    <w:rsid w:val="00744AC9"/>
    <w:rsid w:val="00744B26"/>
    <w:rsid w:val="007456A1"/>
    <w:rsid w:val="007458AB"/>
    <w:rsid w:val="00745C3E"/>
    <w:rsid w:val="00745CED"/>
    <w:rsid w:val="00745D90"/>
    <w:rsid w:val="00746080"/>
    <w:rsid w:val="00746318"/>
    <w:rsid w:val="007478A8"/>
    <w:rsid w:val="00750971"/>
    <w:rsid w:val="00750D9B"/>
    <w:rsid w:val="00750E0A"/>
    <w:rsid w:val="00751C8F"/>
    <w:rsid w:val="00751FFE"/>
    <w:rsid w:val="0075324C"/>
    <w:rsid w:val="00753251"/>
    <w:rsid w:val="00753647"/>
    <w:rsid w:val="007536C0"/>
    <w:rsid w:val="00753DC7"/>
    <w:rsid w:val="00754053"/>
    <w:rsid w:val="0075428E"/>
    <w:rsid w:val="0075448B"/>
    <w:rsid w:val="00754EAC"/>
    <w:rsid w:val="00754F0C"/>
    <w:rsid w:val="007563E9"/>
    <w:rsid w:val="007577A6"/>
    <w:rsid w:val="00757BF2"/>
    <w:rsid w:val="00757C48"/>
    <w:rsid w:val="00757D86"/>
    <w:rsid w:val="0076072D"/>
    <w:rsid w:val="0076094C"/>
    <w:rsid w:val="007611D4"/>
    <w:rsid w:val="0076182E"/>
    <w:rsid w:val="007619EA"/>
    <w:rsid w:val="00762D38"/>
    <w:rsid w:val="00763B57"/>
    <w:rsid w:val="00763DE0"/>
    <w:rsid w:val="00763E7B"/>
    <w:rsid w:val="00764153"/>
    <w:rsid w:val="0076505F"/>
    <w:rsid w:val="007651A1"/>
    <w:rsid w:val="007652C2"/>
    <w:rsid w:val="00765486"/>
    <w:rsid w:val="00766BFB"/>
    <w:rsid w:val="007672DF"/>
    <w:rsid w:val="00767613"/>
    <w:rsid w:val="00767697"/>
    <w:rsid w:val="00767BC2"/>
    <w:rsid w:val="00767C8B"/>
    <w:rsid w:val="00767EA1"/>
    <w:rsid w:val="007700F7"/>
    <w:rsid w:val="00770763"/>
    <w:rsid w:val="0077087B"/>
    <w:rsid w:val="00770894"/>
    <w:rsid w:val="007719A6"/>
    <w:rsid w:val="0077297E"/>
    <w:rsid w:val="00772C95"/>
    <w:rsid w:val="00772DDF"/>
    <w:rsid w:val="00772FD2"/>
    <w:rsid w:val="00773349"/>
    <w:rsid w:val="007735E5"/>
    <w:rsid w:val="0077457E"/>
    <w:rsid w:val="00774A9C"/>
    <w:rsid w:val="00774B8A"/>
    <w:rsid w:val="00774EDA"/>
    <w:rsid w:val="0077588A"/>
    <w:rsid w:val="007760CF"/>
    <w:rsid w:val="00776B0E"/>
    <w:rsid w:val="00777303"/>
    <w:rsid w:val="00777560"/>
    <w:rsid w:val="00780746"/>
    <w:rsid w:val="00780850"/>
    <w:rsid w:val="00780B52"/>
    <w:rsid w:val="00781101"/>
    <w:rsid w:val="00781118"/>
    <w:rsid w:val="00781541"/>
    <w:rsid w:val="00781E7B"/>
    <w:rsid w:val="00782787"/>
    <w:rsid w:val="0078316E"/>
    <w:rsid w:val="00783922"/>
    <w:rsid w:val="00783A29"/>
    <w:rsid w:val="007844BF"/>
    <w:rsid w:val="0078495B"/>
    <w:rsid w:val="00784D25"/>
    <w:rsid w:val="007856E3"/>
    <w:rsid w:val="007857B6"/>
    <w:rsid w:val="00786253"/>
    <w:rsid w:val="00786824"/>
    <w:rsid w:val="007877B3"/>
    <w:rsid w:val="007877DF"/>
    <w:rsid w:val="00787A31"/>
    <w:rsid w:val="007905A6"/>
    <w:rsid w:val="007906D9"/>
    <w:rsid w:val="00790BEE"/>
    <w:rsid w:val="00790CF2"/>
    <w:rsid w:val="00790D94"/>
    <w:rsid w:val="007916C1"/>
    <w:rsid w:val="0079227B"/>
    <w:rsid w:val="0079281C"/>
    <w:rsid w:val="007929CE"/>
    <w:rsid w:val="00792E19"/>
    <w:rsid w:val="00793A68"/>
    <w:rsid w:val="00793A78"/>
    <w:rsid w:val="00793AE0"/>
    <w:rsid w:val="0079409A"/>
    <w:rsid w:val="007940F7"/>
    <w:rsid w:val="00795136"/>
    <w:rsid w:val="007960E7"/>
    <w:rsid w:val="00796801"/>
    <w:rsid w:val="00797A53"/>
    <w:rsid w:val="00797C44"/>
    <w:rsid w:val="007A01BD"/>
    <w:rsid w:val="007A04AB"/>
    <w:rsid w:val="007A04B6"/>
    <w:rsid w:val="007A05FB"/>
    <w:rsid w:val="007A16C7"/>
    <w:rsid w:val="007A220D"/>
    <w:rsid w:val="007A23A2"/>
    <w:rsid w:val="007A2974"/>
    <w:rsid w:val="007A3CCB"/>
    <w:rsid w:val="007A3D5E"/>
    <w:rsid w:val="007A3F51"/>
    <w:rsid w:val="007A4369"/>
    <w:rsid w:val="007A47F4"/>
    <w:rsid w:val="007A4F99"/>
    <w:rsid w:val="007A5387"/>
    <w:rsid w:val="007A5402"/>
    <w:rsid w:val="007A5749"/>
    <w:rsid w:val="007A5897"/>
    <w:rsid w:val="007A5F67"/>
    <w:rsid w:val="007A66F1"/>
    <w:rsid w:val="007A6D10"/>
    <w:rsid w:val="007A6F67"/>
    <w:rsid w:val="007A7526"/>
    <w:rsid w:val="007A7826"/>
    <w:rsid w:val="007A795F"/>
    <w:rsid w:val="007B0A51"/>
    <w:rsid w:val="007B0AA0"/>
    <w:rsid w:val="007B0C6A"/>
    <w:rsid w:val="007B0CBC"/>
    <w:rsid w:val="007B178C"/>
    <w:rsid w:val="007B1B29"/>
    <w:rsid w:val="007B2B11"/>
    <w:rsid w:val="007B3E2F"/>
    <w:rsid w:val="007B44FC"/>
    <w:rsid w:val="007B4979"/>
    <w:rsid w:val="007B51FF"/>
    <w:rsid w:val="007B5FA7"/>
    <w:rsid w:val="007B60C9"/>
    <w:rsid w:val="007B6183"/>
    <w:rsid w:val="007B6436"/>
    <w:rsid w:val="007B72A2"/>
    <w:rsid w:val="007B7857"/>
    <w:rsid w:val="007C0441"/>
    <w:rsid w:val="007C199B"/>
    <w:rsid w:val="007C1F5C"/>
    <w:rsid w:val="007C27E4"/>
    <w:rsid w:val="007C2991"/>
    <w:rsid w:val="007C3277"/>
    <w:rsid w:val="007C3491"/>
    <w:rsid w:val="007C3F62"/>
    <w:rsid w:val="007C48F5"/>
    <w:rsid w:val="007C494F"/>
    <w:rsid w:val="007C4EA7"/>
    <w:rsid w:val="007C4FC2"/>
    <w:rsid w:val="007C516A"/>
    <w:rsid w:val="007C522C"/>
    <w:rsid w:val="007C7615"/>
    <w:rsid w:val="007C78D5"/>
    <w:rsid w:val="007D04EF"/>
    <w:rsid w:val="007D1159"/>
    <w:rsid w:val="007D155F"/>
    <w:rsid w:val="007D15B3"/>
    <w:rsid w:val="007D160B"/>
    <w:rsid w:val="007D16DA"/>
    <w:rsid w:val="007D1D3B"/>
    <w:rsid w:val="007D1EFA"/>
    <w:rsid w:val="007D26AE"/>
    <w:rsid w:val="007D2BC5"/>
    <w:rsid w:val="007D367D"/>
    <w:rsid w:val="007D6233"/>
    <w:rsid w:val="007D65A6"/>
    <w:rsid w:val="007D6ED1"/>
    <w:rsid w:val="007D7079"/>
    <w:rsid w:val="007D7369"/>
    <w:rsid w:val="007D7496"/>
    <w:rsid w:val="007D76B9"/>
    <w:rsid w:val="007D7916"/>
    <w:rsid w:val="007E09AC"/>
    <w:rsid w:val="007E13D1"/>
    <w:rsid w:val="007E28FC"/>
    <w:rsid w:val="007E2DEE"/>
    <w:rsid w:val="007E3129"/>
    <w:rsid w:val="007E3484"/>
    <w:rsid w:val="007E3523"/>
    <w:rsid w:val="007E357B"/>
    <w:rsid w:val="007E3802"/>
    <w:rsid w:val="007E3C84"/>
    <w:rsid w:val="007E3CD9"/>
    <w:rsid w:val="007E41FF"/>
    <w:rsid w:val="007E43BA"/>
    <w:rsid w:val="007E4958"/>
    <w:rsid w:val="007E4A48"/>
    <w:rsid w:val="007E5250"/>
    <w:rsid w:val="007E66D7"/>
    <w:rsid w:val="007E71B3"/>
    <w:rsid w:val="007E7698"/>
    <w:rsid w:val="007E7862"/>
    <w:rsid w:val="007E7906"/>
    <w:rsid w:val="007F0443"/>
    <w:rsid w:val="007F0D36"/>
    <w:rsid w:val="007F0F94"/>
    <w:rsid w:val="007F3051"/>
    <w:rsid w:val="007F30B8"/>
    <w:rsid w:val="007F3A1A"/>
    <w:rsid w:val="007F3E0B"/>
    <w:rsid w:val="007F4835"/>
    <w:rsid w:val="007F4850"/>
    <w:rsid w:val="007F561F"/>
    <w:rsid w:val="007F58B9"/>
    <w:rsid w:val="007F5BA7"/>
    <w:rsid w:val="007F6156"/>
    <w:rsid w:val="007F6452"/>
    <w:rsid w:val="007F65B8"/>
    <w:rsid w:val="007F6715"/>
    <w:rsid w:val="007F6769"/>
    <w:rsid w:val="007F6956"/>
    <w:rsid w:val="007F69E3"/>
    <w:rsid w:val="007F6F64"/>
    <w:rsid w:val="007F7782"/>
    <w:rsid w:val="007F7CDA"/>
    <w:rsid w:val="007F7E8B"/>
    <w:rsid w:val="008001C5"/>
    <w:rsid w:val="0080046B"/>
    <w:rsid w:val="00801200"/>
    <w:rsid w:val="00801339"/>
    <w:rsid w:val="00801B34"/>
    <w:rsid w:val="00801DFD"/>
    <w:rsid w:val="00802153"/>
    <w:rsid w:val="0080218E"/>
    <w:rsid w:val="00802C30"/>
    <w:rsid w:val="0080382B"/>
    <w:rsid w:val="00804BDE"/>
    <w:rsid w:val="008051C1"/>
    <w:rsid w:val="00805562"/>
    <w:rsid w:val="00805EE5"/>
    <w:rsid w:val="00806387"/>
    <w:rsid w:val="008064A3"/>
    <w:rsid w:val="00806C77"/>
    <w:rsid w:val="00807061"/>
    <w:rsid w:val="00807EB3"/>
    <w:rsid w:val="00807F08"/>
    <w:rsid w:val="00810AAA"/>
    <w:rsid w:val="00811546"/>
    <w:rsid w:val="00811AAF"/>
    <w:rsid w:val="0081218F"/>
    <w:rsid w:val="008122F2"/>
    <w:rsid w:val="00812E14"/>
    <w:rsid w:val="00812F39"/>
    <w:rsid w:val="00813E48"/>
    <w:rsid w:val="00814ED6"/>
    <w:rsid w:val="00815550"/>
    <w:rsid w:val="00815661"/>
    <w:rsid w:val="00816051"/>
    <w:rsid w:val="00816E8E"/>
    <w:rsid w:val="00817F7A"/>
    <w:rsid w:val="00820976"/>
    <w:rsid w:val="00821413"/>
    <w:rsid w:val="008215C8"/>
    <w:rsid w:val="00821654"/>
    <w:rsid w:val="00821696"/>
    <w:rsid w:val="008216CA"/>
    <w:rsid w:val="00822327"/>
    <w:rsid w:val="00822DAA"/>
    <w:rsid w:val="00822F37"/>
    <w:rsid w:val="00823590"/>
    <w:rsid w:val="00823603"/>
    <w:rsid w:val="008241D5"/>
    <w:rsid w:val="008249C8"/>
    <w:rsid w:val="00824FB8"/>
    <w:rsid w:val="008250E3"/>
    <w:rsid w:val="008254F9"/>
    <w:rsid w:val="0082569C"/>
    <w:rsid w:val="00825F59"/>
    <w:rsid w:val="00826773"/>
    <w:rsid w:val="00827074"/>
    <w:rsid w:val="008276F8"/>
    <w:rsid w:val="0082771D"/>
    <w:rsid w:val="00827A03"/>
    <w:rsid w:val="008303A6"/>
    <w:rsid w:val="00830460"/>
    <w:rsid w:val="00830777"/>
    <w:rsid w:val="00830A27"/>
    <w:rsid w:val="008329C5"/>
    <w:rsid w:val="00832BF3"/>
    <w:rsid w:val="00833404"/>
    <w:rsid w:val="00833C72"/>
    <w:rsid w:val="0083410B"/>
    <w:rsid w:val="008343D4"/>
    <w:rsid w:val="0083573B"/>
    <w:rsid w:val="00835C6F"/>
    <w:rsid w:val="00835FF0"/>
    <w:rsid w:val="00836564"/>
    <w:rsid w:val="00836872"/>
    <w:rsid w:val="00836ED5"/>
    <w:rsid w:val="0083744B"/>
    <w:rsid w:val="00837A78"/>
    <w:rsid w:val="00837AD4"/>
    <w:rsid w:val="00840A8E"/>
    <w:rsid w:val="008413FD"/>
    <w:rsid w:val="0084189E"/>
    <w:rsid w:val="00841AC9"/>
    <w:rsid w:val="00842034"/>
    <w:rsid w:val="00842B6C"/>
    <w:rsid w:val="00843B1D"/>
    <w:rsid w:val="00845388"/>
    <w:rsid w:val="0084572E"/>
    <w:rsid w:val="00845D4E"/>
    <w:rsid w:val="008466B3"/>
    <w:rsid w:val="008473F1"/>
    <w:rsid w:val="008477FA"/>
    <w:rsid w:val="00851292"/>
    <w:rsid w:val="00851AFE"/>
    <w:rsid w:val="00851F34"/>
    <w:rsid w:val="00852097"/>
    <w:rsid w:val="00852BE9"/>
    <w:rsid w:val="00852C93"/>
    <w:rsid w:val="00852D21"/>
    <w:rsid w:val="00853304"/>
    <w:rsid w:val="0085331E"/>
    <w:rsid w:val="008544B6"/>
    <w:rsid w:val="00855001"/>
    <w:rsid w:val="008554E0"/>
    <w:rsid w:val="008556A2"/>
    <w:rsid w:val="00855A0B"/>
    <w:rsid w:val="00855CA1"/>
    <w:rsid w:val="0085611F"/>
    <w:rsid w:val="008569F4"/>
    <w:rsid w:val="00856BB5"/>
    <w:rsid w:val="0085721E"/>
    <w:rsid w:val="008573BE"/>
    <w:rsid w:val="0085741B"/>
    <w:rsid w:val="00857751"/>
    <w:rsid w:val="008577C3"/>
    <w:rsid w:val="00857A1D"/>
    <w:rsid w:val="008605B3"/>
    <w:rsid w:val="00860970"/>
    <w:rsid w:val="0086120B"/>
    <w:rsid w:val="00863DE2"/>
    <w:rsid w:val="0086484F"/>
    <w:rsid w:val="00864B32"/>
    <w:rsid w:val="00864CA4"/>
    <w:rsid w:val="008652D8"/>
    <w:rsid w:val="008656EB"/>
    <w:rsid w:val="00865A1F"/>
    <w:rsid w:val="00865E97"/>
    <w:rsid w:val="00866137"/>
    <w:rsid w:val="00866283"/>
    <w:rsid w:val="008665F6"/>
    <w:rsid w:val="00866A68"/>
    <w:rsid w:val="00870499"/>
    <w:rsid w:val="008705B8"/>
    <w:rsid w:val="008707A4"/>
    <w:rsid w:val="00870B98"/>
    <w:rsid w:val="00870FD1"/>
    <w:rsid w:val="00871570"/>
    <w:rsid w:val="00871EA9"/>
    <w:rsid w:val="00871F90"/>
    <w:rsid w:val="0087274E"/>
    <w:rsid w:val="0087292D"/>
    <w:rsid w:val="00872FD4"/>
    <w:rsid w:val="00873683"/>
    <w:rsid w:val="00873F66"/>
    <w:rsid w:val="008748C4"/>
    <w:rsid w:val="00875AD9"/>
    <w:rsid w:val="00875B2E"/>
    <w:rsid w:val="0087654F"/>
    <w:rsid w:val="00876B58"/>
    <w:rsid w:val="00877D9E"/>
    <w:rsid w:val="00880297"/>
    <w:rsid w:val="008808FC"/>
    <w:rsid w:val="008809B2"/>
    <w:rsid w:val="0088141B"/>
    <w:rsid w:val="00882E0D"/>
    <w:rsid w:val="00883267"/>
    <w:rsid w:val="00883652"/>
    <w:rsid w:val="00883FD2"/>
    <w:rsid w:val="00884540"/>
    <w:rsid w:val="008849EF"/>
    <w:rsid w:val="00885228"/>
    <w:rsid w:val="00885AB2"/>
    <w:rsid w:val="008864E9"/>
    <w:rsid w:val="00887433"/>
    <w:rsid w:val="00887782"/>
    <w:rsid w:val="00887BC0"/>
    <w:rsid w:val="00887C5B"/>
    <w:rsid w:val="00887F76"/>
    <w:rsid w:val="00890137"/>
    <w:rsid w:val="00890636"/>
    <w:rsid w:val="00890C1A"/>
    <w:rsid w:val="00891E65"/>
    <w:rsid w:val="0089216D"/>
    <w:rsid w:val="00892DD6"/>
    <w:rsid w:val="00892E4B"/>
    <w:rsid w:val="008936F5"/>
    <w:rsid w:val="00893888"/>
    <w:rsid w:val="00893EDE"/>
    <w:rsid w:val="008941A8"/>
    <w:rsid w:val="00894677"/>
    <w:rsid w:val="00894BC4"/>
    <w:rsid w:val="00895815"/>
    <w:rsid w:val="00895850"/>
    <w:rsid w:val="0089671B"/>
    <w:rsid w:val="008969C5"/>
    <w:rsid w:val="00896C8D"/>
    <w:rsid w:val="008971B8"/>
    <w:rsid w:val="00897612"/>
    <w:rsid w:val="00897F75"/>
    <w:rsid w:val="008A0271"/>
    <w:rsid w:val="008A09BE"/>
    <w:rsid w:val="008A1A05"/>
    <w:rsid w:val="008A1B79"/>
    <w:rsid w:val="008A23B8"/>
    <w:rsid w:val="008A3540"/>
    <w:rsid w:val="008A3CA2"/>
    <w:rsid w:val="008A3E9C"/>
    <w:rsid w:val="008A48A0"/>
    <w:rsid w:val="008A4F87"/>
    <w:rsid w:val="008A5417"/>
    <w:rsid w:val="008A5FD8"/>
    <w:rsid w:val="008A61A4"/>
    <w:rsid w:val="008A61A9"/>
    <w:rsid w:val="008A6AC2"/>
    <w:rsid w:val="008A6C65"/>
    <w:rsid w:val="008A702E"/>
    <w:rsid w:val="008A765F"/>
    <w:rsid w:val="008A7A50"/>
    <w:rsid w:val="008B00ED"/>
    <w:rsid w:val="008B0146"/>
    <w:rsid w:val="008B0716"/>
    <w:rsid w:val="008B0D22"/>
    <w:rsid w:val="008B0F2C"/>
    <w:rsid w:val="008B1AC9"/>
    <w:rsid w:val="008B1DB6"/>
    <w:rsid w:val="008B24CB"/>
    <w:rsid w:val="008B2CF2"/>
    <w:rsid w:val="008B2FBB"/>
    <w:rsid w:val="008B4635"/>
    <w:rsid w:val="008B51D8"/>
    <w:rsid w:val="008B55F8"/>
    <w:rsid w:val="008B5A00"/>
    <w:rsid w:val="008B5B4D"/>
    <w:rsid w:val="008B5B8B"/>
    <w:rsid w:val="008B5E26"/>
    <w:rsid w:val="008B63ED"/>
    <w:rsid w:val="008B6A10"/>
    <w:rsid w:val="008B6E44"/>
    <w:rsid w:val="008B7208"/>
    <w:rsid w:val="008B7288"/>
    <w:rsid w:val="008B76DD"/>
    <w:rsid w:val="008B76F9"/>
    <w:rsid w:val="008C08D3"/>
    <w:rsid w:val="008C09F4"/>
    <w:rsid w:val="008C10E2"/>
    <w:rsid w:val="008C1422"/>
    <w:rsid w:val="008C150D"/>
    <w:rsid w:val="008C189B"/>
    <w:rsid w:val="008C1929"/>
    <w:rsid w:val="008C1B50"/>
    <w:rsid w:val="008C1B87"/>
    <w:rsid w:val="008C25AB"/>
    <w:rsid w:val="008C2A38"/>
    <w:rsid w:val="008C2D6A"/>
    <w:rsid w:val="008C34ED"/>
    <w:rsid w:val="008C428D"/>
    <w:rsid w:val="008C46B6"/>
    <w:rsid w:val="008C591D"/>
    <w:rsid w:val="008C6260"/>
    <w:rsid w:val="008C6948"/>
    <w:rsid w:val="008C72A4"/>
    <w:rsid w:val="008C79BD"/>
    <w:rsid w:val="008C7A54"/>
    <w:rsid w:val="008C7F7A"/>
    <w:rsid w:val="008D0822"/>
    <w:rsid w:val="008D1A61"/>
    <w:rsid w:val="008D24FE"/>
    <w:rsid w:val="008D2F7F"/>
    <w:rsid w:val="008D3508"/>
    <w:rsid w:val="008D3C2F"/>
    <w:rsid w:val="008D3CE8"/>
    <w:rsid w:val="008D4080"/>
    <w:rsid w:val="008D409B"/>
    <w:rsid w:val="008D4A00"/>
    <w:rsid w:val="008D5057"/>
    <w:rsid w:val="008D52AF"/>
    <w:rsid w:val="008D55FD"/>
    <w:rsid w:val="008D5973"/>
    <w:rsid w:val="008D5D66"/>
    <w:rsid w:val="008D5E34"/>
    <w:rsid w:val="008D64A8"/>
    <w:rsid w:val="008D6E66"/>
    <w:rsid w:val="008D6F75"/>
    <w:rsid w:val="008D7142"/>
    <w:rsid w:val="008D75E8"/>
    <w:rsid w:val="008D7A29"/>
    <w:rsid w:val="008E00CE"/>
    <w:rsid w:val="008E0DCD"/>
    <w:rsid w:val="008E17A0"/>
    <w:rsid w:val="008E19DF"/>
    <w:rsid w:val="008E1B35"/>
    <w:rsid w:val="008E1C57"/>
    <w:rsid w:val="008E1F29"/>
    <w:rsid w:val="008E2440"/>
    <w:rsid w:val="008E2B1A"/>
    <w:rsid w:val="008E304D"/>
    <w:rsid w:val="008E3239"/>
    <w:rsid w:val="008E3C70"/>
    <w:rsid w:val="008E3EE3"/>
    <w:rsid w:val="008E4BC2"/>
    <w:rsid w:val="008E4D8F"/>
    <w:rsid w:val="008E5621"/>
    <w:rsid w:val="008E5A89"/>
    <w:rsid w:val="008E6101"/>
    <w:rsid w:val="008E62E5"/>
    <w:rsid w:val="008E721D"/>
    <w:rsid w:val="008E7611"/>
    <w:rsid w:val="008E7B00"/>
    <w:rsid w:val="008F0B9F"/>
    <w:rsid w:val="008F1588"/>
    <w:rsid w:val="008F1FF6"/>
    <w:rsid w:val="008F305C"/>
    <w:rsid w:val="008F3152"/>
    <w:rsid w:val="008F3A5E"/>
    <w:rsid w:val="008F3D67"/>
    <w:rsid w:val="008F4008"/>
    <w:rsid w:val="008F422D"/>
    <w:rsid w:val="008F471E"/>
    <w:rsid w:val="008F47AD"/>
    <w:rsid w:val="008F4ABD"/>
    <w:rsid w:val="008F5314"/>
    <w:rsid w:val="008F57C6"/>
    <w:rsid w:val="008F5944"/>
    <w:rsid w:val="008F5E61"/>
    <w:rsid w:val="008F736C"/>
    <w:rsid w:val="008F7C05"/>
    <w:rsid w:val="008F7E10"/>
    <w:rsid w:val="00900181"/>
    <w:rsid w:val="00900724"/>
    <w:rsid w:val="00901997"/>
    <w:rsid w:val="009019D6"/>
    <w:rsid w:val="009026A2"/>
    <w:rsid w:val="00902B04"/>
    <w:rsid w:val="009034A8"/>
    <w:rsid w:val="0090454C"/>
    <w:rsid w:val="00904E50"/>
    <w:rsid w:val="00904E86"/>
    <w:rsid w:val="00905E96"/>
    <w:rsid w:val="009062E3"/>
    <w:rsid w:val="00906678"/>
    <w:rsid w:val="00906D31"/>
    <w:rsid w:val="00906D5A"/>
    <w:rsid w:val="00907298"/>
    <w:rsid w:val="0090760C"/>
    <w:rsid w:val="00907F41"/>
    <w:rsid w:val="0091053B"/>
    <w:rsid w:val="00910A77"/>
    <w:rsid w:val="009115ED"/>
    <w:rsid w:val="009129E2"/>
    <w:rsid w:val="00912CCB"/>
    <w:rsid w:val="00913974"/>
    <w:rsid w:val="00913DBA"/>
    <w:rsid w:val="00916292"/>
    <w:rsid w:val="009167D7"/>
    <w:rsid w:val="00917054"/>
    <w:rsid w:val="0091714B"/>
    <w:rsid w:val="00920160"/>
    <w:rsid w:val="0092019A"/>
    <w:rsid w:val="0092069E"/>
    <w:rsid w:val="00920DAA"/>
    <w:rsid w:val="00921604"/>
    <w:rsid w:val="009222F8"/>
    <w:rsid w:val="00922516"/>
    <w:rsid w:val="00924328"/>
    <w:rsid w:val="00926A5A"/>
    <w:rsid w:val="00926D5B"/>
    <w:rsid w:val="00926EE4"/>
    <w:rsid w:val="009305C3"/>
    <w:rsid w:val="00930AB5"/>
    <w:rsid w:val="00932438"/>
    <w:rsid w:val="00932CCC"/>
    <w:rsid w:val="00932D0F"/>
    <w:rsid w:val="00933635"/>
    <w:rsid w:val="00933757"/>
    <w:rsid w:val="00933879"/>
    <w:rsid w:val="009341FA"/>
    <w:rsid w:val="00934B96"/>
    <w:rsid w:val="0093531F"/>
    <w:rsid w:val="00935576"/>
    <w:rsid w:val="00935EAD"/>
    <w:rsid w:val="009360D6"/>
    <w:rsid w:val="0093642C"/>
    <w:rsid w:val="00936DBF"/>
    <w:rsid w:val="009405D1"/>
    <w:rsid w:val="00940F3E"/>
    <w:rsid w:val="00941AB7"/>
    <w:rsid w:val="00941AE6"/>
    <w:rsid w:val="00942812"/>
    <w:rsid w:val="00942A0C"/>
    <w:rsid w:val="00942A5E"/>
    <w:rsid w:val="00942A65"/>
    <w:rsid w:val="00942DBF"/>
    <w:rsid w:val="00943556"/>
    <w:rsid w:val="00944413"/>
    <w:rsid w:val="0094473C"/>
    <w:rsid w:val="00944F92"/>
    <w:rsid w:val="00945D41"/>
    <w:rsid w:val="00945F93"/>
    <w:rsid w:val="009460BE"/>
    <w:rsid w:val="00946BC2"/>
    <w:rsid w:val="009478A9"/>
    <w:rsid w:val="00947C52"/>
    <w:rsid w:val="00947FB0"/>
    <w:rsid w:val="00950B5A"/>
    <w:rsid w:val="00950C86"/>
    <w:rsid w:val="00950E7C"/>
    <w:rsid w:val="00950FD2"/>
    <w:rsid w:val="009516D0"/>
    <w:rsid w:val="0095260A"/>
    <w:rsid w:val="00952E2D"/>
    <w:rsid w:val="009530F9"/>
    <w:rsid w:val="00953288"/>
    <w:rsid w:val="0095369C"/>
    <w:rsid w:val="00953944"/>
    <w:rsid w:val="00953E55"/>
    <w:rsid w:val="0095453C"/>
    <w:rsid w:val="0095517C"/>
    <w:rsid w:val="009556F4"/>
    <w:rsid w:val="00955897"/>
    <w:rsid w:val="00955A31"/>
    <w:rsid w:val="009560EC"/>
    <w:rsid w:val="0095672E"/>
    <w:rsid w:val="0095676F"/>
    <w:rsid w:val="00957570"/>
    <w:rsid w:val="00957B48"/>
    <w:rsid w:val="00960BA8"/>
    <w:rsid w:val="00960E30"/>
    <w:rsid w:val="00961548"/>
    <w:rsid w:val="00962189"/>
    <w:rsid w:val="00963095"/>
    <w:rsid w:val="009643AE"/>
    <w:rsid w:val="0096468E"/>
    <w:rsid w:val="0096487B"/>
    <w:rsid w:val="00964C2E"/>
    <w:rsid w:val="00965109"/>
    <w:rsid w:val="00965F21"/>
    <w:rsid w:val="00966BB6"/>
    <w:rsid w:val="0096713C"/>
    <w:rsid w:val="00970C67"/>
    <w:rsid w:val="00971307"/>
    <w:rsid w:val="0097268F"/>
    <w:rsid w:val="00972E17"/>
    <w:rsid w:val="00973B82"/>
    <w:rsid w:val="00973EF1"/>
    <w:rsid w:val="0097411E"/>
    <w:rsid w:val="00974C0F"/>
    <w:rsid w:val="00974EE7"/>
    <w:rsid w:val="00974F7D"/>
    <w:rsid w:val="0097557B"/>
    <w:rsid w:val="00975888"/>
    <w:rsid w:val="00976C78"/>
    <w:rsid w:val="009807C8"/>
    <w:rsid w:val="00980A16"/>
    <w:rsid w:val="00981949"/>
    <w:rsid w:val="00981AD7"/>
    <w:rsid w:val="0098261D"/>
    <w:rsid w:val="00984591"/>
    <w:rsid w:val="00984689"/>
    <w:rsid w:val="00985CBF"/>
    <w:rsid w:val="009868FA"/>
    <w:rsid w:val="009871EC"/>
    <w:rsid w:val="00987239"/>
    <w:rsid w:val="00987FAC"/>
    <w:rsid w:val="00990059"/>
    <w:rsid w:val="009911C8"/>
    <w:rsid w:val="009921F8"/>
    <w:rsid w:val="00992929"/>
    <w:rsid w:val="00993107"/>
    <w:rsid w:val="0099347D"/>
    <w:rsid w:val="009935D2"/>
    <w:rsid w:val="00993C3D"/>
    <w:rsid w:val="009940A9"/>
    <w:rsid w:val="00994614"/>
    <w:rsid w:val="00994915"/>
    <w:rsid w:val="00994C7A"/>
    <w:rsid w:val="00994D7E"/>
    <w:rsid w:val="00995622"/>
    <w:rsid w:val="00995B45"/>
    <w:rsid w:val="00996675"/>
    <w:rsid w:val="009968AB"/>
    <w:rsid w:val="00996F68"/>
    <w:rsid w:val="00997168"/>
    <w:rsid w:val="00997FA0"/>
    <w:rsid w:val="009A003D"/>
    <w:rsid w:val="009A0508"/>
    <w:rsid w:val="009A2991"/>
    <w:rsid w:val="009A3711"/>
    <w:rsid w:val="009A3BC2"/>
    <w:rsid w:val="009A3C07"/>
    <w:rsid w:val="009A3CA0"/>
    <w:rsid w:val="009A408E"/>
    <w:rsid w:val="009A4195"/>
    <w:rsid w:val="009A44ED"/>
    <w:rsid w:val="009A4CEB"/>
    <w:rsid w:val="009A52B2"/>
    <w:rsid w:val="009A536F"/>
    <w:rsid w:val="009A5646"/>
    <w:rsid w:val="009A5FCB"/>
    <w:rsid w:val="009A6246"/>
    <w:rsid w:val="009B1133"/>
    <w:rsid w:val="009B15C5"/>
    <w:rsid w:val="009B1F40"/>
    <w:rsid w:val="009B2875"/>
    <w:rsid w:val="009B2A55"/>
    <w:rsid w:val="009B3073"/>
    <w:rsid w:val="009B317B"/>
    <w:rsid w:val="009B4094"/>
    <w:rsid w:val="009B5142"/>
    <w:rsid w:val="009B5329"/>
    <w:rsid w:val="009B5707"/>
    <w:rsid w:val="009B64D9"/>
    <w:rsid w:val="009B66AE"/>
    <w:rsid w:val="009B68B0"/>
    <w:rsid w:val="009B6FF6"/>
    <w:rsid w:val="009B7173"/>
    <w:rsid w:val="009B7368"/>
    <w:rsid w:val="009B76B3"/>
    <w:rsid w:val="009B7816"/>
    <w:rsid w:val="009B7A8C"/>
    <w:rsid w:val="009C02E2"/>
    <w:rsid w:val="009C037D"/>
    <w:rsid w:val="009C0868"/>
    <w:rsid w:val="009C09F3"/>
    <w:rsid w:val="009C0C04"/>
    <w:rsid w:val="009C11A2"/>
    <w:rsid w:val="009C1336"/>
    <w:rsid w:val="009C1922"/>
    <w:rsid w:val="009C1E70"/>
    <w:rsid w:val="009C1E96"/>
    <w:rsid w:val="009C278C"/>
    <w:rsid w:val="009C30AC"/>
    <w:rsid w:val="009C3266"/>
    <w:rsid w:val="009C3404"/>
    <w:rsid w:val="009C3E36"/>
    <w:rsid w:val="009C47EC"/>
    <w:rsid w:val="009C4849"/>
    <w:rsid w:val="009C4E31"/>
    <w:rsid w:val="009C6351"/>
    <w:rsid w:val="009C660B"/>
    <w:rsid w:val="009C67D3"/>
    <w:rsid w:val="009C710C"/>
    <w:rsid w:val="009C73A7"/>
    <w:rsid w:val="009C7936"/>
    <w:rsid w:val="009D0208"/>
    <w:rsid w:val="009D11EB"/>
    <w:rsid w:val="009D2020"/>
    <w:rsid w:val="009D233F"/>
    <w:rsid w:val="009D2ED9"/>
    <w:rsid w:val="009D3047"/>
    <w:rsid w:val="009D3278"/>
    <w:rsid w:val="009D3373"/>
    <w:rsid w:val="009D3A40"/>
    <w:rsid w:val="009D3F29"/>
    <w:rsid w:val="009D46E6"/>
    <w:rsid w:val="009D4A27"/>
    <w:rsid w:val="009D4E50"/>
    <w:rsid w:val="009D54EB"/>
    <w:rsid w:val="009D58FA"/>
    <w:rsid w:val="009D6652"/>
    <w:rsid w:val="009D77D2"/>
    <w:rsid w:val="009D7D92"/>
    <w:rsid w:val="009E006A"/>
    <w:rsid w:val="009E072E"/>
    <w:rsid w:val="009E3351"/>
    <w:rsid w:val="009E3412"/>
    <w:rsid w:val="009E3512"/>
    <w:rsid w:val="009E42A8"/>
    <w:rsid w:val="009E4D5F"/>
    <w:rsid w:val="009E5004"/>
    <w:rsid w:val="009E50D4"/>
    <w:rsid w:val="009E6BBA"/>
    <w:rsid w:val="009E7192"/>
    <w:rsid w:val="009E7890"/>
    <w:rsid w:val="009E7892"/>
    <w:rsid w:val="009F081E"/>
    <w:rsid w:val="009F0F2F"/>
    <w:rsid w:val="009F27E0"/>
    <w:rsid w:val="009F2B6E"/>
    <w:rsid w:val="009F2BC6"/>
    <w:rsid w:val="009F472A"/>
    <w:rsid w:val="009F6156"/>
    <w:rsid w:val="009F6540"/>
    <w:rsid w:val="009F6569"/>
    <w:rsid w:val="009F6A8E"/>
    <w:rsid w:val="009F7E81"/>
    <w:rsid w:val="00A0023C"/>
    <w:rsid w:val="00A009C3"/>
    <w:rsid w:val="00A00FEA"/>
    <w:rsid w:val="00A00FF1"/>
    <w:rsid w:val="00A01795"/>
    <w:rsid w:val="00A01B93"/>
    <w:rsid w:val="00A01E53"/>
    <w:rsid w:val="00A02729"/>
    <w:rsid w:val="00A02737"/>
    <w:rsid w:val="00A032B1"/>
    <w:rsid w:val="00A03F90"/>
    <w:rsid w:val="00A0428F"/>
    <w:rsid w:val="00A04560"/>
    <w:rsid w:val="00A04668"/>
    <w:rsid w:val="00A04AB4"/>
    <w:rsid w:val="00A055DE"/>
    <w:rsid w:val="00A06AB3"/>
    <w:rsid w:val="00A06F66"/>
    <w:rsid w:val="00A07045"/>
    <w:rsid w:val="00A070B9"/>
    <w:rsid w:val="00A07511"/>
    <w:rsid w:val="00A10625"/>
    <w:rsid w:val="00A1094B"/>
    <w:rsid w:val="00A11151"/>
    <w:rsid w:val="00A118AD"/>
    <w:rsid w:val="00A11A33"/>
    <w:rsid w:val="00A11EC7"/>
    <w:rsid w:val="00A12114"/>
    <w:rsid w:val="00A12622"/>
    <w:rsid w:val="00A13343"/>
    <w:rsid w:val="00A1358B"/>
    <w:rsid w:val="00A1397E"/>
    <w:rsid w:val="00A13982"/>
    <w:rsid w:val="00A1473E"/>
    <w:rsid w:val="00A150DB"/>
    <w:rsid w:val="00A151D8"/>
    <w:rsid w:val="00A159F7"/>
    <w:rsid w:val="00A167F1"/>
    <w:rsid w:val="00A168D5"/>
    <w:rsid w:val="00A17045"/>
    <w:rsid w:val="00A172A5"/>
    <w:rsid w:val="00A17C92"/>
    <w:rsid w:val="00A204C0"/>
    <w:rsid w:val="00A20634"/>
    <w:rsid w:val="00A20701"/>
    <w:rsid w:val="00A207B4"/>
    <w:rsid w:val="00A208F9"/>
    <w:rsid w:val="00A231B5"/>
    <w:rsid w:val="00A235B5"/>
    <w:rsid w:val="00A260C5"/>
    <w:rsid w:val="00A26C19"/>
    <w:rsid w:val="00A26E55"/>
    <w:rsid w:val="00A26ED6"/>
    <w:rsid w:val="00A26FB4"/>
    <w:rsid w:val="00A274A9"/>
    <w:rsid w:val="00A2799A"/>
    <w:rsid w:val="00A3033F"/>
    <w:rsid w:val="00A31003"/>
    <w:rsid w:val="00A31367"/>
    <w:rsid w:val="00A31DC6"/>
    <w:rsid w:val="00A328E3"/>
    <w:rsid w:val="00A32AF1"/>
    <w:rsid w:val="00A32B39"/>
    <w:rsid w:val="00A32D72"/>
    <w:rsid w:val="00A32E3F"/>
    <w:rsid w:val="00A337B5"/>
    <w:rsid w:val="00A340C3"/>
    <w:rsid w:val="00A34269"/>
    <w:rsid w:val="00A34353"/>
    <w:rsid w:val="00A346A4"/>
    <w:rsid w:val="00A34D3C"/>
    <w:rsid w:val="00A353B6"/>
    <w:rsid w:val="00A359DF"/>
    <w:rsid w:val="00A35D6E"/>
    <w:rsid w:val="00A36466"/>
    <w:rsid w:val="00A365EC"/>
    <w:rsid w:val="00A3662F"/>
    <w:rsid w:val="00A36864"/>
    <w:rsid w:val="00A371FA"/>
    <w:rsid w:val="00A37503"/>
    <w:rsid w:val="00A378B1"/>
    <w:rsid w:val="00A37AD6"/>
    <w:rsid w:val="00A37C8F"/>
    <w:rsid w:val="00A40510"/>
    <w:rsid w:val="00A4084F"/>
    <w:rsid w:val="00A40BDA"/>
    <w:rsid w:val="00A40CDE"/>
    <w:rsid w:val="00A4112F"/>
    <w:rsid w:val="00A4138C"/>
    <w:rsid w:val="00A41ACE"/>
    <w:rsid w:val="00A41EF3"/>
    <w:rsid w:val="00A42950"/>
    <w:rsid w:val="00A429FD"/>
    <w:rsid w:val="00A42A7D"/>
    <w:rsid w:val="00A42BBE"/>
    <w:rsid w:val="00A42DC9"/>
    <w:rsid w:val="00A4320F"/>
    <w:rsid w:val="00A43288"/>
    <w:rsid w:val="00A43492"/>
    <w:rsid w:val="00A4387B"/>
    <w:rsid w:val="00A43B8B"/>
    <w:rsid w:val="00A43CED"/>
    <w:rsid w:val="00A43E07"/>
    <w:rsid w:val="00A441A2"/>
    <w:rsid w:val="00A44307"/>
    <w:rsid w:val="00A44497"/>
    <w:rsid w:val="00A44A87"/>
    <w:rsid w:val="00A45001"/>
    <w:rsid w:val="00A45B37"/>
    <w:rsid w:val="00A45CA9"/>
    <w:rsid w:val="00A471BD"/>
    <w:rsid w:val="00A47960"/>
    <w:rsid w:val="00A47B42"/>
    <w:rsid w:val="00A50083"/>
    <w:rsid w:val="00A50484"/>
    <w:rsid w:val="00A50E66"/>
    <w:rsid w:val="00A51138"/>
    <w:rsid w:val="00A5147A"/>
    <w:rsid w:val="00A5156F"/>
    <w:rsid w:val="00A5188D"/>
    <w:rsid w:val="00A51D6E"/>
    <w:rsid w:val="00A51EAF"/>
    <w:rsid w:val="00A51FAF"/>
    <w:rsid w:val="00A51FB9"/>
    <w:rsid w:val="00A53053"/>
    <w:rsid w:val="00A537BC"/>
    <w:rsid w:val="00A53CA6"/>
    <w:rsid w:val="00A53FBE"/>
    <w:rsid w:val="00A5444F"/>
    <w:rsid w:val="00A5467F"/>
    <w:rsid w:val="00A54C47"/>
    <w:rsid w:val="00A55AEB"/>
    <w:rsid w:val="00A55E2C"/>
    <w:rsid w:val="00A565F6"/>
    <w:rsid w:val="00A574F8"/>
    <w:rsid w:val="00A57D1B"/>
    <w:rsid w:val="00A60277"/>
    <w:rsid w:val="00A60ED8"/>
    <w:rsid w:val="00A6188E"/>
    <w:rsid w:val="00A62780"/>
    <w:rsid w:val="00A628C0"/>
    <w:rsid w:val="00A62B9B"/>
    <w:rsid w:val="00A63209"/>
    <w:rsid w:val="00A635F0"/>
    <w:rsid w:val="00A63726"/>
    <w:rsid w:val="00A63D35"/>
    <w:rsid w:val="00A653FC"/>
    <w:rsid w:val="00A65D6F"/>
    <w:rsid w:val="00A65E6D"/>
    <w:rsid w:val="00A661F1"/>
    <w:rsid w:val="00A663E0"/>
    <w:rsid w:val="00A666E1"/>
    <w:rsid w:val="00A6680A"/>
    <w:rsid w:val="00A66D62"/>
    <w:rsid w:val="00A67BC0"/>
    <w:rsid w:val="00A7003D"/>
    <w:rsid w:val="00A70083"/>
    <w:rsid w:val="00A705F3"/>
    <w:rsid w:val="00A705F4"/>
    <w:rsid w:val="00A70B3E"/>
    <w:rsid w:val="00A70B87"/>
    <w:rsid w:val="00A71037"/>
    <w:rsid w:val="00A711E9"/>
    <w:rsid w:val="00A716B5"/>
    <w:rsid w:val="00A723C4"/>
    <w:rsid w:val="00A72E3A"/>
    <w:rsid w:val="00A73125"/>
    <w:rsid w:val="00A73A13"/>
    <w:rsid w:val="00A74388"/>
    <w:rsid w:val="00A8080A"/>
    <w:rsid w:val="00A80AC5"/>
    <w:rsid w:val="00A80DAA"/>
    <w:rsid w:val="00A80E7D"/>
    <w:rsid w:val="00A817A7"/>
    <w:rsid w:val="00A8223F"/>
    <w:rsid w:val="00A8252C"/>
    <w:rsid w:val="00A846CB"/>
    <w:rsid w:val="00A84B25"/>
    <w:rsid w:val="00A84C76"/>
    <w:rsid w:val="00A853B0"/>
    <w:rsid w:val="00A856A9"/>
    <w:rsid w:val="00A857F6"/>
    <w:rsid w:val="00A85BEB"/>
    <w:rsid w:val="00A8654C"/>
    <w:rsid w:val="00A86919"/>
    <w:rsid w:val="00A86B90"/>
    <w:rsid w:val="00A86F03"/>
    <w:rsid w:val="00A8730B"/>
    <w:rsid w:val="00A87D53"/>
    <w:rsid w:val="00A90460"/>
    <w:rsid w:val="00A9186B"/>
    <w:rsid w:val="00A920F2"/>
    <w:rsid w:val="00A93889"/>
    <w:rsid w:val="00A93AF8"/>
    <w:rsid w:val="00A94117"/>
    <w:rsid w:val="00A94184"/>
    <w:rsid w:val="00A9482B"/>
    <w:rsid w:val="00A94CAC"/>
    <w:rsid w:val="00A95C6A"/>
    <w:rsid w:val="00A95F26"/>
    <w:rsid w:val="00A9649C"/>
    <w:rsid w:val="00A96F93"/>
    <w:rsid w:val="00A97622"/>
    <w:rsid w:val="00A9764D"/>
    <w:rsid w:val="00A97FC9"/>
    <w:rsid w:val="00AA06BC"/>
    <w:rsid w:val="00AA1063"/>
    <w:rsid w:val="00AA1189"/>
    <w:rsid w:val="00AA15E0"/>
    <w:rsid w:val="00AA2500"/>
    <w:rsid w:val="00AA2BB7"/>
    <w:rsid w:val="00AA2F9F"/>
    <w:rsid w:val="00AA3CF8"/>
    <w:rsid w:val="00AA3E7C"/>
    <w:rsid w:val="00AA4187"/>
    <w:rsid w:val="00AA41E4"/>
    <w:rsid w:val="00AA433E"/>
    <w:rsid w:val="00AA4DB1"/>
    <w:rsid w:val="00AA5B2D"/>
    <w:rsid w:val="00AA7718"/>
    <w:rsid w:val="00AB037F"/>
    <w:rsid w:val="00AB1AD6"/>
    <w:rsid w:val="00AB2358"/>
    <w:rsid w:val="00AB24E7"/>
    <w:rsid w:val="00AB2878"/>
    <w:rsid w:val="00AB346E"/>
    <w:rsid w:val="00AB3B13"/>
    <w:rsid w:val="00AB3F37"/>
    <w:rsid w:val="00AB40DC"/>
    <w:rsid w:val="00AB4669"/>
    <w:rsid w:val="00AB483C"/>
    <w:rsid w:val="00AB489F"/>
    <w:rsid w:val="00AB5425"/>
    <w:rsid w:val="00AB674B"/>
    <w:rsid w:val="00AB779D"/>
    <w:rsid w:val="00AC0C9A"/>
    <w:rsid w:val="00AC1087"/>
    <w:rsid w:val="00AC13CC"/>
    <w:rsid w:val="00AC21A5"/>
    <w:rsid w:val="00AC274C"/>
    <w:rsid w:val="00AC2807"/>
    <w:rsid w:val="00AC2AA0"/>
    <w:rsid w:val="00AC37C0"/>
    <w:rsid w:val="00AC5323"/>
    <w:rsid w:val="00AC608A"/>
    <w:rsid w:val="00AC647B"/>
    <w:rsid w:val="00AC6700"/>
    <w:rsid w:val="00AC6BD6"/>
    <w:rsid w:val="00AC7B5E"/>
    <w:rsid w:val="00AC7E0E"/>
    <w:rsid w:val="00AD09F6"/>
    <w:rsid w:val="00AD0B95"/>
    <w:rsid w:val="00AD1278"/>
    <w:rsid w:val="00AD1C0C"/>
    <w:rsid w:val="00AD1E16"/>
    <w:rsid w:val="00AD21CB"/>
    <w:rsid w:val="00AD2278"/>
    <w:rsid w:val="00AD235A"/>
    <w:rsid w:val="00AD25F3"/>
    <w:rsid w:val="00AD276B"/>
    <w:rsid w:val="00AD33B9"/>
    <w:rsid w:val="00AD396C"/>
    <w:rsid w:val="00AD42DA"/>
    <w:rsid w:val="00AD4961"/>
    <w:rsid w:val="00AD5361"/>
    <w:rsid w:val="00AD64BA"/>
    <w:rsid w:val="00AD70B6"/>
    <w:rsid w:val="00AD7742"/>
    <w:rsid w:val="00AD7932"/>
    <w:rsid w:val="00AE04E0"/>
    <w:rsid w:val="00AE0788"/>
    <w:rsid w:val="00AE079A"/>
    <w:rsid w:val="00AE0C35"/>
    <w:rsid w:val="00AE0F44"/>
    <w:rsid w:val="00AE13F2"/>
    <w:rsid w:val="00AE25C5"/>
    <w:rsid w:val="00AE2820"/>
    <w:rsid w:val="00AE32BD"/>
    <w:rsid w:val="00AE38FF"/>
    <w:rsid w:val="00AE3F2C"/>
    <w:rsid w:val="00AE539D"/>
    <w:rsid w:val="00AE5B77"/>
    <w:rsid w:val="00AE5C8F"/>
    <w:rsid w:val="00AE5CDD"/>
    <w:rsid w:val="00AE5EAD"/>
    <w:rsid w:val="00AE6C2F"/>
    <w:rsid w:val="00AF074A"/>
    <w:rsid w:val="00AF0900"/>
    <w:rsid w:val="00AF0D5D"/>
    <w:rsid w:val="00AF1519"/>
    <w:rsid w:val="00AF289E"/>
    <w:rsid w:val="00AF2C82"/>
    <w:rsid w:val="00AF3861"/>
    <w:rsid w:val="00AF3DA1"/>
    <w:rsid w:val="00AF569E"/>
    <w:rsid w:val="00AF5E65"/>
    <w:rsid w:val="00AF63FC"/>
    <w:rsid w:val="00AF69AA"/>
    <w:rsid w:val="00B00452"/>
    <w:rsid w:val="00B010F6"/>
    <w:rsid w:val="00B014F0"/>
    <w:rsid w:val="00B016E5"/>
    <w:rsid w:val="00B01E54"/>
    <w:rsid w:val="00B01EA6"/>
    <w:rsid w:val="00B01F74"/>
    <w:rsid w:val="00B02823"/>
    <w:rsid w:val="00B03279"/>
    <w:rsid w:val="00B04689"/>
    <w:rsid w:val="00B0532C"/>
    <w:rsid w:val="00B058B7"/>
    <w:rsid w:val="00B059C3"/>
    <w:rsid w:val="00B06001"/>
    <w:rsid w:val="00B06817"/>
    <w:rsid w:val="00B06C41"/>
    <w:rsid w:val="00B07080"/>
    <w:rsid w:val="00B07C1B"/>
    <w:rsid w:val="00B1007D"/>
    <w:rsid w:val="00B10483"/>
    <w:rsid w:val="00B10DF7"/>
    <w:rsid w:val="00B11297"/>
    <w:rsid w:val="00B1157A"/>
    <w:rsid w:val="00B11661"/>
    <w:rsid w:val="00B124F4"/>
    <w:rsid w:val="00B12625"/>
    <w:rsid w:val="00B130B7"/>
    <w:rsid w:val="00B148B3"/>
    <w:rsid w:val="00B14E46"/>
    <w:rsid w:val="00B15243"/>
    <w:rsid w:val="00B1544C"/>
    <w:rsid w:val="00B15918"/>
    <w:rsid w:val="00B15F6A"/>
    <w:rsid w:val="00B166E2"/>
    <w:rsid w:val="00B20848"/>
    <w:rsid w:val="00B21FF2"/>
    <w:rsid w:val="00B2271C"/>
    <w:rsid w:val="00B2294A"/>
    <w:rsid w:val="00B22AFD"/>
    <w:rsid w:val="00B22B6B"/>
    <w:rsid w:val="00B22B99"/>
    <w:rsid w:val="00B22C4D"/>
    <w:rsid w:val="00B2310C"/>
    <w:rsid w:val="00B2323D"/>
    <w:rsid w:val="00B23C8B"/>
    <w:rsid w:val="00B24068"/>
    <w:rsid w:val="00B2419F"/>
    <w:rsid w:val="00B2458C"/>
    <w:rsid w:val="00B25AC3"/>
    <w:rsid w:val="00B25D3B"/>
    <w:rsid w:val="00B268D0"/>
    <w:rsid w:val="00B26C69"/>
    <w:rsid w:val="00B27451"/>
    <w:rsid w:val="00B27DC0"/>
    <w:rsid w:val="00B27ED9"/>
    <w:rsid w:val="00B306B7"/>
    <w:rsid w:val="00B30D81"/>
    <w:rsid w:val="00B31249"/>
    <w:rsid w:val="00B31D1B"/>
    <w:rsid w:val="00B33596"/>
    <w:rsid w:val="00B33FB9"/>
    <w:rsid w:val="00B34689"/>
    <w:rsid w:val="00B347A4"/>
    <w:rsid w:val="00B34BE1"/>
    <w:rsid w:val="00B34CDC"/>
    <w:rsid w:val="00B3524B"/>
    <w:rsid w:val="00B36695"/>
    <w:rsid w:val="00B36BAF"/>
    <w:rsid w:val="00B36C9E"/>
    <w:rsid w:val="00B373EE"/>
    <w:rsid w:val="00B37515"/>
    <w:rsid w:val="00B37719"/>
    <w:rsid w:val="00B4026C"/>
    <w:rsid w:val="00B40376"/>
    <w:rsid w:val="00B4081E"/>
    <w:rsid w:val="00B40B1D"/>
    <w:rsid w:val="00B415E1"/>
    <w:rsid w:val="00B41FD9"/>
    <w:rsid w:val="00B42246"/>
    <w:rsid w:val="00B42699"/>
    <w:rsid w:val="00B427EA"/>
    <w:rsid w:val="00B42C11"/>
    <w:rsid w:val="00B42EA7"/>
    <w:rsid w:val="00B434B3"/>
    <w:rsid w:val="00B4477D"/>
    <w:rsid w:val="00B45242"/>
    <w:rsid w:val="00B45244"/>
    <w:rsid w:val="00B45AF5"/>
    <w:rsid w:val="00B45B09"/>
    <w:rsid w:val="00B45DCA"/>
    <w:rsid w:val="00B463AC"/>
    <w:rsid w:val="00B46EF9"/>
    <w:rsid w:val="00B47199"/>
    <w:rsid w:val="00B4749C"/>
    <w:rsid w:val="00B47B60"/>
    <w:rsid w:val="00B503C1"/>
    <w:rsid w:val="00B50552"/>
    <w:rsid w:val="00B50945"/>
    <w:rsid w:val="00B51CA3"/>
    <w:rsid w:val="00B521E7"/>
    <w:rsid w:val="00B522C6"/>
    <w:rsid w:val="00B523E1"/>
    <w:rsid w:val="00B52ACE"/>
    <w:rsid w:val="00B530F5"/>
    <w:rsid w:val="00B53435"/>
    <w:rsid w:val="00B53B02"/>
    <w:rsid w:val="00B5448B"/>
    <w:rsid w:val="00B557DE"/>
    <w:rsid w:val="00B55E58"/>
    <w:rsid w:val="00B56B33"/>
    <w:rsid w:val="00B56BE1"/>
    <w:rsid w:val="00B56CEC"/>
    <w:rsid w:val="00B57B1C"/>
    <w:rsid w:val="00B60D5F"/>
    <w:rsid w:val="00B60F07"/>
    <w:rsid w:val="00B60F8F"/>
    <w:rsid w:val="00B6132A"/>
    <w:rsid w:val="00B61808"/>
    <w:rsid w:val="00B61EE6"/>
    <w:rsid w:val="00B62679"/>
    <w:rsid w:val="00B627E6"/>
    <w:rsid w:val="00B63326"/>
    <w:rsid w:val="00B63847"/>
    <w:rsid w:val="00B63936"/>
    <w:rsid w:val="00B65017"/>
    <w:rsid w:val="00B65905"/>
    <w:rsid w:val="00B65C27"/>
    <w:rsid w:val="00B700D1"/>
    <w:rsid w:val="00B700DE"/>
    <w:rsid w:val="00B70349"/>
    <w:rsid w:val="00B70676"/>
    <w:rsid w:val="00B709D0"/>
    <w:rsid w:val="00B70C87"/>
    <w:rsid w:val="00B70DEC"/>
    <w:rsid w:val="00B70F57"/>
    <w:rsid w:val="00B721E9"/>
    <w:rsid w:val="00B72419"/>
    <w:rsid w:val="00B72571"/>
    <w:rsid w:val="00B72C7C"/>
    <w:rsid w:val="00B72FAD"/>
    <w:rsid w:val="00B7344A"/>
    <w:rsid w:val="00B7360B"/>
    <w:rsid w:val="00B7370F"/>
    <w:rsid w:val="00B737A4"/>
    <w:rsid w:val="00B74B11"/>
    <w:rsid w:val="00B74EA9"/>
    <w:rsid w:val="00B753C1"/>
    <w:rsid w:val="00B753D9"/>
    <w:rsid w:val="00B76129"/>
    <w:rsid w:val="00B7755B"/>
    <w:rsid w:val="00B7791C"/>
    <w:rsid w:val="00B77E44"/>
    <w:rsid w:val="00B80B7D"/>
    <w:rsid w:val="00B80EEA"/>
    <w:rsid w:val="00B80FC9"/>
    <w:rsid w:val="00B810DB"/>
    <w:rsid w:val="00B81C12"/>
    <w:rsid w:val="00B8202F"/>
    <w:rsid w:val="00B82261"/>
    <w:rsid w:val="00B8232A"/>
    <w:rsid w:val="00B826B8"/>
    <w:rsid w:val="00B83B77"/>
    <w:rsid w:val="00B84A46"/>
    <w:rsid w:val="00B84CA7"/>
    <w:rsid w:val="00B84D34"/>
    <w:rsid w:val="00B850C7"/>
    <w:rsid w:val="00B8520B"/>
    <w:rsid w:val="00B85871"/>
    <w:rsid w:val="00B85BDB"/>
    <w:rsid w:val="00B86752"/>
    <w:rsid w:val="00B86F86"/>
    <w:rsid w:val="00B879B5"/>
    <w:rsid w:val="00B87CD6"/>
    <w:rsid w:val="00B9037A"/>
    <w:rsid w:val="00B90C8A"/>
    <w:rsid w:val="00B90F5A"/>
    <w:rsid w:val="00B917BA"/>
    <w:rsid w:val="00B925AD"/>
    <w:rsid w:val="00B9293C"/>
    <w:rsid w:val="00B92BD4"/>
    <w:rsid w:val="00B92E2E"/>
    <w:rsid w:val="00B9375C"/>
    <w:rsid w:val="00B939D0"/>
    <w:rsid w:val="00B93A11"/>
    <w:rsid w:val="00B93BFE"/>
    <w:rsid w:val="00B93EB1"/>
    <w:rsid w:val="00B94036"/>
    <w:rsid w:val="00B945E0"/>
    <w:rsid w:val="00B94BD7"/>
    <w:rsid w:val="00B94D11"/>
    <w:rsid w:val="00B9538E"/>
    <w:rsid w:val="00B95459"/>
    <w:rsid w:val="00B956E4"/>
    <w:rsid w:val="00B96F00"/>
    <w:rsid w:val="00B97F5B"/>
    <w:rsid w:val="00BA063B"/>
    <w:rsid w:val="00BA0F88"/>
    <w:rsid w:val="00BA1312"/>
    <w:rsid w:val="00BA17BB"/>
    <w:rsid w:val="00BA19E9"/>
    <w:rsid w:val="00BA1AFE"/>
    <w:rsid w:val="00BA2040"/>
    <w:rsid w:val="00BA2CB2"/>
    <w:rsid w:val="00BA308B"/>
    <w:rsid w:val="00BA38A0"/>
    <w:rsid w:val="00BA3DF9"/>
    <w:rsid w:val="00BA3E6B"/>
    <w:rsid w:val="00BA42CA"/>
    <w:rsid w:val="00BA4677"/>
    <w:rsid w:val="00BA4CBA"/>
    <w:rsid w:val="00BA4CE5"/>
    <w:rsid w:val="00BA5283"/>
    <w:rsid w:val="00BA56FB"/>
    <w:rsid w:val="00BA5790"/>
    <w:rsid w:val="00BA5ABF"/>
    <w:rsid w:val="00BA658B"/>
    <w:rsid w:val="00BA6776"/>
    <w:rsid w:val="00BA6BB1"/>
    <w:rsid w:val="00BA722C"/>
    <w:rsid w:val="00BB0106"/>
    <w:rsid w:val="00BB029A"/>
    <w:rsid w:val="00BB083F"/>
    <w:rsid w:val="00BB0B5A"/>
    <w:rsid w:val="00BB1839"/>
    <w:rsid w:val="00BB3340"/>
    <w:rsid w:val="00BB3380"/>
    <w:rsid w:val="00BB3AAB"/>
    <w:rsid w:val="00BB4FCA"/>
    <w:rsid w:val="00BB5593"/>
    <w:rsid w:val="00BB5A63"/>
    <w:rsid w:val="00BB6041"/>
    <w:rsid w:val="00BB68EE"/>
    <w:rsid w:val="00BB6ED0"/>
    <w:rsid w:val="00BB6FED"/>
    <w:rsid w:val="00BB71A4"/>
    <w:rsid w:val="00BB758D"/>
    <w:rsid w:val="00BB7874"/>
    <w:rsid w:val="00BB7B84"/>
    <w:rsid w:val="00BC07D7"/>
    <w:rsid w:val="00BC0FEF"/>
    <w:rsid w:val="00BC1B01"/>
    <w:rsid w:val="00BC1D05"/>
    <w:rsid w:val="00BC269A"/>
    <w:rsid w:val="00BC2857"/>
    <w:rsid w:val="00BC2959"/>
    <w:rsid w:val="00BC3964"/>
    <w:rsid w:val="00BC3D7E"/>
    <w:rsid w:val="00BC43CB"/>
    <w:rsid w:val="00BC516F"/>
    <w:rsid w:val="00BC5B77"/>
    <w:rsid w:val="00BC6026"/>
    <w:rsid w:val="00BC6C13"/>
    <w:rsid w:val="00BC6F89"/>
    <w:rsid w:val="00BC6FD8"/>
    <w:rsid w:val="00BD005A"/>
    <w:rsid w:val="00BD0D2E"/>
    <w:rsid w:val="00BD1188"/>
    <w:rsid w:val="00BD122F"/>
    <w:rsid w:val="00BD19C5"/>
    <w:rsid w:val="00BD2FD3"/>
    <w:rsid w:val="00BD3026"/>
    <w:rsid w:val="00BD3E79"/>
    <w:rsid w:val="00BD4716"/>
    <w:rsid w:val="00BD47BF"/>
    <w:rsid w:val="00BD48B2"/>
    <w:rsid w:val="00BD4B3A"/>
    <w:rsid w:val="00BD4F2B"/>
    <w:rsid w:val="00BD57DA"/>
    <w:rsid w:val="00BD5D1E"/>
    <w:rsid w:val="00BD5EC7"/>
    <w:rsid w:val="00BD6019"/>
    <w:rsid w:val="00BD6A4C"/>
    <w:rsid w:val="00BD77AA"/>
    <w:rsid w:val="00BD791E"/>
    <w:rsid w:val="00BD79DD"/>
    <w:rsid w:val="00BE01B2"/>
    <w:rsid w:val="00BE0502"/>
    <w:rsid w:val="00BE17D2"/>
    <w:rsid w:val="00BE29E7"/>
    <w:rsid w:val="00BE3E46"/>
    <w:rsid w:val="00BE3F71"/>
    <w:rsid w:val="00BE4DE7"/>
    <w:rsid w:val="00BE552E"/>
    <w:rsid w:val="00BE5904"/>
    <w:rsid w:val="00BE5B30"/>
    <w:rsid w:val="00BE66B7"/>
    <w:rsid w:val="00BE6812"/>
    <w:rsid w:val="00BE6AF7"/>
    <w:rsid w:val="00BE7419"/>
    <w:rsid w:val="00BF008A"/>
    <w:rsid w:val="00BF0C84"/>
    <w:rsid w:val="00BF1035"/>
    <w:rsid w:val="00BF111B"/>
    <w:rsid w:val="00BF216B"/>
    <w:rsid w:val="00BF231D"/>
    <w:rsid w:val="00BF2A11"/>
    <w:rsid w:val="00BF358C"/>
    <w:rsid w:val="00BF3762"/>
    <w:rsid w:val="00BF3C46"/>
    <w:rsid w:val="00BF3D7C"/>
    <w:rsid w:val="00BF468F"/>
    <w:rsid w:val="00BF5156"/>
    <w:rsid w:val="00BF5625"/>
    <w:rsid w:val="00BF633D"/>
    <w:rsid w:val="00BF666A"/>
    <w:rsid w:val="00BF67E4"/>
    <w:rsid w:val="00BF7249"/>
    <w:rsid w:val="00C005FE"/>
    <w:rsid w:val="00C0070E"/>
    <w:rsid w:val="00C0116E"/>
    <w:rsid w:val="00C0147B"/>
    <w:rsid w:val="00C02B4C"/>
    <w:rsid w:val="00C030A2"/>
    <w:rsid w:val="00C03180"/>
    <w:rsid w:val="00C033BC"/>
    <w:rsid w:val="00C03D4E"/>
    <w:rsid w:val="00C053CB"/>
    <w:rsid w:val="00C05FA8"/>
    <w:rsid w:val="00C06103"/>
    <w:rsid w:val="00C066A9"/>
    <w:rsid w:val="00C06943"/>
    <w:rsid w:val="00C06ECF"/>
    <w:rsid w:val="00C074A2"/>
    <w:rsid w:val="00C07B08"/>
    <w:rsid w:val="00C10091"/>
    <w:rsid w:val="00C1029D"/>
    <w:rsid w:val="00C10498"/>
    <w:rsid w:val="00C11A14"/>
    <w:rsid w:val="00C12691"/>
    <w:rsid w:val="00C134A5"/>
    <w:rsid w:val="00C13838"/>
    <w:rsid w:val="00C149F5"/>
    <w:rsid w:val="00C14B1B"/>
    <w:rsid w:val="00C14C6C"/>
    <w:rsid w:val="00C15BD8"/>
    <w:rsid w:val="00C169FD"/>
    <w:rsid w:val="00C16ACE"/>
    <w:rsid w:val="00C170F0"/>
    <w:rsid w:val="00C1737C"/>
    <w:rsid w:val="00C17426"/>
    <w:rsid w:val="00C2069C"/>
    <w:rsid w:val="00C2095E"/>
    <w:rsid w:val="00C20E79"/>
    <w:rsid w:val="00C2101B"/>
    <w:rsid w:val="00C2194D"/>
    <w:rsid w:val="00C22214"/>
    <w:rsid w:val="00C223DE"/>
    <w:rsid w:val="00C22BAB"/>
    <w:rsid w:val="00C22D64"/>
    <w:rsid w:val="00C23371"/>
    <w:rsid w:val="00C239B8"/>
    <w:rsid w:val="00C239CE"/>
    <w:rsid w:val="00C23C53"/>
    <w:rsid w:val="00C240C2"/>
    <w:rsid w:val="00C240F1"/>
    <w:rsid w:val="00C24358"/>
    <w:rsid w:val="00C24AD3"/>
    <w:rsid w:val="00C25F39"/>
    <w:rsid w:val="00C26786"/>
    <w:rsid w:val="00C26A9E"/>
    <w:rsid w:val="00C26C86"/>
    <w:rsid w:val="00C27184"/>
    <w:rsid w:val="00C27213"/>
    <w:rsid w:val="00C27236"/>
    <w:rsid w:val="00C27F14"/>
    <w:rsid w:val="00C3066E"/>
    <w:rsid w:val="00C30670"/>
    <w:rsid w:val="00C323BF"/>
    <w:rsid w:val="00C32D41"/>
    <w:rsid w:val="00C33172"/>
    <w:rsid w:val="00C336F2"/>
    <w:rsid w:val="00C33797"/>
    <w:rsid w:val="00C33FA9"/>
    <w:rsid w:val="00C34216"/>
    <w:rsid w:val="00C34329"/>
    <w:rsid w:val="00C34814"/>
    <w:rsid w:val="00C34851"/>
    <w:rsid w:val="00C34DF2"/>
    <w:rsid w:val="00C36C78"/>
    <w:rsid w:val="00C37061"/>
    <w:rsid w:val="00C40686"/>
    <w:rsid w:val="00C40C76"/>
    <w:rsid w:val="00C40E93"/>
    <w:rsid w:val="00C4215F"/>
    <w:rsid w:val="00C422A4"/>
    <w:rsid w:val="00C4259A"/>
    <w:rsid w:val="00C42CC1"/>
    <w:rsid w:val="00C43018"/>
    <w:rsid w:val="00C4307D"/>
    <w:rsid w:val="00C43B49"/>
    <w:rsid w:val="00C43D7E"/>
    <w:rsid w:val="00C44D6B"/>
    <w:rsid w:val="00C45E2C"/>
    <w:rsid w:val="00C45E59"/>
    <w:rsid w:val="00C4621E"/>
    <w:rsid w:val="00C46888"/>
    <w:rsid w:val="00C473DC"/>
    <w:rsid w:val="00C501BB"/>
    <w:rsid w:val="00C505D6"/>
    <w:rsid w:val="00C5094E"/>
    <w:rsid w:val="00C50A35"/>
    <w:rsid w:val="00C50E5E"/>
    <w:rsid w:val="00C51DE4"/>
    <w:rsid w:val="00C52395"/>
    <w:rsid w:val="00C52572"/>
    <w:rsid w:val="00C5289C"/>
    <w:rsid w:val="00C5297C"/>
    <w:rsid w:val="00C52BA1"/>
    <w:rsid w:val="00C533C2"/>
    <w:rsid w:val="00C542FB"/>
    <w:rsid w:val="00C5483C"/>
    <w:rsid w:val="00C555DC"/>
    <w:rsid w:val="00C56573"/>
    <w:rsid w:val="00C56F57"/>
    <w:rsid w:val="00C60752"/>
    <w:rsid w:val="00C607F1"/>
    <w:rsid w:val="00C614A1"/>
    <w:rsid w:val="00C617D2"/>
    <w:rsid w:val="00C62B69"/>
    <w:rsid w:val="00C62BE1"/>
    <w:rsid w:val="00C634EB"/>
    <w:rsid w:val="00C63532"/>
    <w:rsid w:val="00C6420C"/>
    <w:rsid w:val="00C64341"/>
    <w:rsid w:val="00C64493"/>
    <w:rsid w:val="00C647D1"/>
    <w:rsid w:val="00C64C02"/>
    <w:rsid w:val="00C65AC9"/>
    <w:rsid w:val="00C66410"/>
    <w:rsid w:val="00C664DE"/>
    <w:rsid w:val="00C66D35"/>
    <w:rsid w:val="00C66E8F"/>
    <w:rsid w:val="00C674AD"/>
    <w:rsid w:val="00C675EC"/>
    <w:rsid w:val="00C6769F"/>
    <w:rsid w:val="00C67CC5"/>
    <w:rsid w:val="00C71AD6"/>
    <w:rsid w:val="00C71D23"/>
    <w:rsid w:val="00C7327B"/>
    <w:rsid w:val="00C744DD"/>
    <w:rsid w:val="00C7488E"/>
    <w:rsid w:val="00C74926"/>
    <w:rsid w:val="00C74A46"/>
    <w:rsid w:val="00C74ACE"/>
    <w:rsid w:val="00C75230"/>
    <w:rsid w:val="00C75C24"/>
    <w:rsid w:val="00C76205"/>
    <w:rsid w:val="00C768A1"/>
    <w:rsid w:val="00C76C2F"/>
    <w:rsid w:val="00C76CAF"/>
    <w:rsid w:val="00C76ECA"/>
    <w:rsid w:val="00C77248"/>
    <w:rsid w:val="00C775AD"/>
    <w:rsid w:val="00C7784C"/>
    <w:rsid w:val="00C80B08"/>
    <w:rsid w:val="00C80DF7"/>
    <w:rsid w:val="00C81A49"/>
    <w:rsid w:val="00C820BE"/>
    <w:rsid w:val="00C82C22"/>
    <w:rsid w:val="00C83399"/>
    <w:rsid w:val="00C83B91"/>
    <w:rsid w:val="00C8526C"/>
    <w:rsid w:val="00C8567F"/>
    <w:rsid w:val="00C85DF4"/>
    <w:rsid w:val="00C8640A"/>
    <w:rsid w:val="00C86ABA"/>
    <w:rsid w:val="00C87040"/>
    <w:rsid w:val="00C8768B"/>
    <w:rsid w:val="00C87E8D"/>
    <w:rsid w:val="00C87ED2"/>
    <w:rsid w:val="00C90B69"/>
    <w:rsid w:val="00C9178B"/>
    <w:rsid w:val="00C91A0D"/>
    <w:rsid w:val="00C9245E"/>
    <w:rsid w:val="00C928E9"/>
    <w:rsid w:val="00C92EFF"/>
    <w:rsid w:val="00C93D3B"/>
    <w:rsid w:val="00C93E5E"/>
    <w:rsid w:val="00C93E96"/>
    <w:rsid w:val="00C94425"/>
    <w:rsid w:val="00C94745"/>
    <w:rsid w:val="00C94AB9"/>
    <w:rsid w:val="00C94DF4"/>
    <w:rsid w:val="00C950A4"/>
    <w:rsid w:val="00C955D5"/>
    <w:rsid w:val="00C95BDB"/>
    <w:rsid w:val="00C95E3B"/>
    <w:rsid w:val="00C95ECF"/>
    <w:rsid w:val="00C95F7F"/>
    <w:rsid w:val="00C96452"/>
    <w:rsid w:val="00C96596"/>
    <w:rsid w:val="00C967B4"/>
    <w:rsid w:val="00C96991"/>
    <w:rsid w:val="00C976C9"/>
    <w:rsid w:val="00C97AD3"/>
    <w:rsid w:val="00CA08B3"/>
    <w:rsid w:val="00CA08F4"/>
    <w:rsid w:val="00CA0B32"/>
    <w:rsid w:val="00CA0EAA"/>
    <w:rsid w:val="00CA0EBF"/>
    <w:rsid w:val="00CA11D4"/>
    <w:rsid w:val="00CA1E2A"/>
    <w:rsid w:val="00CA28D1"/>
    <w:rsid w:val="00CA2DB9"/>
    <w:rsid w:val="00CA377E"/>
    <w:rsid w:val="00CA38D2"/>
    <w:rsid w:val="00CA41D9"/>
    <w:rsid w:val="00CA5B5C"/>
    <w:rsid w:val="00CA5C84"/>
    <w:rsid w:val="00CA611D"/>
    <w:rsid w:val="00CA68CB"/>
    <w:rsid w:val="00CA6DB7"/>
    <w:rsid w:val="00CA7068"/>
    <w:rsid w:val="00CA721C"/>
    <w:rsid w:val="00CB0024"/>
    <w:rsid w:val="00CB053A"/>
    <w:rsid w:val="00CB07A3"/>
    <w:rsid w:val="00CB1783"/>
    <w:rsid w:val="00CB1E6D"/>
    <w:rsid w:val="00CB1FAF"/>
    <w:rsid w:val="00CB2199"/>
    <w:rsid w:val="00CB2A60"/>
    <w:rsid w:val="00CB2B06"/>
    <w:rsid w:val="00CB2D93"/>
    <w:rsid w:val="00CB3E22"/>
    <w:rsid w:val="00CB4051"/>
    <w:rsid w:val="00CB4BB4"/>
    <w:rsid w:val="00CB5675"/>
    <w:rsid w:val="00CB56A6"/>
    <w:rsid w:val="00CB591B"/>
    <w:rsid w:val="00CB6541"/>
    <w:rsid w:val="00CB6AD1"/>
    <w:rsid w:val="00CB6E48"/>
    <w:rsid w:val="00CB72C2"/>
    <w:rsid w:val="00CB73AD"/>
    <w:rsid w:val="00CB7898"/>
    <w:rsid w:val="00CC0565"/>
    <w:rsid w:val="00CC0673"/>
    <w:rsid w:val="00CC116F"/>
    <w:rsid w:val="00CC12EF"/>
    <w:rsid w:val="00CC1949"/>
    <w:rsid w:val="00CC19AF"/>
    <w:rsid w:val="00CC31BD"/>
    <w:rsid w:val="00CC3565"/>
    <w:rsid w:val="00CC41E6"/>
    <w:rsid w:val="00CC458C"/>
    <w:rsid w:val="00CC45CF"/>
    <w:rsid w:val="00CC4690"/>
    <w:rsid w:val="00CC495D"/>
    <w:rsid w:val="00CC4E91"/>
    <w:rsid w:val="00CC50E0"/>
    <w:rsid w:val="00CC5575"/>
    <w:rsid w:val="00CC5A25"/>
    <w:rsid w:val="00CC5DED"/>
    <w:rsid w:val="00CC6174"/>
    <w:rsid w:val="00CC6DD2"/>
    <w:rsid w:val="00CC6F4B"/>
    <w:rsid w:val="00CC7CAD"/>
    <w:rsid w:val="00CD013C"/>
    <w:rsid w:val="00CD151A"/>
    <w:rsid w:val="00CD1F10"/>
    <w:rsid w:val="00CD2342"/>
    <w:rsid w:val="00CD2F8E"/>
    <w:rsid w:val="00CD3981"/>
    <w:rsid w:val="00CD41D0"/>
    <w:rsid w:val="00CD436F"/>
    <w:rsid w:val="00CD43D6"/>
    <w:rsid w:val="00CD4795"/>
    <w:rsid w:val="00CD4A24"/>
    <w:rsid w:val="00CD56DF"/>
    <w:rsid w:val="00CD592B"/>
    <w:rsid w:val="00CD5A13"/>
    <w:rsid w:val="00CD6FC3"/>
    <w:rsid w:val="00CD7671"/>
    <w:rsid w:val="00CE0080"/>
    <w:rsid w:val="00CE0DB4"/>
    <w:rsid w:val="00CE14FF"/>
    <w:rsid w:val="00CE1FD9"/>
    <w:rsid w:val="00CE1FED"/>
    <w:rsid w:val="00CE2122"/>
    <w:rsid w:val="00CE2EC2"/>
    <w:rsid w:val="00CE4110"/>
    <w:rsid w:val="00CE4E8F"/>
    <w:rsid w:val="00CE5157"/>
    <w:rsid w:val="00CE5FEE"/>
    <w:rsid w:val="00CE624A"/>
    <w:rsid w:val="00CE663B"/>
    <w:rsid w:val="00CE6770"/>
    <w:rsid w:val="00CE6A37"/>
    <w:rsid w:val="00CE7255"/>
    <w:rsid w:val="00CE7431"/>
    <w:rsid w:val="00CE79C4"/>
    <w:rsid w:val="00CE7B0A"/>
    <w:rsid w:val="00CE7DB6"/>
    <w:rsid w:val="00CF09B6"/>
    <w:rsid w:val="00CF0E52"/>
    <w:rsid w:val="00CF150E"/>
    <w:rsid w:val="00CF165E"/>
    <w:rsid w:val="00CF1C5B"/>
    <w:rsid w:val="00CF1CBE"/>
    <w:rsid w:val="00CF24F2"/>
    <w:rsid w:val="00CF3210"/>
    <w:rsid w:val="00CF379F"/>
    <w:rsid w:val="00CF3BF6"/>
    <w:rsid w:val="00CF3C5C"/>
    <w:rsid w:val="00CF3E87"/>
    <w:rsid w:val="00CF417E"/>
    <w:rsid w:val="00CF434B"/>
    <w:rsid w:val="00CF43EF"/>
    <w:rsid w:val="00CF4865"/>
    <w:rsid w:val="00CF4EC5"/>
    <w:rsid w:val="00CF5A0B"/>
    <w:rsid w:val="00CF5FAC"/>
    <w:rsid w:val="00CF6B61"/>
    <w:rsid w:val="00CF6D21"/>
    <w:rsid w:val="00CF6F17"/>
    <w:rsid w:val="00CF71CA"/>
    <w:rsid w:val="00D00905"/>
    <w:rsid w:val="00D00C6A"/>
    <w:rsid w:val="00D0154D"/>
    <w:rsid w:val="00D019A7"/>
    <w:rsid w:val="00D01CD1"/>
    <w:rsid w:val="00D02492"/>
    <w:rsid w:val="00D029A6"/>
    <w:rsid w:val="00D02B0F"/>
    <w:rsid w:val="00D0310A"/>
    <w:rsid w:val="00D03D81"/>
    <w:rsid w:val="00D040ED"/>
    <w:rsid w:val="00D04801"/>
    <w:rsid w:val="00D059A9"/>
    <w:rsid w:val="00D064D4"/>
    <w:rsid w:val="00D06588"/>
    <w:rsid w:val="00D10DE8"/>
    <w:rsid w:val="00D1372C"/>
    <w:rsid w:val="00D144C3"/>
    <w:rsid w:val="00D1475A"/>
    <w:rsid w:val="00D14DE9"/>
    <w:rsid w:val="00D1537A"/>
    <w:rsid w:val="00D1556A"/>
    <w:rsid w:val="00D159CF"/>
    <w:rsid w:val="00D15F65"/>
    <w:rsid w:val="00D16830"/>
    <w:rsid w:val="00D168FB"/>
    <w:rsid w:val="00D16A59"/>
    <w:rsid w:val="00D17D85"/>
    <w:rsid w:val="00D20651"/>
    <w:rsid w:val="00D21380"/>
    <w:rsid w:val="00D22437"/>
    <w:rsid w:val="00D2255C"/>
    <w:rsid w:val="00D23126"/>
    <w:rsid w:val="00D23169"/>
    <w:rsid w:val="00D238C4"/>
    <w:rsid w:val="00D23FD3"/>
    <w:rsid w:val="00D2444C"/>
    <w:rsid w:val="00D24549"/>
    <w:rsid w:val="00D24ABF"/>
    <w:rsid w:val="00D25476"/>
    <w:rsid w:val="00D25CA2"/>
    <w:rsid w:val="00D264D8"/>
    <w:rsid w:val="00D264EF"/>
    <w:rsid w:val="00D26BCF"/>
    <w:rsid w:val="00D2734D"/>
    <w:rsid w:val="00D30DF6"/>
    <w:rsid w:val="00D310D3"/>
    <w:rsid w:val="00D31C34"/>
    <w:rsid w:val="00D32246"/>
    <w:rsid w:val="00D32832"/>
    <w:rsid w:val="00D329EF"/>
    <w:rsid w:val="00D32BE2"/>
    <w:rsid w:val="00D33D97"/>
    <w:rsid w:val="00D35374"/>
    <w:rsid w:val="00D36471"/>
    <w:rsid w:val="00D3718C"/>
    <w:rsid w:val="00D3746C"/>
    <w:rsid w:val="00D37F5F"/>
    <w:rsid w:val="00D37F70"/>
    <w:rsid w:val="00D40609"/>
    <w:rsid w:val="00D407FB"/>
    <w:rsid w:val="00D421F7"/>
    <w:rsid w:val="00D4259F"/>
    <w:rsid w:val="00D42B2A"/>
    <w:rsid w:val="00D43170"/>
    <w:rsid w:val="00D43B90"/>
    <w:rsid w:val="00D44AE6"/>
    <w:rsid w:val="00D46BCE"/>
    <w:rsid w:val="00D470A0"/>
    <w:rsid w:val="00D5055B"/>
    <w:rsid w:val="00D50661"/>
    <w:rsid w:val="00D50E89"/>
    <w:rsid w:val="00D513EF"/>
    <w:rsid w:val="00D52455"/>
    <w:rsid w:val="00D525CF"/>
    <w:rsid w:val="00D52677"/>
    <w:rsid w:val="00D52CE2"/>
    <w:rsid w:val="00D53EA8"/>
    <w:rsid w:val="00D53FB9"/>
    <w:rsid w:val="00D54053"/>
    <w:rsid w:val="00D54942"/>
    <w:rsid w:val="00D552FC"/>
    <w:rsid w:val="00D5592E"/>
    <w:rsid w:val="00D55F7D"/>
    <w:rsid w:val="00D55F9E"/>
    <w:rsid w:val="00D56987"/>
    <w:rsid w:val="00D57919"/>
    <w:rsid w:val="00D60E9F"/>
    <w:rsid w:val="00D60FEF"/>
    <w:rsid w:val="00D61042"/>
    <w:rsid w:val="00D61856"/>
    <w:rsid w:val="00D61B63"/>
    <w:rsid w:val="00D61D5B"/>
    <w:rsid w:val="00D61D62"/>
    <w:rsid w:val="00D632C7"/>
    <w:rsid w:val="00D63595"/>
    <w:rsid w:val="00D63E03"/>
    <w:rsid w:val="00D64B1C"/>
    <w:rsid w:val="00D64CA6"/>
    <w:rsid w:val="00D64F24"/>
    <w:rsid w:val="00D64FFB"/>
    <w:rsid w:val="00D655EB"/>
    <w:rsid w:val="00D65AD7"/>
    <w:rsid w:val="00D66662"/>
    <w:rsid w:val="00D666D0"/>
    <w:rsid w:val="00D66888"/>
    <w:rsid w:val="00D66BFF"/>
    <w:rsid w:val="00D72AC7"/>
    <w:rsid w:val="00D73059"/>
    <w:rsid w:val="00D73234"/>
    <w:rsid w:val="00D738A1"/>
    <w:rsid w:val="00D738AC"/>
    <w:rsid w:val="00D739D7"/>
    <w:rsid w:val="00D74016"/>
    <w:rsid w:val="00D75121"/>
    <w:rsid w:val="00D76499"/>
    <w:rsid w:val="00D76912"/>
    <w:rsid w:val="00D76981"/>
    <w:rsid w:val="00D769A6"/>
    <w:rsid w:val="00D774A6"/>
    <w:rsid w:val="00D778D1"/>
    <w:rsid w:val="00D77A36"/>
    <w:rsid w:val="00D77C09"/>
    <w:rsid w:val="00D80257"/>
    <w:rsid w:val="00D805C7"/>
    <w:rsid w:val="00D807BF"/>
    <w:rsid w:val="00D8120E"/>
    <w:rsid w:val="00D81391"/>
    <w:rsid w:val="00D8148B"/>
    <w:rsid w:val="00D81BFA"/>
    <w:rsid w:val="00D81D49"/>
    <w:rsid w:val="00D8239A"/>
    <w:rsid w:val="00D8266A"/>
    <w:rsid w:val="00D82ACA"/>
    <w:rsid w:val="00D838FB"/>
    <w:rsid w:val="00D83D2A"/>
    <w:rsid w:val="00D83FE1"/>
    <w:rsid w:val="00D85A6F"/>
    <w:rsid w:val="00D860B7"/>
    <w:rsid w:val="00D86D0D"/>
    <w:rsid w:val="00D872CF"/>
    <w:rsid w:val="00D87587"/>
    <w:rsid w:val="00D87C38"/>
    <w:rsid w:val="00D87FB8"/>
    <w:rsid w:val="00D907EE"/>
    <w:rsid w:val="00D90889"/>
    <w:rsid w:val="00D92016"/>
    <w:rsid w:val="00D922AF"/>
    <w:rsid w:val="00D93139"/>
    <w:rsid w:val="00D931AC"/>
    <w:rsid w:val="00D9343E"/>
    <w:rsid w:val="00D938B2"/>
    <w:rsid w:val="00D93DD7"/>
    <w:rsid w:val="00D93E69"/>
    <w:rsid w:val="00D94A3A"/>
    <w:rsid w:val="00D94CC7"/>
    <w:rsid w:val="00D960EC"/>
    <w:rsid w:val="00D964AE"/>
    <w:rsid w:val="00D967EE"/>
    <w:rsid w:val="00D971B5"/>
    <w:rsid w:val="00DA00ED"/>
    <w:rsid w:val="00DA02BB"/>
    <w:rsid w:val="00DA0A2E"/>
    <w:rsid w:val="00DA0E18"/>
    <w:rsid w:val="00DA11A0"/>
    <w:rsid w:val="00DA28A3"/>
    <w:rsid w:val="00DA2ADA"/>
    <w:rsid w:val="00DA3021"/>
    <w:rsid w:val="00DA30C5"/>
    <w:rsid w:val="00DA3349"/>
    <w:rsid w:val="00DA38C6"/>
    <w:rsid w:val="00DA3F71"/>
    <w:rsid w:val="00DA423F"/>
    <w:rsid w:val="00DA4847"/>
    <w:rsid w:val="00DA490B"/>
    <w:rsid w:val="00DA4A88"/>
    <w:rsid w:val="00DA4FF6"/>
    <w:rsid w:val="00DA5BB4"/>
    <w:rsid w:val="00DA6ABC"/>
    <w:rsid w:val="00DA6AF6"/>
    <w:rsid w:val="00DA74BA"/>
    <w:rsid w:val="00DA7804"/>
    <w:rsid w:val="00DA7D37"/>
    <w:rsid w:val="00DA7FB3"/>
    <w:rsid w:val="00DB14AD"/>
    <w:rsid w:val="00DB1559"/>
    <w:rsid w:val="00DB16B2"/>
    <w:rsid w:val="00DB1F61"/>
    <w:rsid w:val="00DB23FA"/>
    <w:rsid w:val="00DB2E19"/>
    <w:rsid w:val="00DB35F7"/>
    <w:rsid w:val="00DB3759"/>
    <w:rsid w:val="00DB4743"/>
    <w:rsid w:val="00DB4980"/>
    <w:rsid w:val="00DB4C8E"/>
    <w:rsid w:val="00DB4D02"/>
    <w:rsid w:val="00DB5020"/>
    <w:rsid w:val="00DB52E7"/>
    <w:rsid w:val="00DB57FF"/>
    <w:rsid w:val="00DB58AC"/>
    <w:rsid w:val="00DB5DB5"/>
    <w:rsid w:val="00DB63D2"/>
    <w:rsid w:val="00DB67AA"/>
    <w:rsid w:val="00DB6B70"/>
    <w:rsid w:val="00DB7EA5"/>
    <w:rsid w:val="00DC1780"/>
    <w:rsid w:val="00DC1C5F"/>
    <w:rsid w:val="00DC3166"/>
    <w:rsid w:val="00DC3850"/>
    <w:rsid w:val="00DC3EDA"/>
    <w:rsid w:val="00DC3FFC"/>
    <w:rsid w:val="00DC4D19"/>
    <w:rsid w:val="00DC56EF"/>
    <w:rsid w:val="00DC5DDC"/>
    <w:rsid w:val="00DC63C7"/>
    <w:rsid w:val="00DC642F"/>
    <w:rsid w:val="00DC68B4"/>
    <w:rsid w:val="00DC6C94"/>
    <w:rsid w:val="00DC6D46"/>
    <w:rsid w:val="00DC7012"/>
    <w:rsid w:val="00DC7AE9"/>
    <w:rsid w:val="00DC7CA9"/>
    <w:rsid w:val="00DD03C0"/>
    <w:rsid w:val="00DD0CC6"/>
    <w:rsid w:val="00DD0FFD"/>
    <w:rsid w:val="00DD149A"/>
    <w:rsid w:val="00DD1630"/>
    <w:rsid w:val="00DD25BD"/>
    <w:rsid w:val="00DD2BF0"/>
    <w:rsid w:val="00DD2FEA"/>
    <w:rsid w:val="00DD30F7"/>
    <w:rsid w:val="00DD59A4"/>
    <w:rsid w:val="00DD5AB9"/>
    <w:rsid w:val="00DD6FF8"/>
    <w:rsid w:val="00DE0EEB"/>
    <w:rsid w:val="00DE11EA"/>
    <w:rsid w:val="00DE1481"/>
    <w:rsid w:val="00DE15DD"/>
    <w:rsid w:val="00DE19B6"/>
    <w:rsid w:val="00DE20EA"/>
    <w:rsid w:val="00DE22A9"/>
    <w:rsid w:val="00DE2A41"/>
    <w:rsid w:val="00DE2DB2"/>
    <w:rsid w:val="00DE2EA3"/>
    <w:rsid w:val="00DE2FB7"/>
    <w:rsid w:val="00DE3687"/>
    <w:rsid w:val="00DE368B"/>
    <w:rsid w:val="00DE3802"/>
    <w:rsid w:val="00DE38CB"/>
    <w:rsid w:val="00DE3ABC"/>
    <w:rsid w:val="00DE3B4F"/>
    <w:rsid w:val="00DE3C3C"/>
    <w:rsid w:val="00DE414E"/>
    <w:rsid w:val="00DE4FD2"/>
    <w:rsid w:val="00DE5AD0"/>
    <w:rsid w:val="00DE5C8F"/>
    <w:rsid w:val="00DE5D32"/>
    <w:rsid w:val="00DE6026"/>
    <w:rsid w:val="00DE6A01"/>
    <w:rsid w:val="00DE6B33"/>
    <w:rsid w:val="00DE6D6F"/>
    <w:rsid w:val="00DE6D78"/>
    <w:rsid w:val="00DE75F9"/>
    <w:rsid w:val="00DE78A0"/>
    <w:rsid w:val="00DE7C6B"/>
    <w:rsid w:val="00DE7D98"/>
    <w:rsid w:val="00DF12A5"/>
    <w:rsid w:val="00DF14C6"/>
    <w:rsid w:val="00DF270F"/>
    <w:rsid w:val="00DF3407"/>
    <w:rsid w:val="00DF392C"/>
    <w:rsid w:val="00DF3F25"/>
    <w:rsid w:val="00DF40D3"/>
    <w:rsid w:val="00DF46AA"/>
    <w:rsid w:val="00DF4C78"/>
    <w:rsid w:val="00DF51EF"/>
    <w:rsid w:val="00DF5E01"/>
    <w:rsid w:val="00DF6504"/>
    <w:rsid w:val="00DF663A"/>
    <w:rsid w:val="00DF71A8"/>
    <w:rsid w:val="00DF723A"/>
    <w:rsid w:val="00DF7ACD"/>
    <w:rsid w:val="00DF7F92"/>
    <w:rsid w:val="00E0013F"/>
    <w:rsid w:val="00E00622"/>
    <w:rsid w:val="00E009F1"/>
    <w:rsid w:val="00E01667"/>
    <w:rsid w:val="00E016A0"/>
    <w:rsid w:val="00E01C27"/>
    <w:rsid w:val="00E01ECF"/>
    <w:rsid w:val="00E02394"/>
    <w:rsid w:val="00E02ECD"/>
    <w:rsid w:val="00E033DE"/>
    <w:rsid w:val="00E04D45"/>
    <w:rsid w:val="00E059A1"/>
    <w:rsid w:val="00E0665A"/>
    <w:rsid w:val="00E06765"/>
    <w:rsid w:val="00E06B8B"/>
    <w:rsid w:val="00E06F3C"/>
    <w:rsid w:val="00E0709B"/>
    <w:rsid w:val="00E07D29"/>
    <w:rsid w:val="00E07E5D"/>
    <w:rsid w:val="00E10698"/>
    <w:rsid w:val="00E107BC"/>
    <w:rsid w:val="00E10B9B"/>
    <w:rsid w:val="00E1103A"/>
    <w:rsid w:val="00E1148F"/>
    <w:rsid w:val="00E11FBB"/>
    <w:rsid w:val="00E1229B"/>
    <w:rsid w:val="00E123D7"/>
    <w:rsid w:val="00E132DC"/>
    <w:rsid w:val="00E135E6"/>
    <w:rsid w:val="00E139F9"/>
    <w:rsid w:val="00E14004"/>
    <w:rsid w:val="00E14291"/>
    <w:rsid w:val="00E1503B"/>
    <w:rsid w:val="00E150F8"/>
    <w:rsid w:val="00E1555C"/>
    <w:rsid w:val="00E156C3"/>
    <w:rsid w:val="00E15847"/>
    <w:rsid w:val="00E15915"/>
    <w:rsid w:val="00E159AE"/>
    <w:rsid w:val="00E15EB7"/>
    <w:rsid w:val="00E161A1"/>
    <w:rsid w:val="00E162C8"/>
    <w:rsid w:val="00E16785"/>
    <w:rsid w:val="00E1798F"/>
    <w:rsid w:val="00E17B4F"/>
    <w:rsid w:val="00E17DA3"/>
    <w:rsid w:val="00E2012E"/>
    <w:rsid w:val="00E210F7"/>
    <w:rsid w:val="00E22914"/>
    <w:rsid w:val="00E22EE6"/>
    <w:rsid w:val="00E2331C"/>
    <w:rsid w:val="00E23497"/>
    <w:rsid w:val="00E23727"/>
    <w:rsid w:val="00E23853"/>
    <w:rsid w:val="00E23B63"/>
    <w:rsid w:val="00E24215"/>
    <w:rsid w:val="00E24335"/>
    <w:rsid w:val="00E247B7"/>
    <w:rsid w:val="00E24B5F"/>
    <w:rsid w:val="00E24E57"/>
    <w:rsid w:val="00E25459"/>
    <w:rsid w:val="00E2555C"/>
    <w:rsid w:val="00E25A08"/>
    <w:rsid w:val="00E25A76"/>
    <w:rsid w:val="00E25BBD"/>
    <w:rsid w:val="00E26CF1"/>
    <w:rsid w:val="00E274FD"/>
    <w:rsid w:val="00E275E8"/>
    <w:rsid w:val="00E27899"/>
    <w:rsid w:val="00E27E46"/>
    <w:rsid w:val="00E30052"/>
    <w:rsid w:val="00E30BD7"/>
    <w:rsid w:val="00E30C21"/>
    <w:rsid w:val="00E30C8D"/>
    <w:rsid w:val="00E31714"/>
    <w:rsid w:val="00E31A7F"/>
    <w:rsid w:val="00E3225D"/>
    <w:rsid w:val="00E32352"/>
    <w:rsid w:val="00E33FCC"/>
    <w:rsid w:val="00E3420C"/>
    <w:rsid w:val="00E34430"/>
    <w:rsid w:val="00E346D9"/>
    <w:rsid w:val="00E3483E"/>
    <w:rsid w:val="00E34F78"/>
    <w:rsid w:val="00E35B64"/>
    <w:rsid w:val="00E35FBD"/>
    <w:rsid w:val="00E3641C"/>
    <w:rsid w:val="00E36560"/>
    <w:rsid w:val="00E36866"/>
    <w:rsid w:val="00E36B7E"/>
    <w:rsid w:val="00E36C9A"/>
    <w:rsid w:val="00E36F17"/>
    <w:rsid w:val="00E3749D"/>
    <w:rsid w:val="00E37F1F"/>
    <w:rsid w:val="00E4201D"/>
    <w:rsid w:val="00E42908"/>
    <w:rsid w:val="00E42FE4"/>
    <w:rsid w:val="00E43C44"/>
    <w:rsid w:val="00E442B2"/>
    <w:rsid w:val="00E44735"/>
    <w:rsid w:val="00E45BE5"/>
    <w:rsid w:val="00E4603E"/>
    <w:rsid w:val="00E46419"/>
    <w:rsid w:val="00E468C1"/>
    <w:rsid w:val="00E46E27"/>
    <w:rsid w:val="00E471C6"/>
    <w:rsid w:val="00E47724"/>
    <w:rsid w:val="00E47B94"/>
    <w:rsid w:val="00E47CF1"/>
    <w:rsid w:val="00E50158"/>
    <w:rsid w:val="00E50E32"/>
    <w:rsid w:val="00E50E94"/>
    <w:rsid w:val="00E511C0"/>
    <w:rsid w:val="00E513C8"/>
    <w:rsid w:val="00E5196D"/>
    <w:rsid w:val="00E52B75"/>
    <w:rsid w:val="00E52CEF"/>
    <w:rsid w:val="00E52FE4"/>
    <w:rsid w:val="00E53717"/>
    <w:rsid w:val="00E5427A"/>
    <w:rsid w:val="00E545BC"/>
    <w:rsid w:val="00E54ADD"/>
    <w:rsid w:val="00E54CEE"/>
    <w:rsid w:val="00E55342"/>
    <w:rsid w:val="00E559D5"/>
    <w:rsid w:val="00E56A45"/>
    <w:rsid w:val="00E56B3C"/>
    <w:rsid w:val="00E56CAB"/>
    <w:rsid w:val="00E57BF4"/>
    <w:rsid w:val="00E57DE5"/>
    <w:rsid w:val="00E6052F"/>
    <w:rsid w:val="00E607C1"/>
    <w:rsid w:val="00E60CB6"/>
    <w:rsid w:val="00E61058"/>
    <w:rsid w:val="00E6201E"/>
    <w:rsid w:val="00E622BB"/>
    <w:rsid w:val="00E62586"/>
    <w:rsid w:val="00E6259E"/>
    <w:rsid w:val="00E6277B"/>
    <w:rsid w:val="00E62916"/>
    <w:rsid w:val="00E63ABA"/>
    <w:rsid w:val="00E640FD"/>
    <w:rsid w:val="00E64218"/>
    <w:rsid w:val="00E64A39"/>
    <w:rsid w:val="00E65610"/>
    <w:rsid w:val="00E65E67"/>
    <w:rsid w:val="00E6639A"/>
    <w:rsid w:val="00E67F95"/>
    <w:rsid w:val="00E70027"/>
    <w:rsid w:val="00E70559"/>
    <w:rsid w:val="00E7071A"/>
    <w:rsid w:val="00E70733"/>
    <w:rsid w:val="00E709A6"/>
    <w:rsid w:val="00E721C1"/>
    <w:rsid w:val="00E7283C"/>
    <w:rsid w:val="00E72A48"/>
    <w:rsid w:val="00E72F3A"/>
    <w:rsid w:val="00E737E4"/>
    <w:rsid w:val="00E7392C"/>
    <w:rsid w:val="00E73F76"/>
    <w:rsid w:val="00E74154"/>
    <w:rsid w:val="00E742A2"/>
    <w:rsid w:val="00E74FE3"/>
    <w:rsid w:val="00E756CE"/>
    <w:rsid w:val="00E77A80"/>
    <w:rsid w:val="00E80247"/>
    <w:rsid w:val="00E80D1E"/>
    <w:rsid w:val="00E81659"/>
    <w:rsid w:val="00E816C3"/>
    <w:rsid w:val="00E82A54"/>
    <w:rsid w:val="00E855B8"/>
    <w:rsid w:val="00E85852"/>
    <w:rsid w:val="00E85A09"/>
    <w:rsid w:val="00E8642D"/>
    <w:rsid w:val="00E868E3"/>
    <w:rsid w:val="00E86CD3"/>
    <w:rsid w:val="00E871CA"/>
    <w:rsid w:val="00E874A8"/>
    <w:rsid w:val="00E90589"/>
    <w:rsid w:val="00E90CC9"/>
    <w:rsid w:val="00E9141B"/>
    <w:rsid w:val="00E91B4E"/>
    <w:rsid w:val="00E92285"/>
    <w:rsid w:val="00E92CB3"/>
    <w:rsid w:val="00E92E1A"/>
    <w:rsid w:val="00E93AA4"/>
    <w:rsid w:val="00E93ABB"/>
    <w:rsid w:val="00E93F63"/>
    <w:rsid w:val="00E9404D"/>
    <w:rsid w:val="00E9491D"/>
    <w:rsid w:val="00E95C0D"/>
    <w:rsid w:val="00E9600C"/>
    <w:rsid w:val="00E96F1D"/>
    <w:rsid w:val="00EA0274"/>
    <w:rsid w:val="00EA0CB5"/>
    <w:rsid w:val="00EA12C5"/>
    <w:rsid w:val="00EA1619"/>
    <w:rsid w:val="00EA1AA7"/>
    <w:rsid w:val="00EA1DE0"/>
    <w:rsid w:val="00EA2DC4"/>
    <w:rsid w:val="00EA2E56"/>
    <w:rsid w:val="00EA336D"/>
    <w:rsid w:val="00EA6164"/>
    <w:rsid w:val="00EA6A49"/>
    <w:rsid w:val="00EA72D0"/>
    <w:rsid w:val="00EA757B"/>
    <w:rsid w:val="00EA76FF"/>
    <w:rsid w:val="00EB0265"/>
    <w:rsid w:val="00EB0460"/>
    <w:rsid w:val="00EB0775"/>
    <w:rsid w:val="00EB07E3"/>
    <w:rsid w:val="00EB0FA4"/>
    <w:rsid w:val="00EB1359"/>
    <w:rsid w:val="00EB1F7D"/>
    <w:rsid w:val="00EB2056"/>
    <w:rsid w:val="00EB20DF"/>
    <w:rsid w:val="00EB27DB"/>
    <w:rsid w:val="00EB2A0D"/>
    <w:rsid w:val="00EB2C24"/>
    <w:rsid w:val="00EB2F69"/>
    <w:rsid w:val="00EB37E7"/>
    <w:rsid w:val="00EB3915"/>
    <w:rsid w:val="00EB3B36"/>
    <w:rsid w:val="00EB3CE3"/>
    <w:rsid w:val="00EB4466"/>
    <w:rsid w:val="00EB542E"/>
    <w:rsid w:val="00EB55B5"/>
    <w:rsid w:val="00EB5DEE"/>
    <w:rsid w:val="00EB610D"/>
    <w:rsid w:val="00EB67FE"/>
    <w:rsid w:val="00EB6A0D"/>
    <w:rsid w:val="00EB6C4F"/>
    <w:rsid w:val="00EB6C62"/>
    <w:rsid w:val="00EB6E21"/>
    <w:rsid w:val="00EB70B7"/>
    <w:rsid w:val="00EB78C6"/>
    <w:rsid w:val="00EB7DE5"/>
    <w:rsid w:val="00EC00B4"/>
    <w:rsid w:val="00EC0200"/>
    <w:rsid w:val="00EC0552"/>
    <w:rsid w:val="00EC0AC1"/>
    <w:rsid w:val="00EC0E84"/>
    <w:rsid w:val="00EC164E"/>
    <w:rsid w:val="00EC1A68"/>
    <w:rsid w:val="00EC1BD6"/>
    <w:rsid w:val="00EC29FF"/>
    <w:rsid w:val="00EC2C8D"/>
    <w:rsid w:val="00EC2CC3"/>
    <w:rsid w:val="00EC344E"/>
    <w:rsid w:val="00EC3AF9"/>
    <w:rsid w:val="00EC4187"/>
    <w:rsid w:val="00EC424F"/>
    <w:rsid w:val="00EC47B0"/>
    <w:rsid w:val="00EC6691"/>
    <w:rsid w:val="00EC78F0"/>
    <w:rsid w:val="00ED006D"/>
    <w:rsid w:val="00ED08E0"/>
    <w:rsid w:val="00ED0A92"/>
    <w:rsid w:val="00ED3D70"/>
    <w:rsid w:val="00ED3E18"/>
    <w:rsid w:val="00ED3FE6"/>
    <w:rsid w:val="00ED404C"/>
    <w:rsid w:val="00ED4B42"/>
    <w:rsid w:val="00ED59EF"/>
    <w:rsid w:val="00ED5D12"/>
    <w:rsid w:val="00ED64EC"/>
    <w:rsid w:val="00ED7B59"/>
    <w:rsid w:val="00ED7C19"/>
    <w:rsid w:val="00EE07BE"/>
    <w:rsid w:val="00EE155B"/>
    <w:rsid w:val="00EE1CBF"/>
    <w:rsid w:val="00EE1F97"/>
    <w:rsid w:val="00EE2219"/>
    <w:rsid w:val="00EE2347"/>
    <w:rsid w:val="00EE2443"/>
    <w:rsid w:val="00EE28A5"/>
    <w:rsid w:val="00EE360B"/>
    <w:rsid w:val="00EE38B0"/>
    <w:rsid w:val="00EE3D0B"/>
    <w:rsid w:val="00EE4595"/>
    <w:rsid w:val="00EE505E"/>
    <w:rsid w:val="00EE510A"/>
    <w:rsid w:val="00EE5784"/>
    <w:rsid w:val="00EE65C4"/>
    <w:rsid w:val="00EE69A9"/>
    <w:rsid w:val="00EE7732"/>
    <w:rsid w:val="00EE78DE"/>
    <w:rsid w:val="00EE790D"/>
    <w:rsid w:val="00EF06A2"/>
    <w:rsid w:val="00EF0791"/>
    <w:rsid w:val="00EF0C5E"/>
    <w:rsid w:val="00EF18A4"/>
    <w:rsid w:val="00EF18F9"/>
    <w:rsid w:val="00EF1A5C"/>
    <w:rsid w:val="00EF22E1"/>
    <w:rsid w:val="00EF3114"/>
    <w:rsid w:val="00EF452A"/>
    <w:rsid w:val="00EF490D"/>
    <w:rsid w:val="00EF5941"/>
    <w:rsid w:val="00EF59A0"/>
    <w:rsid w:val="00EF60C8"/>
    <w:rsid w:val="00EF616A"/>
    <w:rsid w:val="00EF68C1"/>
    <w:rsid w:val="00F00387"/>
    <w:rsid w:val="00F00694"/>
    <w:rsid w:val="00F00E47"/>
    <w:rsid w:val="00F0111E"/>
    <w:rsid w:val="00F0167A"/>
    <w:rsid w:val="00F0169E"/>
    <w:rsid w:val="00F017CF"/>
    <w:rsid w:val="00F01B7F"/>
    <w:rsid w:val="00F01CB8"/>
    <w:rsid w:val="00F029F5"/>
    <w:rsid w:val="00F03100"/>
    <w:rsid w:val="00F04673"/>
    <w:rsid w:val="00F04BBF"/>
    <w:rsid w:val="00F050FE"/>
    <w:rsid w:val="00F05618"/>
    <w:rsid w:val="00F06320"/>
    <w:rsid w:val="00F06792"/>
    <w:rsid w:val="00F07956"/>
    <w:rsid w:val="00F07AFB"/>
    <w:rsid w:val="00F07CF1"/>
    <w:rsid w:val="00F11D65"/>
    <w:rsid w:val="00F1216C"/>
    <w:rsid w:val="00F12FD4"/>
    <w:rsid w:val="00F130E8"/>
    <w:rsid w:val="00F134BF"/>
    <w:rsid w:val="00F13624"/>
    <w:rsid w:val="00F1433B"/>
    <w:rsid w:val="00F1531B"/>
    <w:rsid w:val="00F15C61"/>
    <w:rsid w:val="00F1685F"/>
    <w:rsid w:val="00F175FC"/>
    <w:rsid w:val="00F20025"/>
    <w:rsid w:val="00F20748"/>
    <w:rsid w:val="00F20A92"/>
    <w:rsid w:val="00F21490"/>
    <w:rsid w:val="00F2185A"/>
    <w:rsid w:val="00F21922"/>
    <w:rsid w:val="00F219ED"/>
    <w:rsid w:val="00F21BB7"/>
    <w:rsid w:val="00F22181"/>
    <w:rsid w:val="00F22533"/>
    <w:rsid w:val="00F22822"/>
    <w:rsid w:val="00F22EEF"/>
    <w:rsid w:val="00F23CAD"/>
    <w:rsid w:val="00F246ED"/>
    <w:rsid w:val="00F248D7"/>
    <w:rsid w:val="00F24B77"/>
    <w:rsid w:val="00F24D0C"/>
    <w:rsid w:val="00F24E07"/>
    <w:rsid w:val="00F24FB6"/>
    <w:rsid w:val="00F2508B"/>
    <w:rsid w:val="00F2508C"/>
    <w:rsid w:val="00F25265"/>
    <w:rsid w:val="00F2545B"/>
    <w:rsid w:val="00F26075"/>
    <w:rsid w:val="00F26793"/>
    <w:rsid w:val="00F26EDA"/>
    <w:rsid w:val="00F276C3"/>
    <w:rsid w:val="00F27742"/>
    <w:rsid w:val="00F277BD"/>
    <w:rsid w:val="00F27B81"/>
    <w:rsid w:val="00F3012B"/>
    <w:rsid w:val="00F30531"/>
    <w:rsid w:val="00F30FB1"/>
    <w:rsid w:val="00F31146"/>
    <w:rsid w:val="00F31350"/>
    <w:rsid w:val="00F31786"/>
    <w:rsid w:val="00F31A3E"/>
    <w:rsid w:val="00F31E46"/>
    <w:rsid w:val="00F32E89"/>
    <w:rsid w:val="00F337A1"/>
    <w:rsid w:val="00F33ED8"/>
    <w:rsid w:val="00F34A92"/>
    <w:rsid w:val="00F34E83"/>
    <w:rsid w:val="00F350FC"/>
    <w:rsid w:val="00F36636"/>
    <w:rsid w:val="00F36A57"/>
    <w:rsid w:val="00F36E9B"/>
    <w:rsid w:val="00F37601"/>
    <w:rsid w:val="00F378AD"/>
    <w:rsid w:val="00F41245"/>
    <w:rsid w:val="00F4289E"/>
    <w:rsid w:val="00F42E93"/>
    <w:rsid w:val="00F42FAE"/>
    <w:rsid w:val="00F43350"/>
    <w:rsid w:val="00F45566"/>
    <w:rsid w:val="00F45B16"/>
    <w:rsid w:val="00F47361"/>
    <w:rsid w:val="00F47D56"/>
    <w:rsid w:val="00F47F57"/>
    <w:rsid w:val="00F50119"/>
    <w:rsid w:val="00F501A7"/>
    <w:rsid w:val="00F506C6"/>
    <w:rsid w:val="00F50B88"/>
    <w:rsid w:val="00F50BEA"/>
    <w:rsid w:val="00F50E61"/>
    <w:rsid w:val="00F517B8"/>
    <w:rsid w:val="00F52038"/>
    <w:rsid w:val="00F52321"/>
    <w:rsid w:val="00F52E42"/>
    <w:rsid w:val="00F53088"/>
    <w:rsid w:val="00F530B3"/>
    <w:rsid w:val="00F53874"/>
    <w:rsid w:val="00F54059"/>
    <w:rsid w:val="00F54A19"/>
    <w:rsid w:val="00F54DB7"/>
    <w:rsid w:val="00F54DBF"/>
    <w:rsid w:val="00F5596A"/>
    <w:rsid w:val="00F5597F"/>
    <w:rsid w:val="00F5599C"/>
    <w:rsid w:val="00F55D2B"/>
    <w:rsid w:val="00F562FD"/>
    <w:rsid w:val="00F5640A"/>
    <w:rsid w:val="00F568E6"/>
    <w:rsid w:val="00F56CDF"/>
    <w:rsid w:val="00F5755C"/>
    <w:rsid w:val="00F57C4B"/>
    <w:rsid w:val="00F6013E"/>
    <w:rsid w:val="00F6061C"/>
    <w:rsid w:val="00F60AA9"/>
    <w:rsid w:val="00F6181E"/>
    <w:rsid w:val="00F61B0D"/>
    <w:rsid w:val="00F62725"/>
    <w:rsid w:val="00F62869"/>
    <w:rsid w:val="00F635C7"/>
    <w:rsid w:val="00F6374B"/>
    <w:rsid w:val="00F63BB0"/>
    <w:rsid w:val="00F63C42"/>
    <w:rsid w:val="00F63CDD"/>
    <w:rsid w:val="00F65937"/>
    <w:rsid w:val="00F65A87"/>
    <w:rsid w:val="00F66524"/>
    <w:rsid w:val="00F665B8"/>
    <w:rsid w:val="00F66ABE"/>
    <w:rsid w:val="00F66F92"/>
    <w:rsid w:val="00F67247"/>
    <w:rsid w:val="00F67777"/>
    <w:rsid w:val="00F67A5A"/>
    <w:rsid w:val="00F70437"/>
    <w:rsid w:val="00F70640"/>
    <w:rsid w:val="00F71A5A"/>
    <w:rsid w:val="00F71A5F"/>
    <w:rsid w:val="00F71ED3"/>
    <w:rsid w:val="00F73B84"/>
    <w:rsid w:val="00F745F0"/>
    <w:rsid w:val="00F74A75"/>
    <w:rsid w:val="00F752FB"/>
    <w:rsid w:val="00F75370"/>
    <w:rsid w:val="00F754CB"/>
    <w:rsid w:val="00F75977"/>
    <w:rsid w:val="00F77E70"/>
    <w:rsid w:val="00F802FB"/>
    <w:rsid w:val="00F806A3"/>
    <w:rsid w:val="00F8094B"/>
    <w:rsid w:val="00F80EFE"/>
    <w:rsid w:val="00F82376"/>
    <w:rsid w:val="00F82A0B"/>
    <w:rsid w:val="00F82C64"/>
    <w:rsid w:val="00F82E73"/>
    <w:rsid w:val="00F8376C"/>
    <w:rsid w:val="00F8387B"/>
    <w:rsid w:val="00F83DEE"/>
    <w:rsid w:val="00F84BF1"/>
    <w:rsid w:val="00F869A4"/>
    <w:rsid w:val="00F86B40"/>
    <w:rsid w:val="00F87A13"/>
    <w:rsid w:val="00F902A3"/>
    <w:rsid w:val="00F90590"/>
    <w:rsid w:val="00F917FB"/>
    <w:rsid w:val="00F92681"/>
    <w:rsid w:val="00F92755"/>
    <w:rsid w:val="00F93879"/>
    <w:rsid w:val="00F939F7"/>
    <w:rsid w:val="00F94F28"/>
    <w:rsid w:val="00F955A4"/>
    <w:rsid w:val="00F95BBA"/>
    <w:rsid w:val="00F95C0A"/>
    <w:rsid w:val="00F95C3F"/>
    <w:rsid w:val="00F962F2"/>
    <w:rsid w:val="00F97D67"/>
    <w:rsid w:val="00FA035C"/>
    <w:rsid w:val="00FA1302"/>
    <w:rsid w:val="00FA13A7"/>
    <w:rsid w:val="00FA13F1"/>
    <w:rsid w:val="00FA1E1C"/>
    <w:rsid w:val="00FA2A32"/>
    <w:rsid w:val="00FA2F31"/>
    <w:rsid w:val="00FA302B"/>
    <w:rsid w:val="00FA4C68"/>
    <w:rsid w:val="00FA4F7E"/>
    <w:rsid w:val="00FA51CA"/>
    <w:rsid w:val="00FA5268"/>
    <w:rsid w:val="00FA5CDD"/>
    <w:rsid w:val="00FA6894"/>
    <w:rsid w:val="00FA689A"/>
    <w:rsid w:val="00FA6ADC"/>
    <w:rsid w:val="00FA73CD"/>
    <w:rsid w:val="00FA791D"/>
    <w:rsid w:val="00FA7CBE"/>
    <w:rsid w:val="00FB0466"/>
    <w:rsid w:val="00FB0499"/>
    <w:rsid w:val="00FB06DF"/>
    <w:rsid w:val="00FB0868"/>
    <w:rsid w:val="00FB099D"/>
    <w:rsid w:val="00FB1150"/>
    <w:rsid w:val="00FB19B4"/>
    <w:rsid w:val="00FB202E"/>
    <w:rsid w:val="00FB2660"/>
    <w:rsid w:val="00FB277D"/>
    <w:rsid w:val="00FB29F1"/>
    <w:rsid w:val="00FB35CA"/>
    <w:rsid w:val="00FB407B"/>
    <w:rsid w:val="00FB4908"/>
    <w:rsid w:val="00FB4F6B"/>
    <w:rsid w:val="00FB4F6C"/>
    <w:rsid w:val="00FB576A"/>
    <w:rsid w:val="00FB5B43"/>
    <w:rsid w:val="00FB5F55"/>
    <w:rsid w:val="00FB6411"/>
    <w:rsid w:val="00FB64EA"/>
    <w:rsid w:val="00FB6878"/>
    <w:rsid w:val="00FB6D19"/>
    <w:rsid w:val="00FC031A"/>
    <w:rsid w:val="00FC051C"/>
    <w:rsid w:val="00FC0681"/>
    <w:rsid w:val="00FC149D"/>
    <w:rsid w:val="00FC2713"/>
    <w:rsid w:val="00FC36E5"/>
    <w:rsid w:val="00FC373D"/>
    <w:rsid w:val="00FC3820"/>
    <w:rsid w:val="00FC4CAC"/>
    <w:rsid w:val="00FC5AF7"/>
    <w:rsid w:val="00FC60CF"/>
    <w:rsid w:val="00FC668C"/>
    <w:rsid w:val="00FC76AC"/>
    <w:rsid w:val="00FC76DC"/>
    <w:rsid w:val="00FD084E"/>
    <w:rsid w:val="00FD0CCF"/>
    <w:rsid w:val="00FD119A"/>
    <w:rsid w:val="00FD164D"/>
    <w:rsid w:val="00FD2053"/>
    <w:rsid w:val="00FD313A"/>
    <w:rsid w:val="00FD33B0"/>
    <w:rsid w:val="00FD372F"/>
    <w:rsid w:val="00FD38E0"/>
    <w:rsid w:val="00FD3B92"/>
    <w:rsid w:val="00FD3E03"/>
    <w:rsid w:val="00FD3E45"/>
    <w:rsid w:val="00FD436B"/>
    <w:rsid w:val="00FD4B64"/>
    <w:rsid w:val="00FD5CF5"/>
    <w:rsid w:val="00FD5F6F"/>
    <w:rsid w:val="00FD607D"/>
    <w:rsid w:val="00FD68FA"/>
    <w:rsid w:val="00FD70D0"/>
    <w:rsid w:val="00FE0635"/>
    <w:rsid w:val="00FE075A"/>
    <w:rsid w:val="00FE0A9E"/>
    <w:rsid w:val="00FE0AEA"/>
    <w:rsid w:val="00FE1D00"/>
    <w:rsid w:val="00FE21E9"/>
    <w:rsid w:val="00FE300D"/>
    <w:rsid w:val="00FE4AA7"/>
    <w:rsid w:val="00FE58AD"/>
    <w:rsid w:val="00FE61D8"/>
    <w:rsid w:val="00FE646B"/>
    <w:rsid w:val="00FE6957"/>
    <w:rsid w:val="00FE69E8"/>
    <w:rsid w:val="00FE6FBA"/>
    <w:rsid w:val="00FE704A"/>
    <w:rsid w:val="00FF040E"/>
    <w:rsid w:val="00FF0ACC"/>
    <w:rsid w:val="00FF17A0"/>
    <w:rsid w:val="00FF23F7"/>
    <w:rsid w:val="00FF24F5"/>
    <w:rsid w:val="00FF2895"/>
    <w:rsid w:val="00FF3013"/>
    <w:rsid w:val="00FF39EA"/>
    <w:rsid w:val="00FF3AB7"/>
    <w:rsid w:val="00FF4056"/>
    <w:rsid w:val="00FF40EC"/>
    <w:rsid w:val="00FF4A2D"/>
    <w:rsid w:val="00FF56DF"/>
    <w:rsid w:val="00FF6D1F"/>
    <w:rsid w:val="00FF71D5"/>
    <w:rsid w:val="00FF71EB"/>
    <w:rsid w:val="00FF7518"/>
    <w:rsid w:val="00FF785A"/>
    <w:rsid w:val="00FF7BF1"/>
    <w:rsid w:val="00FF7DDD"/>
    <w:rsid w:val="00FF7E92"/>
  </w:rsids>
  <m:mathPr>
    <m:mathFont m:val="Cambria Math"/>
    <m:brkBin m:val="before"/>
    <m:brkBinSub m:val="--"/>
    <m:smallFrac m:val="off"/>
    <m:dispDef/>
    <m:lMargin m:val="0"/>
    <m:rMargin m:val="0"/>
    <m:defJc m:val="centerGroup"/>
    <m:wrapIndent m:val="1440"/>
    <m:intLim m:val="subSup"/>
    <m:naryLim m:val="undOvr"/>
  </m:mathPr>
  <w:uiCompat97To2003/>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8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cs-CZ" w:eastAsia="cs-CZ"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uiPriority="0"/>
    <w:lsdException w:name="index 2" w:locked="1" w:uiPriority="0"/>
    <w:lsdException w:name="index 3" w:locked="1" w:uiPriority="0"/>
    <w:lsdException w:name="index 4" w:locked="1" w:uiPriority="0"/>
    <w:lsdException w:name="index 5" w:locked="1" w:uiPriority="0"/>
    <w:lsdException w:name="index 6" w:locked="1" w:uiPriority="0"/>
    <w:lsdException w:name="index 7" w:locked="1" w:uiPriority="0"/>
    <w:lsdException w:name="index 8" w:locked="1" w:uiPriority="0"/>
    <w:lsdException w:name="index 9" w:locked="1" w:uiPriority="0"/>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locked="1" w:uiPriority="0"/>
    <w:lsdException w:name="header" w:locked="1" w:uiPriority="0"/>
    <w:lsdException w:name="footer" w:semiHidden="1" w:unhideWhenUsed="1"/>
    <w:lsdException w:name="index heading" w:locked="1" w:uiPriority="0"/>
    <w:lsdException w:name="caption" w:locked="1" w:uiPriority="0" w:qFormat="1"/>
    <w:lsdException w:name="table of figures" w:locked="1" w:uiPriority="0"/>
    <w:lsdException w:name="envelope address" w:semiHidden="1" w:unhideWhenUsed="1"/>
    <w:lsdException w:name="envelope return" w:semiHidden="1" w:unhideWhenUsed="1"/>
    <w:lsdException w:name="footnote reference" w:locked="1" w:uiPriority="0"/>
    <w:lsdException w:name="annotation reference" w:locked="1" w:uiPriority="0"/>
    <w:lsdException w:name="line number" w:semiHidden="1" w:unhideWhenUsed="1"/>
    <w:lsdException w:name="page number" w:semiHidden="1" w:unhideWhenUsed="1"/>
    <w:lsdException w:name="endnote reference" w:locked="1" w:uiPriority="0"/>
    <w:lsdException w:name="endnote text" w:locked="1" w:uiPriority="0"/>
    <w:lsdException w:name="table of authorities" w:locked="1" w:uiPriority="0"/>
    <w:lsdException w:name="macro" w:locked="1" w:uiPriority="0"/>
    <w:lsdException w:name="toa heading" w:locked="1" w:uiPriority="0"/>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locked="1" w:uiPriority="0"/>
    <w:lsdException w:name="Plain Text" w:semiHidden="1" w:unhideWhenUsed="1"/>
    <w:lsdException w:name="E-mail Signature" w:semiHidden="1" w:unhideWhenUsed="1"/>
    <w:lsdException w:name="HTML Top of Form" w:locked="1" w:uiPriority="0"/>
    <w:lsdException w:name="HTML Bottom of Form" w:locked="1" w:uiPriority="0"/>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1" w:uiPriority="0"/>
    <w:lsdException w:name="annotation subject" w:locked="1" w:uiPriority="0"/>
    <w:lsdException w:name="No List" w:locked="1" w:uiPriority="0"/>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DB4980"/>
    <w:pPr>
      <w:spacing w:after="60" w:line="264" w:lineRule="auto"/>
      <w:jc w:val="both"/>
    </w:pPr>
    <w:rPr>
      <w:rFonts w:ascii="Tahoma" w:hAnsi="Tahoma" w:cs="MetaPro-Normal"/>
      <w:sz w:val="20"/>
      <w:szCs w:val="20"/>
      <w:lang w:eastAsia="en-US"/>
    </w:rPr>
  </w:style>
  <w:style w:type="paragraph" w:styleId="Heading1">
    <w:name w:val="heading 1"/>
    <w:basedOn w:val="Normal"/>
    <w:next w:val="Normal"/>
    <w:link w:val="Heading1Char"/>
    <w:autoRedefine/>
    <w:uiPriority w:val="99"/>
    <w:qFormat/>
    <w:rsid w:val="00561533"/>
    <w:pPr>
      <w:keepNext/>
      <w:pageBreakBefore/>
      <w:numPr>
        <w:numId w:val="34"/>
      </w:numPr>
      <w:spacing w:after="240"/>
      <w:outlineLvl w:val="0"/>
    </w:pPr>
    <w:rPr>
      <w:b/>
      <w:bCs/>
      <w:sz w:val="28"/>
      <w:szCs w:val="22"/>
    </w:rPr>
  </w:style>
  <w:style w:type="paragraph" w:styleId="Heading2">
    <w:name w:val="heading 2"/>
    <w:basedOn w:val="Normal"/>
    <w:next w:val="Normal"/>
    <w:link w:val="Heading2Char"/>
    <w:autoRedefine/>
    <w:uiPriority w:val="99"/>
    <w:qFormat/>
    <w:rsid w:val="00FC668C"/>
    <w:pPr>
      <w:keepNext/>
      <w:numPr>
        <w:ilvl w:val="1"/>
        <w:numId w:val="34"/>
      </w:numPr>
      <w:spacing w:after="120"/>
      <w:outlineLvl w:val="1"/>
    </w:pPr>
    <w:rPr>
      <w:b/>
      <w:sz w:val="24"/>
      <w:szCs w:val="22"/>
    </w:rPr>
  </w:style>
  <w:style w:type="paragraph" w:styleId="Heading3">
    <w:name w:val="heading 3"/>
    <w:basedOn w:val="Normal"/>
    <w:next w:val="Normal"/>
    <w:link w:val="Heading3Char"/>
    <w:autoRedefine/>
    <w:uiPriority w:val="99"/>
    <w:qFormat/>
    <w:rsid w:val="003C6E2E"/>
    <w:pPr>
      <w:keepNext/>
      <w:spacing w:before="240"/>
      <w:outlineLvl w:val="2"/>
    </w:pPr>
    <w:rPr>
      <w:b/>
      <w:szCs w:val="22"/>
    </w:rPr>
  </w:style>
  <w:style w:type="paragraph" w:styleId="Heading4">
    <w:name w:val="heading 4"/>
    <w:basedOn w:val="Normal"/>
    <w:next w:val="Normal"/>
    <w:link w:val="Heading4Char"/>
    <w:autoRedefine/>
    <w:uiPriority w:val="99"/>
    <w:qFormat/>
    <w:rsid w:val="00DB4980"/>
    <w:pPr>
      <w:spacing w:before="240"/>
      <w:outlineLvl w:val="3"/>
    </w:pPr>
    <w:rPr>
      <w:rFonts w:cs="Tahoma"/>
      <w:i/>
      <w:lang w:eastAsia="cs-CZ"/>
    </w:rPr>
  </w:style>
  <w:style w:type="paragraph" w:styleId="Heading5">
    <w:name w:val="heading 5"/>
    <w:basedOn w:val="Normal"/>
    <w:next w:val="Normal"/>
    <w:link w:val="Heading5Char"/>
    <w:autoRedefine/>
    <w:uiPriority w:val="99"/>
    <w:qFormat/>
    <w:rsid w:val="00B34689"/>
    <w:pPr>
      <w:numPr>
        <w:ilvl w:val="4"/>
        <w:numId w:val="34"/>
      </w:numPr>
      <w:pBdr>
        <w:bottom w:val="single" w:sz="6" w:space="1" w:color="4F81BD"/>
      </w:pBdr>
      <w:outlineLvl w:val="4"/>
    </w:pPr>
    <w:rPr>
      <w:caps/>
      <w:color w:val="365F91"/>
      <w:spacing w:val="10"/>
      <w:szCs w:val="22"/>
    </w:rPr>
  </w:style>
  <w:style w:type="paragraph" w:styleId="Heading6">
    <w:name w:val="heading 6"/>
    <w:basedOn w:val="Normal"/>
    <w:next w:val="Normal"/>
    <w:link w:val="Heading6Char"/>
    <w:uiPriority w:val="99"/>
    <w:qFormat/>
    <w:rsid w:val="00A208F9"/>
    <w:pPr>
      <w:numPr>
        <w:ilvl w:val="5"/>
        <w:numId w:val="34"/>
      </w:numPr>
      <w:pBdr>
        <w:bottom w:val="dotted" w:sz="6" w:space="1" w:color="4F81BD"/>
      </w:pBdr>
      <w:spacing w:before="300"/>
      <w:outlineLvl w:val="5"/>
    </w:pPr>
    <w:rPr>
      <w:caps/>
      <w:color w:val="365F91"/>
      <w:spacing w:val="10"/>
      <w:szCs w:val="22"/>
    </w:rPr>
  </w:style>
  <w:style w:type="paragraph" w:styleId="Heading7">
    <w:name w:val="heading 7"/>
    <w:basedOn w:val="Normal"/>
    <w:next w:val="Normal"/>
    <w:link w:val="Heading7Char"/>
    <w:uiPriority w:val="99"/>
    <w:qFormat/>
    <w:rsid w:val="00A208F9"/>
    <w:pPr>
      <w:numPr>
        <w:ilvl w:val="6"/>
        <w:numId w:val="34"/>
      </w:numPr>
      <w:spacing w:before="300"/>
      <w:outlineLvl w:val="6"/>
    </w:pPr>
    <w:rPr>
      <w:caps/>
      <w:color w:val="365F91"/>
      <w:spacing w:val="10"/>
      <w:szCs w:val="22"/>
    </w:rPr>
  </w:style>
  <w:style w:type="paragraph" w:styleId="Heading8">
    <w:name w:val="heading 8"/>
    <w:basedOn w:val="Normal"/>
    <w:next w:val="Normal"/>
    <w:link w:val="Heading8Char"/>
    <w:uiPriority w:val="99"/>
    <w:qFormat/>
    <w:rsid w:val="00A208F9"/>
    <w:pPr>
      <w:numPr>
        <w:ilvl w:val="7"/>
        <w:numId w:val="34"/>
      </w:numPr>
      <w:spacing w:before="300"/>
      <w:outlineLvl w:val="7"/>
    </w:pPr>
    <w:rPr>
      <w:caps/>
      <w:spacing w:val="10"/>
      <w:sz w:val="18"/>
      <w:szCs w:val="18"/>
    </w:rPr>
  </w:style>
  <w:style w:type="paragraph" w:styleId="Heading9">
    <w:name w:val="heading 9"/>
    <w:basedOn w:val="Normal"/>
    <w:next w:val="Normal"/>
    <w:link w:val="Heading9Char"/>
    <w:uiPriority w:val="99"/>
    <w:qFormat/>
    <w:rsid w:val="00A208F9"/>
    <w:pPr>
      <w:numPr>
        <w:ilvl w:val="8"/>
        <w:numId w:val="34"/>
      </w:numPr>
      <w:spacing w:before="300"/>
      <w:outlineLvl w:val="8"/>
    </w:pPr>
    <w:rPr>
      <w:i/>
      <w:caps/>
      <w:spacing w:val="10"/>
      <w:sz w:val="18"/>
      <w:szCs w:val="1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61533"/>
    <w:rPr>
      <w:rFonts w:ascii="Tahoma" w:hAnsi="Tahoma" w:cs="MetaPro-Normal"/>
      <w:b/>
      <w:bCs/>
      <w:sz w:val="28"/>
      <w:lang w:eastAsia="en-US"/>
    </w:rPr>
  </w:style>
  <w:style w:type="character" w:customStyle="1" w:styleId="Heading2Char">
    <w:name w:val="Heading 2 Char"/>
    <w:basedOn w:val="DefaultParagraphFont"/>
    <w:link w:val="Heading2"/>
    <w:uiPriority w:val="99"/>
    <w:locked/>
    <w:rsid w:val="00FC668C"/>
    <w:rPr>
      <w:rFonts w:ascii="Tahoma" w:hAnsi="Tahoma" w:cs="MetaPro-Normal"/>
      <w:b/>
      <w:sz w:val="24"/>
      <w:lang w:eastAsia="en-US"/>
    </w:rPr>
  </w:style>
  <w:style w:type="character" w:customStyle="1" w:styleId="Heading3Char">
    <w:name w:val="Heading 3 Char"/>
    <w:basedOn w:val="DefaultParagraphFont"/>
    <w:link w:val="Heading3"/>
    <w:uiPriority w:val="99"/>
    <w:locked/>
    <w:rsid w:val="003C6E2E"/>
    <w:rPr>
      <w:rFonts w:ascii="Tahoma" w:hAnsi="Tahoma" w:cs="MetaPro-Normal"/>
      <w:b/>
      <w:sz w:val="20"/>
      <w:lang w:val="cs-CZ"/>
    </w:rPr>
  </w:style>
  <w:style w:type="character" w:customStyle="1" w:styleId="Heading4Char">
    <w:name w:val="Heading 4 Char"/>
    <w:basedOn w:val="DefaultParagraphFont"/>
    <w:link w:val="Heading4"/>
    <w:uiPriority w:val="99"/>
    <w:locked/>
    <w:rsid w:val="00DB4980"/>
    <w:rPr>
      <w:rFonts w:ascii="Tahoma" w:eastAsia="Times New Roman" w:hAnsi="Tahoma" w:cs="Tahoma"/>
      <w:i/>
      <w:sz w:val="20"/>
      <w:szCs w:val="20"/>
      <w:lang w:val="cs-CZ" w:eastAsia="cs-CZ" w:bidi="ar-SA"/>
    </w:rPr>
  </w:style>
  <w:style w:type="character" w:customStyle="1" w:styleId="Heading5Char">
    <w:name w:val="Heading 5 Char"/>
    <w:basedOn w:val="DefaultParagraphFont"/>
    <w:link w:val="Heading5"/>
    <w:uiPriority w:val="99"/>
    <w:locked/>
    <w:rsid w:val="00B34689"/>
    <w:rPr>
      <w:rFonts w:ascii="Tahoma" w:hAnsi="Tahoma" w:cs="MetaPro-Normal"/>
      <w:caps/>
      <w:color w:val="365F91"/>
      <w:spacing w:val="10"/>
      <w:sz w:val="20"/>
      <w:lang w:eastAsia="en-US"/>
    </w:rPr>
  </w:style>
  <w:style w:type="character" w:customStyle="1" w:styleId="Heading6Char">
    <w:name w:val="Heading 6 Char"/>
    <w:basedOn w:val="DefaultParagraphFont"/>
    <w:link w:val="Heading6"/>
    <w:uiPriority w:val="99"/>
    <w:locked/>
    <w:rsid w:val="00A208F9"/>
    <w:rPr>
      <w:rFonts w:ascii="Tahoma" w:hAnsi="Tahoma" w:cs="MetaPro-Normal"/>
      <w:caps/>
      <w:color w:val="365F91"/>
      <w:spacing w:val="10"/>
      <w:sz w:val="20"/>
      <w:lang w:eastAsia="en-US"/>
    </w:rPr>
  </w:style>
  <w:style w:type="character" w:customStyle="1" w:styleId="Heading7Char">
    <w:name w:val="Heading 7 Char"/>
    <w:basedOn w:val="DefaultParagraphFont"/>
    <w:link w:val="Heading7"/>
    <w:uiPriority w:val="99"/>
    <w:locked/>
    <w:rsid w:val="00A208F9"/>
    <w:rPr>
      <w:rFonts w:ascii="Tahoma" w:hAnsi="Tahoma" w:cs="MetaPro-Normal"/>
      <w:caps/>
      <w:color w:val="365F91"/>
      <w:spacing w:val="10"/>
      <w:sz w:val="20"/>
      <w:lang w:eastAsia="en-US"/>
    </w:rPr>
  </w:style>
  <w:style w:type="character" w:customStyle="1" w:styleId="Heading8Char">
    <w:name w:val="Heading 8 Char"/>
    <w:basedOn w:val="DefaultParagraphFont"/>
    <w:link w:val="Heading8"/>
    <w:uiPriority w:val="99"/>
    <w:locked/>
    <w:rsid w:val="00A208F9"/>
    <w:rPr>
      <w:rFonts w:ascii="Tahoma" w:hAnsi="Tahoma" w:cs="MetaPro-Normal"/>
      <w:caps/>
      <w:spacing w:val="10"/>
      <w:sz w:val="18"/>
      <w:szCs w:val="18"/>
      <w:lang w:eastAsia="en-US"/>
    </w:rPr>
  </w:style>
  <w:style w:type="character" w:customStyle="1" w:styleId="Heading9Char">
    <w:name w:val="Heading 9 Char"/>
    <w:basedOn w:val="DefaultParagraphFont"/>
    <w:link w:val="Heading9"/>
    <w:uiPriority w:val="99"/>
    <w:locked/>
    <w:rsid w:val="00A208F9"/>
    <w:rPr>
      <w:rFonts w:ascii="Tahoma" w:hAnsi="Tahoma" w:cs="MetaPro-Normal"/>
      <w:i/>
      <w:caps/>
      <w:spacing w:val="10"/>
      <w:sz w:val="18"/>
      <w:szCs w:val="18"/>
      <w:lang w:eastAsia="en-US"/>
    </w:rPr>
  </w:style>
  <w:style w:type="paragraph" w:customStyle="1" w:styleId="TCtitle">
    <w:name w:val="TC_title"/>
    <w:basedOn w:val="Normal"/>
    <w:next w:val="Normal"/>
    <w:autoRedefine/>
    <w:uiPriority w:val="99"/>
    <w:rsid w:val="002711A9"/>
    <w:pPr>
      <w:jc w:val="center"/>
    </w:pPr>
    <w:rPr>
      <w:caps/>
      <w:color w:val="008CCD"/>
      <w:sz w:val="52"/>
    </w:rPr>
  </w:style>
  <w:style w:type="character" w:styleId="PageNumber">
    <w:name w:val="page number"/>
    <w:basedOn w:val="DefaultParagraphFont"/>
    <w:uiPriority w:val="99"/>
    <w:semiHidden/>
    <w:rsid w:val="00341714"/>
    <w:rPr>
      <w:rFonts w:cs="Times New Roman"/>
    </w:rPr>
  </w:style>
  <w:style w:type="paragraph" w:customStyle="1" w:styleId="TCsubtitle">
    <w:name w:val="TC_subtitle"/>
    <w:basedOn w:val="Normal"/>
    <w:next w:val="Normal"/>
    <w:autoRedefine/>
    <w:uiPriority w:val="99"/>
    <w:rsid w:val="002711A9"/>
    <w:rPr>
      <w:b/>
      <w:color w:val="00416E"/>
      <w:sz w:val="28"/>
    </w:rPr>
  </w:style>
  <w:style w:type="paragraph" w:customStyle="1" w:styleId="Odrky">
    <w:name w:val="Odrážky"/>
    <w:basedOn w:val="Normal"/>
    <w:link w:val="OdrkyChar"/>
    <w:autoRedefine/>
    <w:uiPriority w:val="99"/>
    <w:rsid w:val="000E3106"/>
    <w:pPr>
      <w:numPr>
        <w:numId w:val="21"/>
      </w:numPr>
      <w:ind w:left="426" w:right="-1" w:hanging="284"/>
      <w:contextualSpacing/>
    </w:pPr>
  </w:style>
  <w:style w:type="character" w:customStyle="1" w:styleId="OdrkyChar">
    <w:name w:val="Odrážky Char"/>
    <w:basedOn w:val="DefaultParagraphFont"/>
    <w:link w:val="Odrky"/>
    <w:uiPriority w:val="99"/>
    <w:locked/>
    <w:rsid w:val="000E3106"/>
    <w:rPr>
      <w:rFonts w:ascii="Tahoma" w:hAnsi="Tahoma" w:cs="MetaPro-Normal"/>
      <w:sz w:val="20"/>
      <w:szCs w:val="20"/>
      <w:lang w:eastAsia="en-US"/>
    </w:rPr>
  </w:style>
  <w:style w:type="paragraph" w:styleId="HTMLAddress">
    <w:name w:val="HTML Address"/>
    <w:basedOn w:val="Normal"/>
    <w:link w:val="HTMLAddressChar"/>
    <w:uiPriority w:val="99"/>
    <w:semiHidden/>
    <w:rsid w:val="004A20BB"/>
    <w:rPr>
      <w:i/>
      <w:iCs/>
    </w:rPr>
  </w:style>
  <w:style w:type="character" w:customStyle="1" w:styleId="HTMLAddressChar">
    <w:name w:val="HTML Address Char"/>
    <w:basedOn w:val="DefaultParagraphFont"/>
    <w:link w:val="HTMLAddress"/>
    <w:uiPriority w:val="99"/>
    <w:semiHidden/>
    <w:rsid w:val="00B20C66"/>
    <w:rPr>
      <w:rFonts w:ascii="Tahoma" w:hAnsi="Tahoma" w:cs="MetaPro-Normal"/>
      <w:i/>
      <w:iCs/>
      <w:sz w:val="20"/>
      <w:szCs w:val="20"/>
      <w:lang w:eastAsia="en-US"/>
    </w:rPr>
  </w:style>
  <w:style w:type="paragraph" w:styleId="EnvelopeAddress">
    <w:name w:val="envelope address"/>
    <w:basedOn w:val="Normal"/>
    <w:uiPriority w:val="99"/>
    <w:semiHidden/>
    <w:rsid w:val="004A20BB"/>
    <w:pPr>
      <w:framePr w:w="7920" w:h="1980" w:hRule="exact" w:hSpace="141" w:wrap="auto" w:hAnchor="page" w:xAlign="center" w:yAlign="bottom"/>
      <w:ind w:left="2880"/>
    </w:pPr>
    <w:rPr>
      <w:rFonts w:cs="Arial"/>
      <w:sz w:val="24"/>
      <w:szCs w:val="24"/>
    </w:rPr>
  </w:style>
  <w:style w:type="character" w:styleId="HTMLAcronym">
    <w:name w:val="HTML Acronym"/>
    <w:basedOn w:val="DefaultParagraphFont"/>
    <w:uiPriority w:val="99"/>
    <w:semiHidden/>
    <w:rsid w:val="004A20BB"/>
    <w:rPr>
      <w:rFonts w:cs="Times New Roman"/>
    </w:rPr>
  </w:style>
  <w:style w:type="table" w:styleId="TableColorful1">
    <w:name w:val="Table Colorful 1"/>
    <w:basedOn w:val="TableNormal"/>
    <w:uiPriority w:val="99"/>
    <w:semiHidden/>
    <w:rsid w:val="004A20BB"/>
    <w:rPr>
      <w:color w:val="FFFFFF"/>
      <w:sz w:val="20"/>
      <w:szCs w:val="20"/>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rsid w:val="004A20BB"/>
    <w:rPr>
      <w:sz w:val="20"/>
      <w:szCs w:val="20"/>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rsid w:val="004A20BB"/>
    <w:rPr>
      <w:sz w:val="20"/>
      <w:szCs w:val="20"/>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character" w:styleId="HTMLCite">
    <w:name w:val="HTML Cite"/>
    <w:basedOn w:val="DefaultParagraphFont"/>
    <w:uiPriority w:val="99"/>
    <w:semiHidden/>
    <w:rsid w:val="004A20BB"/>
    <w:rPr>
      <w:rFonts w:cs="Times New Roman"/>
      <w:i/>
      <w:iCs/>
    </w:rPr>
  </w:style>
  <w:style w:type="character" w:styleId="LineNumber">
    <w:name w:val="line number"/>
    <w:basedOn w:val="DefaultParagraphFont"/>
    <w:uiPriority w:val="99"/>
    <w:semiHidden/>
    <w:rsid w:val="004A20BB"/>
    <w:rPr>
      <w:rFonts w:cs="Times New Roman"/>
    </w:rPr>
  </w:style>
  <w:style w:type="paragraph" w:styleId="ListNumber">
    <w:name w:val="List Number"/>
    <w:basedOn w:val="Normal"/>
    <w:uiPriority w:val="99"/>
    <w:semiHidden/>
    <w:rsid w:val="004A20BB"/>
    <w:pPr>
      <w:numPr>
        <w:numId w:val="12"/>
      </w:numPr>
      <w:tabs>
        <w:tab w:val="clear" w:pos="643"/>
        <w:tab w:val="num" w:pos="360"/>
      </w:tabs>
      <w:ind w:left="360"/>
    </w:pPr>
  </w:style>
  <w:style w:type="paragraph" w:styleId="ListNumber2">
    <w:name w:val="List Number 2"/>
    <w:basedOn w:val="Normal"/>
    <w:uiPriority w:val="99"/>
    <w:semiHidden/>
    <w:rsid w:val="004A20BB"/>
    <w:pPr>
      <w:numPr>
        <w:numId w:val="13"/>
      </w:numPr>
      <w:tabs>
        <w:tab w:val="clear" w:pos="926"/>
        <w:tab w:val="num" w:pos="643"/>
      </w:tabs>
      <w:ind w:left="643"/>
    </w:pPr>
  </w:style>
  <w:style w:type="paragraph" w:styleId="ListNumber3">
    <w:name w:val="List Number 3"/>
    <w:basedOn w:val="Normal"/>
    <w:uiPriority w:val="99"/>
    <w:semiHidden/>
    <w:rsid w:val="004A20BB"/>
    <w:pPr>
      <w:numPr>
        <w:numId w:val="14"/>
      </w:numPr>
      <w:tabs>
        <w:tab w:val="clear" w:pos="1209"/>
        <w:tab w:val="num" w:pos="926"/>
      </w:tabs>
      <w:ind w:left="926"/>
    </w:pPr>
  </w:style>
  <w:style w:type="paragraph" w:styleId="ListNumber4">
    <w:name w:val="List Number 4"/>
    <w:basedOn w:val="Normal"/>
    <w:uiPriority w:val="99"/>
    <w:semiHidden/>
    <w:rsid w:val="004A20BB"/>
    <w:pPr>
      <w:numPr>
        <w:numId w:val="15"/>
      </w:numPr>
      <w:tabs>
        <w:tab w:val="clear" w:pos="1492"/>
      </w:tabs>
      <w:ind w:left="432" w:hanging="432"/>
    </w:pPr>
  </w:style>
  <w:style w:type="paragraph" w:styleId="ListNumber5">
    <w:name w:val="List Number 5"/>
    <w:basedOn w:val="Normal"/>
    <w:uiPriority w:val="99"/>
    <w:semiHidden/>
    <w:rsid w:val="004A20BB"/>
    <w:pPr>
      <w:numPr>
        <w:numId w:val="16"/>
      </w:numPr>
      <w:tabs>
        <w:tab w:val="clear" w:pos="360"/>
        <w:tab w:val="num" w:pos="1492"/>
      </w:tabs>
      <w:ind w:left="1492"/>
    </w:pPr>
  </w:style>
  <w:style w:type="paragraph" w:styleId="Date">
    <w:name w:val="Date"/>
    <w:basedOn w:val="Normal"/>
    <w:next w:val="Normal"/>
    <w:link w:val="DateChar"/>
    <w:uiPriority w:val="99"/>
    <w:semiHidden/>
    <w:rsid w:val="004A20BB"/>
  </w:style>
  <w:style w:type="character" w:customStyle="1" w:styleId="DateChar">
    <w:name w:val="Date Char"/>
    <w:basedOn w:val="DefaultParagraphFont"/>
    <w:link w:val="Date"/>
    <w:uiPriority w:val="99"/>
    <w:semiHidden/>
    <w:rsid w:val="00B20C66"/>
    <w:rPr>
      <w:rFonts w:ascii="Tahoma" w:hAnsi="Tahoma" w:cs="MetaPro-Normal"/>
      <w:sz w:val="20"/>
      <w:szCs w:val="20"/>
      <w:lang w:eastAsia="en-US"/>
    </w:rPr>
  </w:style>
  <w:style w:type="character" w:styleId="HTMLDefinition">
    <w:name w:val="HTML Definition"/>
    <w:basedOn w:val="DefaultParagraphFont"/>
    <w:uiPriority w:val="99"/>
    <w:semiHidden/>
    <w:rsid w:val="004A20BB"/>
    <w:rPr>
      <w:rFonts w:cs="Times New Roman"/>
      <w:i/>
      <w:iCs/>
    </w:rPr>
  </w:style>
  <w:style w:type="table" w:styleId="TableElegant">
    <w:name w:val="Table Elegant"/>
    <w:basedOn w:val="TableNormal"/>
    <w:uiPriority w:val="99"/>
    <w:semiHidden/>
    <w:rsid w:val="004A20BB"/>
    <w:rPr>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paragraph" w:styleId="HTMLPreformatted">
    <w:name w:val="HTML Preformatted"/>
    <w:basedOn w:val="Normal"/>
    <w:link w:val="HTMLPreformattedChar"/>
    <w:uiPriority w:val="99"/>
    <w:semiHidden/>
    <w:rsid w:val="004A20BB"/>
    <w:rPr>
      <w:rFonts w:ascii="Courier New" w:hAnsi="Courier New" w:cs="Courier New"/>
    </w:rPr>
  </w:style>
  <w:style w:type="character" w:customStyle="1" w:styleId="HTMLPreformattedChar">
    <w:name w:val="HTML Preformatted Char"/>
    <w:basedOn w:val="DefaultParagraphFont"/>
    <w:link w:val="HTMLPreformatted"/>
    <w:uiPriority w:val="99"/>
    <w:semiHidden/>
    <w:rsid w:val="00B20C66"/>
    <w:rPr>
      <w:rFonts w:ascii="Courier New" w:hAnsi="Courier New" w:cs="Courier New"/>
      <w:sz w:val="20"/>
      <w:szCs w:val="20"/>
      <w:lang w:eastAsia="en-US"/>
    </w:rPr>
  </w:style>
  <w:style w:type="table" w:styleId="TableSimple1">
    <w:name w:val="Table Simple 1"/>
    <w:basedOn w:val="TableNormal"/>
    <w:uiPriority w:val="99"/>
    <w:semiHidden/>
    <w:rsid w:val="004A20BB"/>
    <w:rPr>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rsid w:val="004A20BB"/>
    <w:rPr>
      <w:sz w:val="20"/>
      <w:szCs w:val="20"/>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rsid w:val="004A20BB"/>
    <w:rPr>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TableClassic1">
    <w:name w:val="Table Classic 1"/>
    <w:basedOn w:val="TableNormal"/>
    <w:uiPriority w:val="99"/>
    <w:semiHidden/>
    <w:rsid w:val="004A20BB"/>
    <w:rPr>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2">
    <w:name w:val="Table Classic 2"/>
    <w:basedOn w:val="TableNormal"/>
    <w:uiPriority w:val="99"/>
    <w:semiHidden/>
    <w:rsid w:val="004A20BB"/>
    <w:rPr>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rsid w:val="004A20BB"/>
    <w:rPr>
      <w:color w:val="000080"/>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rsid w:val="004A20BB"/>
    <w:rPr>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character" w:styleId="HTMLKeyboard">
    <w:name w:val="HTML Keyboard"/>
    <w:basedOn w:val="DefaultParagraphFont"/>
    <w:uiPriority w:val="99"/>
    <w:semiHidden/>
    <w:rsid w:val="004A20BB"/>
    <w:rPr>
      <w:rFonts w:ascii="Courier New" w:hAnsi="Courier New" w:cs="Courier New"/>
      <w:sz w:val="20"/>
      <w:szCs w:val="20"/>
    </w:rPr>
  </w:style>
  <w:style w:type="character" w:styleId="HTMLCode">
    <w:name w:val="HTML Code"/>
    <w:basedOn w:val="DefaultParagraphFont"/>
    <w:uiPriority w:val="99"/>
    <w:semiHidden/>
    <w:rsid w:val="004A20BB"/>
    <w:rPr>
      <w:rFonts w:ascii="Courier New" w:hAnsi="Courier New" w:cs="Courier New"/>
      <w:sz w:val="20"/>
      <w:szCs w:val="20"/>
    </w:rPr>
  </w:style>
  <w:style w:type="table" w:styleId="TableContemporary">
    <w:name w:val="Table Contemporary"/>
    <w:basedOn w:val="TableNormal"/>
    <w:uiPriority w:val="99"/>
    <w:semiHidden/>
    <w:rsid w:val="004A20BB"/>
    <w:rPr>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Theme">
    <w:name w:val="Table Theme"/>
    <w:basedOn w:val="TableNormal"/>
    <w:uiPriority w:val="99"/>
    <w:semiHidden/>
    <w:rsid w:val="004A20BB"/>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
    <w:name w:val="Table Grid"/>
    <w:basedOn w:val="TableNormal"/>
    <w:uiPriority w:val="99"/>
    <w:rsid w:val="004A20BB"/>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uiPriority w:val="99"/>
    <w:semiHidden/>
    <w:rsid w:val="004A20BB"/>
    <w:rPr>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TableGrid2">
    <w:name w:val="Table Grid 2"/>
    <w:basedOn w:val="TableNormal"/>
    <w:uiPriority w:val="99"/>
    <w:semiHidden/>
    <w:rsid w:val="004A20BB"/>
    <w:rPr>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3">
    <w:name w:val="Table Grid 3"/>
    <w:basedOn w:val="TableNormal"/>
    <w:uiPriority w:val="99"/>
    <w:semiHidden/>
    <w:rsid w:val="004A20BB"/>
    <w:rPr>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4">
    <w:name w:val="Table Grid 4"/>
    <w:basedOn w:val="TableNormal"/>
    <w:uiPriority w:val="99"/>
    <w:semiHidden/>
    <w:rsid w:val="004A20BB"/>
    <w:rPr>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rsid w:val="004A20BB"/>
    <w:rPr>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6">
    <w:name w:val="Table Grid 6"/>
    <w:basedOn w:val="TableNormal"/>
    <w:uiPriority w:val="99"/>
    <w:semiHidden/>
    <w:rsid w:val="004A20BB"/>
    <w:rPr>
      <w:sz w:val="20"/>
      <w:szCs w:val="20"/>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7">
    <w:name w:val="Table Grid 7"/>
    <w:basedOn w:val="TableNormal"/>
    <w:uiPriority w:val="99"/>
    <w:semiHidden/>
    <w:rsid w:val="004A20BB"/>
    <w:rPr>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8">
    <w:name w:val="Table Grid 8"/>
    <w:basedOn w:val="TableNormal"/>
    <w:uiPriority w:val="99"/>
    <w:semiHidden/>
    <w:rsid w:val="004A20BB"/>
    <w:rPr>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styleId="NoteHeading">
    <w:name w:val="Note Heading"/>
    <w:basedOn w:val="Normal"/>
    <w:next w:val="Normal"/>
    <w:link w:val="NoteHeadingChar"/>
    <w:uiPriority w:val="99"/>
    <w:semiHidden/>
    <w:rsid w:val="004A20BB"/>
  </w:style>
  <w:style w:type="character" w:customStyle="1" w:styleId="NoteHeadingChar">
    <w:name w:val="Note Heading Char"/>
    <w:basedOn w:val="DefaultParagraphFont"/>
    <w:link w:val="NoteHeading"/>
    <w:uiPriority w:val="99"/>
    <w:semiHidden/>
    <w:rsid w:val="00B20C66"/>
    <w:rPr>
      <w:rFonts w:ascii="Tahoma" w:hAnsi="Tahoma" w:cs="MetaPro-Normal"/>
      <w:sz w:val="20"/>
      <w:szCs w:val="20"/>
      <w:lang w:eastAsia="en-US"/>
    </w:rPr>
  </w:style>
  <w:style w:type="paragraph" w:styleId="NormalWeb">
    <w:name w:val="Normal (Web)"/>
    <w:basedOn w:val="Normal"/>
    <w:uiPriority w:val="99"/>
    <w:semiHidden/>
    <w:rsid w:val="004A20BB"/>
    <w:rPr>
      <w:rFonts w:ascii="Times New Roman" w:hAnsi="Times New Roman"/>
      <w:sz w:val="24"/>
      <w:szCs w:val="24"/>
    </w:rPr>
  </w:style>
  <w:style w:type="paragraph" w:styleId="NormalIndent">
    <w:name w:val="Normal Indent"/>
    <w:basedOn w:val="Normal"/>
    <w:uiPriority w:val="99"/>
    <w:semiHidden/>
    <w:rsid w:val="004A20BB"/>
    <w:pPr>
      <w:ind w:left="708"/>
    </w:pPr>
  </w:style>
  <w:style w:type="paragraph" w:styleId="Salutation">
    <w:name w:val="Salutation"/>
    <w:basedOn w:val="Normal"/>
    <w:next w:val="Normal"/>
    <w:link w:val="SalutationChar"/>
    <w:uiPriority w:val="99"/>
    <w:semiHidden/>
    <w:rsid w:val="004A20BB"/>
  </w:style>
  <w:style w:type="character" w:customStyle="1" w:styleId="SalutationChar">
    <w:name w:val="Salutation Char"/>
    <w:basedOn w:val="DefaultParagraphFont"/>
    <w:link w:val="Salutation"/>
    <w:uiPriority w:val="99"/>
    <w:semiHidden/>
    <w:rsid w:val="00B20C66"/>
    <w:rPr>
      <w:rFonts w:ascii="Tahoma" w:hAnsi="Tahoma" w:cs="MetaPro-Normal"/>
      <w:sz w:val="20"/>
      <w:szCs w:val="20"/>
      <w:lang w:eastAsia="en-US"/>
    </w:rPr>
  </w:style>
  <w:style w:type="paragraph" w:styleId="Signature">
    <w:name w:val="Signature"/>
    <w:basedOn w:val="Normal"/>
    <w:link w:val="SignatureChar"/>
    <w:uiPriority w:val="99"/>
    <w:semiHidden/>
    <w:rsid w:val="004A20BB"/>
    <w:pPr>
      <w:ind w:left="4252"/>
    </w:pPr>
  </w:style>
  <w:style w:type="character" w:customStyle="1" w:styleId="SignatureChar">
    <w:name w:val="Signature Char"/>
    <w:basedOn w:val="DefaultParagraphFont"/>
    <w:link w:val="Signature"/>
    <w:uiPriority w:val="99"/>
    <w:semiHidden/>
    <w:rsid w:val="00B20C66"/>
    <w:rPr>
      <w:rFonts w:ascii="Tahoma" w:hAnsi="Tahoma" w:cs="MetaPro-Normal"/>
      <w:sz w:val="20"/>
      <w:szCs w:val="20"/>
      <w:lang w:eastAsia="en-US"/>
    </w:rPr>
  </w:style>
  <w:style w:type="paragraph" w:styleId="E-mailSignature">
    <w:name w:val="E-mail Signature"/>
    <w:basedOn w:val="Normal"/>
    <w:link w:val="E-mailSignatureChar"/>
    <w:uiPriority w:val="99"/>
    <w:semiHidden/>
    <w:rsid w:val="004A20BB"/>
  </w:style>
  <w:style w:type="character" w:customStyle="1" w:styleId="E-mailSignatureChar">
    <w:name w:val="E-mail Signature Char"/>
    <w:basedOn w:val="DefaultParagraphFont"/>
    <w:link w:val="E-mailSignature"/>
    <w:uiPriority w:val="99"/>
    <w:semiHidden/>
    <w:rsid w:val="00B20C66"/>
    <w:rPr>
      <w:rFonts w:ascii="Tahoma" w:hAnsi="Tahoma" w:cs="MetaPro-Normal"/>
      <w:sz w:val="20"/>
      <w:szCs w:val="20"/>
      <w:lang w:eastAsia="en-US"/>
    </w:rPr>
  </w:style>
  <w:style w:type="paragraph" w:styleId="ListContinue">
    <w:name w:val="List Continue"/>
    <w:basedOn w:val="Normal"/>
    <w:uiPriority w:val="99"/>
    <w:semiHidden/>
    <w:rsid w:val="004A20BB"/>
    <w:pPr>
      <w:ind w:left="283"/>
    </w:pPr>
  </w:style>
  <w:style w:type="paragraph" w:styleId="ListContinue2">
    <w:name w:val="List Continue 2"/>
    <w:basedOn w:val="Normal"/>
    <w:uiPriority w:val="99"/>
    <w:semiHidden/>
    <w:rsid w:val="004A20BB"/>
    <w:pPr>
      <w:ind w:left="566"/>
    </w:pPr>
  </w:style>
  <w:style w:type="paragraph" w:styleId="ListContinue3">
    <w:name w:val="List Continue 3"/>
    <w:basedOn w:val="Normal"/>
    <w:uiPriority w:val="99"/>
    <w:semiHidden/>
    <w:rsid w:val="004A20BB"/>
    <w:pPr>
      <w:ind w:left="849"/>
    </w:pPr>
  </w:style>
  <w:style w:type="paragraph" w:styleId="ListContinue4">
    <w:name w:val="List Continue 4"/>
    <w:basedOn w:val="Normal"/>
    <w:uiPriority w:val="99"/>
    <w:semiHidden/>
    <w:rsid w:val="004A20BB"/>
    <w:pPr>
      <w:ind w:left="1132"/>
    </w:pPr>
  </w:style>
  <w:style w:type="paragraph" w:styleId="ListContinue5">
    <w:name w:val="List Continue 5"/>
    <w:basedOn w:val="Normal"/>
    <w:uiPriority w:val="99"/>
    <w:semiHidden/>
    <w:rsid w:val="004A20BB"/>
    <w:pPr>
      <w:ind w:left="1415"/>
    </w:pPr>
  </w:style>
  <w:style w:type="table" w:styleId="TableProfessional">
    <w:name w:val="Table Professional"/>
    <w:basedOn w:val="TableNormal"/>
    <w:uiPriority w:val="99"/>
    <w:semiHidden/>
    <w:rsid w:val="004A20BB"/>
    <w:rPr>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character" w:styleId="HTMLVariable">
    <w:name w:val="HTML Variable"/>
    <w:basedOn w:val="DefaultParagraphFont"/>
    <w:uiPriority w:val="99"/>
    <w:semiHidden/>
    <w:rsid w:val="004A20BB"/>
    <w:rPr>
      <w:rFonts w:cs="Times New Roman"/>
      <w:i/>
      <w:iCs/>
    </w:rPr>
  </w:style>
  <w:style w:type="paragraph" w:styleId="PlainText">
    <w:name w:val="Plain Text"/>
    <w:basedOn w:val="Normal"/>
    <w:link w:val="PlainTextChar"/>
    <w:uiPriority w:val="99"/>
    <w:semiHidden/>
    <w:rsid w:val="004A20BB"/>
    <w:rPr>
      <w:rFonts w:ascii="Courier New" w:hAnsi="Courier New" w:cs="Courier New"/>
    </w:rPr>
  </w:style>
  <w:style w:type="character" w:customStyle="1" w:styleId="PlainTextChar">
    <w:name w:val="Plain Text Char"/>
    <w:basedOn w:val="DefaultParagraphFont"/>
    <w:link w:val="PlainText"/>
    <w:uiPriority w:val="99"/>
    <w:semiHidden/>
    <w:rsid w:val="00B20C66"/>
    <w:rPr>
      <w:rFonts w:ascii="Courier New" w:hAnsi="Courier New" w:cs="Courier New"/>
      <w:sz w:val="20"/>
      <w:szCs w:val="20"/>
      <w:lang w:eastAsia="en-US"/>
    </w:rPr>
  </w:style>
  <w:style w:type="character" w:styleId="HTMLTypewriter">
    <w:name w:val="HTML Typewriter"/>
    <w:basedOn w:val="DefaultParagraphFont"/>
    <w:uiPriority w:val="99"/>
    <w:semiHidden/>
    <w:rsid w:val="004A20BB"/>
    <w:rPr>
      <w:rFonts w:ascii="Courier New" w:hAnsi="Courier New" w:cs="Courier New"/>
      <w:sz w:val="20"/>
      <w:szCs w:val="20"/>
    </w:rPr>
  </w:style>
  <w:style w:type="paragraph" w:styleId="List">
    <w:name w:val="List"/>
    <w:basedOn w:val="Normal"/>
    <w:uiPriority w:val="99"/>
    <w:semiHidden/>
    <w:rsid w:val="004A20BB"/>
    <w:pPr>
      <w:ind w:left="283" w:hanging="283"/>
    </w:pPr>
  </w:style>
  <w:style w:type="paragraph" w:styleId="List2">
    <w:name w:val="List 2"/>
    <w:basedOn w:val="Normal"/>
    <w:uiPriority w:val="99"/>
    <w:semiHidden/>
    <w:rsid w:val="004A20BB"/>
    <w:pPr>
      <w:ind w:left="566" w:hanging="283"/>
    </w:pPr>
  </w:style>
  <w:style w:type="paragraph" w:styleId="List3">
    <w:name w:val="List 3"/>
    <w:basedOn w:val="Normal"/>
    <w:uiPriority w:val="99"/>
    <w:semiHidden/>
    <w:rsid w:val="004A20BB"/>
    <w:pPr>
      <w:ind w:left="849" w:hanging="283"/>
    </w:pPr>
  </w:style>
  <w:style w:type="paragraph" w:styleId="List4">
    <w:name w:val="List 4"/>
    <w:basedOn w:val="Normal"/>
    <w:uiPriority w:val="99"/>
    <w:semiHidden/>
    <w:rsid w:val="004A20BB"/>
    <w:pPr>
      <w:ind w:left="1132" w:hanging="283"/>
    </w:pPr>
  </w:style>
  <w:style w:type="paragraph" w:styleId="List5">
    <w:name w:val="List 5"/>
    <w:basedOn w:val="Normal"/>
    <w:uiPriority w:val="99"/>
    <w:semiHidden/>
    <w:rsid w:val="004A20BB"/>
    <w:pPr>
      <w:ind w:left="1415" w:hanging="283"/>
    </w:pPr>
  </w:style>
  <w:style w:type="paragraph" w:styleId="ListBullet">
    <w:name w:val="List Bullet"/>
    <w:basedOn w:val="Normal"/>
    <w:autoRedefine/>
    <w:uiPriority w:val="99"/>
    <w:semiHidden/>
    <w:rsid w:val="004A20BB"/>
    <w:pPr>
      <w:numPr>
        <w:numId w:val="17"/>
      </w:numPr>
      <w:tabs>
        <w:tab w:val="clear" w:pos="643"/>
        <w:tab w:val="num" w:pos="360"/>
      </w:tabs>
      <w:ind w:left="360"/>
    </w:pPr>
  </w:style>
  <w:style w:type="paragraph" w:styleId="ListBullet2">
    <w:name w:val="List Bullet 2"/>
    <w:basedOn w:val="Normal"/>
    <w:autoRedefine/>
    <w:uiPriority w:val="99"/>
    <w:semiHidden/>
    <w:rsid w:val="004A20BB"/>
    <w:pPr>
      <w:numPr>
        <w:numId w:val="18"/>
      </w:numPr>
      <w:tabs>
        <w:tab w:val="clear" w:pos="926"/>
        <w:tab w:val="num" w:pos="643"/>
      </w:tabs>
      <w:ind w:left="643"/>
    </w:pPr>
  </w:style>
  <w:style w:type="paragraph" w:styleId="ListBullet3">
    <w:name w:val="List Bullet 3"/>
    <w:basedOn w:val="Normal"/>
    <w:autoRedefine/>
    <w:uiPriority w:val="99"/>
    <w:semiHidden/>
    <w:rsid w:val="004A20BB"/>
    <w:pPr>
      <w:numPr>
        <w:numId w:val="19"/>
      </w:numPr>
      <w:tabs>
        <w:tab w:val="clear" w:pos="1209"/>
        <w:tab w:val="num" w:pos="926"/>
      </w:tabs>
      <w:ind w:left="926"/>
    </w:pPr>
  </w:style>
  <w:style w:type="paragraph" w:styleId="ListBullet4">
    <w:name w:val="List Bullet 4"/>
    <w:basedOn w:val="Normal"/>
    <w:autoRedefine/>
    <w:uiPriority w:val="99"/>
    <w:semiHidden/>
    <w:rsid w:val="004A20BB"/>
    <w:pPr>
      <w:numPr>
        <w:numId w:val="20"/>
      </w:numPr>
      <w:tabs>
        <w:tab w:val="clear" w:pos="1492"/>
        <w:tab w:val="num" w:pos="1209"/>
      </w:tabs>
      <w:ind w:left="1209"/>
    </w:pPr>
  </w:style>
  <w:style w:type="paragraph" w:styleId="ListBullet5">
    <w:name w:val="List Bullet 5"/>
    <w:basedOn w:val="Normal"/>
    <w:autoRedefine/>
    <w:uiPriority w:val="99"/>
    <w:semiHidden/>
    <w:rsid w:val="004A20BB"/>
    <w:pPr>
      <w:numPr>
        <w:numId w:val="21"/>
      </w:numPr>
      <w:tabs>
        <w:tab w:val="num" w:pos="1492"/>
      </w:tabs>
      <w:ind w:left="1492"/>
    </w:pPr>
  </w:style>
  <w:style w:type="character" w:styleId="FollowedHyperlink">
    <w:name w:val="FollowedHyperlink"/>
    <w:basedOn w:val="DefaultParagraphFont"/>
    <w:uiPriority w:val="99"/>
    <w:semiHidden/>
    <w:rsid w:val="004A20BB"/>
    <w:rPr>
      <w:rFonts w:cs="Times New Roman"/>
      <w:color w:val="800080"/>
      <w:u w:val="single"/>
    </w:rPr>
  </w:style>
  <w:style w:type="table" w:styleId="TableColumns1">
    <w:name w:val="Table Columns 1"/>
    <w:basedOn w:val="TableNormal"/>
    <w:uiPriority w:val="99"/>
    <w:semiHidden/>
    <w:rsid w:val="004A20BB"/>
    <w:rPr>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2">
    <w:name w:val="Table Columns 2"/>
    <w:basedOn w:val="TableNormal"/>
    <w:uiPriority w:val="99"/>
    <w:semiHidden/>
    <w:rsid w:val="004A20BB"/>
    <w:rPr>
      <w:b/>
      <w:bCs/>
      <w:sz w:val="20"/>
      <w:szCs w:val="20"/>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uiPriority w:val="99"/>
    <w:semiHidden/>
    <w:rsid w:val="004A20BB"/>
    <w:rPr>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lumns4">
    <w:name w:val="Table Columns 4"/>
    <w:basedOn w:val="TableNormal"/>
    <w:uiPriority w:val="99"/>
    <w:semiHidden/>
    <w:rsid w:val="004A20BB"/>
    <w:rPr>
      <w:sz w:val="20"/>
      <w:szCs w:val="20"/>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TableColumns5">
    <w:name w:val="Table Columns 5"/>
    <w:basedOn w:val="TableNormal"/>
    <w:uiPriority w:val="99"/>
    <w:semiHidden/>
    <w:rsid w:val="004A20BB"/>
    <w:rPr>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TableList1">
    <w:name w:val="Table List 1"/>
    <w:basedOn w:val="TableNormal"/>
    <w:uiPriority w:val="99"/>
    <w:semiHidden/>
    <w:rsid w:val="004A20BB"/>
    <w:rPr>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2">
    <w:name w:val="Table List 2"/>
    <w:basedOn w:val="TableNormal"/>
    <w:uiPriority w:val="99"/>
    <w:semiHidden/>
    <w:rsid w:val="004A20BB"/>
    <w:rPr>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uiPriority w:val="99"/>
    <w:semiHidden/>
    <w:rsid w:val="004A20BB"/>
    <w:rPr>
      <w:sz w:val="20"/>
      <w:szCs w:val="20"/>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rsid w:val="004A20BB"/>
    <w:rPr>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rsid w:val="004A20BB"/>
    <w:rPr>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TableList6">
    <w:name w:val="Table List 6"/>
    <w:basedOn w:val="TableNormal"/>
    <w:uiPriority w:val="99"/>
    <w:semiHidden/>
    <w:rsid w:val="004A20BB"/>
    <w:rPr>
      <w:sz w:val="20"/>
      <w:szCs w:val="20"/>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rsid w:val="004A20BB"/>
    <w:rPr>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rsid w:val="004A20BB"/>
    <w:rPr>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Table3Deffects1">
    <w:name w:val="Table 3D effects 1"/>
    <w:basedOn w:val="TableNormal"/>
    <w:uiPriority w:val="99"/>
    <w:semiHidden/>
    <w:rsid w:val="004A20BB"/>
    <w:rPr>
      <w:sz w:val="20"/>
      <w:szCs w:val="20"/>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rsid w:val="004A20BB"/>
    <w:rPr>
      <w:sz w:val="20"/>
      <w:szCs w:val="20"/>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rsid w:val="004A20BB"/>
    <w:rPr>
      <w:sz w:val="20"/>
      <w:szCs w:val="20"/>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Subtle1">
    <w:name w:val="Table Subtle 1"/>
    <w:basedOn w:val="TableNormal"/>
    <w:uiPriority w:val="99"/>
    <w:semiHidden/>
    <w:rsid w:val="004A20BB"/>
    <w:rPr>
      <w:sz w:val="20"/>
      <w:szCs w:val="20"/>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Subtle2">
    <w:name w:val="Table Subtle 2"/>
    <w:basedOn w:val="TableNormal"/>
    <w:uiPriority w:val="99"/>
    <w:semiHidden/>
    <w:rsid w:val="004A20BB"/>
    <w:rPr>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BlockText">
    <w:name w:val="Block Text"/>
    <w:basedOn w:val="Normal"/>
    <w:uiPriority w:val="99"/>
    <w:semiHidden/>
    <w:rsid w:val="004A20BB"/>
    <w:pPr>
      <w:ind w:left="1440" w:right="1440"/>
    </w:pPr>
  </w:style>
  <w:style w:type="character" w:styleId="HTMLSample">
    <w:name w:val="HTML Sample"/>
    <w:basedOn w:val="DefaultParagraphFont"/>
    <w:uiPriority w:val="99"/>
    <w:semiHidden/>
    <w:rsid w:val="004A20BB"/>
    <w:rPr>
      <w:rFonts w:ascii="Courier New" w:hAnsi="Courier New" w:cs="Courier New"/>
    </w:rPr>
  </w:style>
  <w:style w:type="table" w:styleId="TableWeb1">
    <w:name w:val="Table Web 1"/>
    <w:basedOn w:val="TableNormal"/>
    <w:uiPriority w:val="99"/>
    <w:semiHidden/>
    <w:rsid w:val="004A20BB"/>
    <w:rPr>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uiPriority w:val="99"/>
    <w:semiHidden/>
    <w:rsid w:val="004A20BB"/>
    <w:rPr>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3">
    <w:name w:val="Table Web 3"/>
    <w:basedOn w:val="TableNormal"/>
    <w:uiPriority w:val="99"/>
    <w:semiHidden/>
    <w:rsid w:val="004A20BB"/>
    <w:rPr>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styleId="MessageHeader">
    <w:name w:val="Message Header"/>
    <w:basedOn w:val="Normal"/>
    <w:link w:val="MessageHeaderChar"/>
    <w:uiPriority w:val="99"/>
    <w:semiHidden/>
    <w:rsid w:val="004A20BB"/>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szCs w:val="24"/>
    </w:rPr>
  </w:style>
  <w:style w:type="character" w:customStyle="1" w:styleId="MessageHeaderChar">
    <w:name w:val="Message Header Char"/>
    <w:basedOn w:val="DefaultParagraphFont"/>
    <w:link w:val="MessageHeader"/>
    <w:uiPriority w:val="99"/>
    <w:semiHidden/>
    <w:rsid w:val="00B20C66"/>
    <w:rPr>
      <w:rFonts w:asciiTheme="majorHAnsi" w:eastAsiaTheme="majorEastAsia" w:hAnsiTheme="majorHAnsi" w:cstheme="majorBidi"/>
      <w:sz w:val="24"/>
      <w:szCs w:val="24"/>
      <w:shd w:val="pct20" w:color="auto" w:fill="auto"/>
      <w:lang w:eastAsia="en-US"/>
    </w:rPr>
  </w:style>
  <w:style w:type="paragraph" w:styleId="BodyText">
    <w:name w:val="Body Text"/>
    <w:basedOn w:val="Normal"/>
    <w:link w:val="BodyTextChar"/>
    <w:uiPriority w:val="99"/>
    <w:semiHidden/>
    <w:rsid w:val="004A20BB"/>
  </w:style>
  <w:style w:type="character" w:customStyle="1" w:styleId="BodyTextChar">
    <w:name w:val="Body Text Char"/>
    <w:basedOn w:val="DefaultParagraphFont"/>
    <w:link w:val="BodyText"/>
    <w:uiPriority w:val="99"/>
    <w:semiHidden/>
    <w:locked/>
    <w:rsid w:val="00FE4AA7"/>
    <w:rPr>
      <w:rFonts w:ascii="Tahoma" w:hAnsi="Tahoma" w:cs="MetaPro-Normal"/>
      <w:sz w:val="20"/>
      <w:szCs w:val="20"/>
      <w:lang w:val="cs-CZ"/>
    </w:rPr>
  </w:style>
  <w:style w:type="paragraph" w:styleId="BodyTextFirstIndent">
    <w:name w:val="Body Text First Indent"/>
    <w:basedOn w:val="BodyText"/>
    <w:link w:val="BodyTextFirstIndentChar"/>
    <w:uiPriority w:val="99"/>
    <w:semiHidden/>
    <w:rsid w:val="004A20BB"/>
    <w:pPr>
      <w:ind w:firstLine="210"/>
    </w:pPr>
  </w:style>
  <w:style w:type="character" w:customStyle="1" w:styleId="BodyTextFirstIndentChar">
    <w:name w:val="Body Text First Indent Char"/>
    <w:basedOn w:val="BodyTextChar"/>
    <w:link w:val="BodyTextFirstIndent"/>
    <w:uiPriority w:val="99"/>
    <w:semiHidden/>
    <w:rsid w:val="00B20C66"/>
    <w:rPr>
      <w:lang w:eastAsia="en-US"/>
    </w:rPr>
  </w:style>
  <w:style w:type="paragraph" w:styleId="BodyTextIndent">
    <w:name w:val="Body Text Indent"/>
    <w:basedOn w:val="Normal"/>
    <w:link w:val="BodyTextIndentChar"/>
    <w:uiPriority w:val="99"/>
    <w:semiHidden/>
    <w:rsid w:val="004A20BB"/>
    <w:pPr>
      <w:ind w:left="283"/>
    </w:pPr>
  </w:style>
  <w:style w:type="character" w:customStyle="1" w:styleId="BodyTextIndentChar">
    <w:name w:val="Body Text Indent Char"/>
    <w:basedOn w:val="DefaultParagraphFont"/>
    <w:link w:val="BodyTextIndent"/>
    <w:uiPriority w:val="99"/>
    <w:semiHidden/>
    <w:rsid w:val="00B20C66"/>
    <w:rPr>
      <w:rFonts w:ascii="Tahoma" w:hAnsi="Tahoma" w:cs="MetaPro-Normal"/>
      <w:sz w:val="20"/>
      <w:szCs w:val="20"/>
      <w:lang w:eastAsia="en-US"/>
    </w:rPr>
  </w:style>
  <w:style w:type="paragraph" w:styleId="BodyTextFirstIndent2">
    <w:name w:val="Body Text First Indent 2"/>
    <w:basedOn w:val="BodyTextIndent"/>
    <w:link w:val="BodyTextFirstIndent2Char"/>
    <w:uiPriority w:val="99"/>
    <w:semiHidden/>
    <w:rsid w:val="004A20BB"/>
    <w:pPr>
      <w:ind w:firstLine="210"/>
    </w:pPr>
  </w:style>
  <w:style w:type="character" w:customStyle="1" w:styleId="BodyTextFirstIndent2Char">
    <w:name w:val="Body Text First Indent 2 Char"/>
    <w:basedOn w:val="BodyTextIndentChar"/>
    <w:link w:val="BodyTextFirstIndent2"/>
    <w:uiPriority w:val="99"/>
    <w:semiHidden/>
    <w:rsid w:val="00B20C66"/>
  </w:style>
  <w:style w:type="paragraph" w:styleId="BodyText2">
    <w:name w:val="Body Text 2"/>
    <w:basedOn w:val="Normal"/>
    <w:link w:val="BodyText2Char"/>
    <w:uiPriority w:val="99"/>
    <w:semiHidden/>
    <w:rsid w:val="004A20BB"/>
    <w:pPr>
      <w:spacing w:line="480" w:lineRule="auto"/>
    </w:pPr>
  </w:style>
  <w:style w:type="character" w:customStyle="1" w:styleId="BodyText2Char">
    <w:name w:val="Body Text 2 Char"/>
    <w:basedOn w:val="DefaultParagraphFont"/>
    <w:link w:val="BodyText2"/>
    <w:uiPriority w:val="99"/>
    <w:semiHidden/>
    <w:locked/>
    <w:rsid w:val="00FE4AA7"/>
    <w:rPr>
      <w:rFonts w:ascii="Tahoma" w:hAnsi="Tahoma" w:cs="MetaPro-Normal"/>
      <w:sz w:val="20"/>
      <w:szCs w:val="20"/>
      <w:lang w:val="cs-CZ"/>
    </w:rPr>
  </w:style>
  <w:style w:type="paragraph" w:styleId="BodyText3">
    <w:name w:val="Body Text 3"/>
    <w:basedOn w:val="Normal"/>
    <w:link w:val="BodyText3Char"/>
    <w:uiPriority w:val="99"/>
    <w:semiHidden/>
    <w:rsid w:val="004A20BB"/>
    <w:rPr>
      <w:sz w:val="16"/>
      <w:szCs w:val="16"/>
    </w:rPr>
  </w:style>
  <w:style w:type="character" w:customStyle="1" w:styleId="BodyText3Char">
    <w:name w:val="Body Text 3 Char"/>
    <w:basedOn w:val="DefaultParagraphFont"/>
    <w:link w:val="BodyText3"/>
    <w:uiPriority w:val="99"/>
    <w:semiHidden/>
    <w:rsid w:val="00B20C66"/>
    <w:rPr>
      <w:rFonts w:ascii="Tahoma" w:hAnsi="Tahoma" w:cs="MetaPro-Normal"/>
      <w:sz w:val="16"/>
      <w:szCs w:val="16"/>
      <w:lang w:eastAsia="en-US"/>
    </w:rPr>
  </w:style>
  <w:style w:type="paragraph" w:styleId="BodyTextIndent2">
    <w:name w:val="Body Text Indent 2"/>
    <w:basedOn w:val="Normal"/>
    <w:link w:val="BodyTextIndent2Char"/>
    <w:uiPriority w:val="99"/>
    <w:semiHidden/>
    <w:rsid w:val="004A20BB"/>
    <w:pPr>
      <w:spacing w:line="480" w:lineRule="auto"/>
      <w:ind w:left="283"/>
    </w:pPr>
  </w:style>
  <w:style w:type="character" w:customStyle="1" w:styleId="BodyTextIndent2Char">
    <w:name w:val="Body Text Indent 2 Char"/>
    <w:basedOn w:val="DefaultParagraphFont"/>
    <w:link w:val="BodyTextIndent2"/>
    <w:uiPriority w:val="99"/>
    <w:semiHidden/>
    <w:rsid w:val="00B20C66"/>
    <w:rPr>
      <w:rFonts w:ascii="Tahoma" w:hAnsi="Tahoma" w:cs="MetaPro-Normal"/>
      <w:sz w:val="20"/>
      <w:szCs w:val="20"/>
      <w:lang w:eastAsia="en-US"/>
    </w:rPr>
  </w:style>
  <w:style w:type="paragraph" w:styleId="BodyTextIndent3">
    <w:name w:val="Body Text Indent 3"/>
    <w:basedOn w:val="Normal"/>
    <w:link w:val="BodyTextIndent3Char"/>
    <w:uiPriority w:val="99"/>
    <w:semiHidden/>
    <w:rsid w:val="004A20BB"/>
    <w:pPr>
      <w:ind w:left="283"/>
    </w:pPr>
    <w:rPr>
      <w:sz w:val="16"/>
      <w:szCs w:val="16"/>
    </w:rPr>
  </w:style>
  <w:style w:type="character" w:customStyle="1" w:styleId="BodyTextIndent3Char">
    <w:name w:val="Body Text Indent 3 Char"/>
    <w:basedOn w:val="DefaultParagraphFont"/>
    <w:link w:val="BodyTextIndent3"/>
    <w:uiPriority w:val="99"/>
    <w:semiHidden/>
    <w:locked/>
    <w:rsid w:val="00FE4AA7"/>
    <w:rPr>
      <w:rFonts w:ascii="Tahoma" w:hAnsi="Tahoma" w:cs="MetaPro-Normal"/>
      <w:sz w:val="16"/>
      <w:szCs w:val="16"/>
      <w:lang w:val="cs-CZ"/>
    </w:rPr>
  </w:style>
  <w:style w:type="paragraph" w:styleId="Closing">
    <w:name w:val="Closing"/>
    <w:basedOn w:val="Normal"/>
    <w:link w:val="ClosingChar"/>
    <w:uiPriority w:val="99"/>
    <w:semiHidden/>
    <w:rsid w:val="004A20BB"/>
    <w:pPr>
      <w:ind w:left="4252"/>
    </w:pPr>
  </w:style>
  <w:style w:type="character" w:customStyle="1" w:styleId="ClosingChar">
    <w:name w:val="Closing Char"/>
    <w:basedOn w:val="DefaultParagraphFont"/>
    <w:link w:val="Closing"/>
    <w:uiPriority w:val="99"/>
    <w:semiHidden/>
    <w:rsid w:val="00B20C66"/>
    <w:rPr>
      <w:rFonts w:ascii="Tahoma" w:hAnsi="Tahoma" w:cs="MetaPro-Normal"/>
      <w:sz w:val="20"/>
      <w:szCs w:val="20"/>
      <w:lang w:eastAsia="en-US"/>
    </w:rPr>
  </w:style>
  <w:style w:type="paragraph" w:styleId="EnvelopeReturn">
    <w:name w:val="envelope return"/>
    <w:basedOn w:val="Normal"/>
    <w:uiPriority w:val="99"/>
    <w:semiHidden/>
    <w:rsid w:val="004A20BB"/>
    <w:rPr>
      <w:rFonts w:cs="Arial"/>
    </w:rPr>
  </w:style>
  <w:style w:type="character" w:styleId="FootnoteReference">
    <w:name w:val="footnote reference"/>
    <w:basedOn w:val="DefaultParagraphFont"/>
    <w:uiPriority w:val="99"/>
    <w:rsid w:val="004C22D7"/>
    <w:rPr>
      <w:rFonts w:cs="Times New Roman"/>
      <w:spacing w:val="0"/>
      <w:kern w:val="0"/>
      <w:vertAlign w:val="superscript"/>
    </w:rPr>
  </w:style>
  <w:style w:type="paragraph" w:styleId="DocumentMap">
    <w:name w:val="Document Map"/>
    <w:basedOn w:val="Normal"/>
    <w:link w:val="DocumentMapChar"/>
    <w:uiPriority w:val="99"/>
    <w:semiHidden/>
    <w:rsid w:val="00B27ED9"/>
    <w:rPr>
      <w:rFonts w:cs="Tahoma"/>
      <w:sz w:val="16"/>
      <w:szCs w:val="16"/>
    </w:rPr>
  </w:style>
  <w:style w:type="character" w:customStyle="1" w:styleId="DocumentMapChar">
    <w:name w:val="Document Map Char"/>
    <w:basedOn w:val="DefaultParagraphFont"/>
    <w:link w:val="DocumentMap"/>
    <w:uiPriority w:val="99"/>
    <w:semiHidden/>
    <w:locked/>
    <w:rsid w:val="00B27ED9"/>
    <w:rPr>
      <w:rFonts w:ascii="Tahoma" w:hAnsi="Tahoma" w:cs="Tahoma"/>
      <w:sz w:val="16"/>
      <w:szCs w:val="16"/>
    </w:rPr>
  </w:style>
  <w:style w:type="paragraph" w:styleId="TOCHeading">
    <w:name w:val="TOC Heading"/>
    <w:basedOn w:val="Heading1"/>
    <w:next w:val="Normal"/>
    <w:uiPriority w:val="99"/>
    <w:qFormat/>
    <w:rsid w:val="00A208F9"/>
    <w:pPr>
      <w:outlineLvl w:val="9"/>
    </w:pPr>
  </w:style>
  <w:style w:type="table" w:customStyle="1" w:styleId="Stednstnovn21">
    <w:name w:val="Střední stínování 21"/>
    <w:uiPriority w:val="99"/>
    <w:rsid w:val="00263E27"/>
    <w:rPr>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000000"/>
      </w:tcPr>
    </w:tblStylePr>
    <w:tblStylePr w:type="lastCol">
      <w:rPr>
        <w:rFonts w:cs="Times New Roman"/>
        <w:b/>
        <w:bCs/>
        <w:color w:val="FFFFFF"/>
      </w:rPr>
      <w:tblPr/>
      <w:tcPr>
        <w:tcBorders>
          <w:left w:val="nil"/>
          <w:right w:val="nil"/>
          <w:insideH w:val="nil"/>
          <w:insideV w:val="nil"/>
        </w:tcBorders>
        <w:shd w:val="clear" w:color="auto" w:fill="000000"/>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BalloonText">
    <w:name w:val="Balloon Text"/>
    <w:basedOn w:val="Normal"/>
    <w:link w:val="BalloonTextChar"/>
    <w:uiPriority w:val="99"/>
    <w:semiHidden/>
    <w:rsid w:val="00D064D4"/>
    <w:rPr>
      <w:rFonts w:cs="Tahoma"/>
      <w:sz w:val="16"/>
      <w:szCs w:val="16"/>
    </w:rPr>
  </w:style>
  <w:style w:type="character" w:customStyle="1" w:styleId="BalloonTextChar">
    <w:name w:val="Balloon Text Char"/>
    <w:basedOn w:val="DefaultParagraphFont"/>
    <w:link w:val="BalloonText"/>
    <w:uiPriority w:val="99"/>
    <w:semiHidden/>
    <w:locked/>
    <w:rsid w:val="00D064D4"/>
    <w:rPr>
      <w:rFonts w:ascii="Tahoma" w:hAnsi="Tahoma" w:cs="Tahoma"/>
      <w:sz w:val="16"/>
      <w:szCs w:val="16"/>
    </w:rPr>
  </w:style>
  <w:style w:type="paragraph" w:customStyle="1" w:styleId="Objekt">
    <w:name w:val="Objekt"/>
    <w:basedOn w:val="Normal"/>
    <w:next w:val="Zdroj"/>
    <w:link w:val="ObjektChar"/>
    <w:autoRedefine/>
    <w:uiPriority w:val="99"/>
    <w:rsid w:val="000753E2"/>
    <w:pPr>
      <w:spacing w:line="240" w:lineRule="auto"/>
      <w:jc w:val="left"/>
    </w:pPr>
    <w:rPr>
      <w:noProof/>
      <w:szCs w:val="22"/>
      <w:lang w:eastAsia="cs-CZ"/>
    </w:rPr>
  </w:style>
  <w:style w:type="character" w:customStyle="1" w:styleId="ObjektChar">
    <w:name w:val="Objekt Char"/>
    <w:basedOn w:val="DefaultParagraphFont"/>
    <w:link w:val="Objekt"/>
    <w:uiPriority w:val="99"/>
    <w:locked/>
    <w:rsid w:val="000753E2"/>
    <w:rPr>
      <w:rFonts w:ascii="Tahoma" w:hAnsi="Tahoma" w:cs="MetaPro-Normal"/>
      <w:noProof/>
      <w:sz w:val="20"/>
      <w:lang w:val="cs-CZ" w:eastAsia="cs-CZ" w:bidi="ar-SA"/>
    </w:rPr>
  </w:style>
  <w:style w:type="paragraph" w:customStyle="1" w:styleId="Poznmka">
    <w:name w:val="Poznámka"/>
    <w:basedOn w:val="Normal"/>
    <w:link w:val="PoznmkaChar"/>
    <w:autoRedefine/>
    <w:uiPriority w:val="99"/>
    <w:rsid w:val="00842034"/>
    <w:pPr>
      <w:spacing w:after="0" w:line="240" w:lineRule="auto"/>
    </w:pPr>
    <w:rPr>
      <w:i/>
      <w:color w:val="A6A6A6"/>
      <w:sz w:val="16"/>
      <w:szCs w:val="22"/>
    </w:rPr>
  </w:style>
  <w:style w:type="character" w:customStyle="1" w:styleId="PoznmkaChar">
    <w:name w:val="Poznámka Char"/>
    <w:basedOn w:val="DefaultParagraphFont"/>
    <w:link w:val="Poznmka"/>
    <w:uiPriority w:val="99"/>
    <w:locked/>
    <w:rsid w:val="00842034"/>
    <w:rPr>
      <w:rFonts w:ascii="Arial" w:hAnsi="Arial" w:cs="MetaPro-Normal"/>
      <w:i/>
      <w:color w:val="A6A6A6"/>
      <w:sz w:val="16"/>
      <w:lang w:val="cs-CZ"/>
    </w:rPr>
  </w:style>
  <w:style w:type="table" w:customStyle="1" w:styleId="Stednstnovn211">
    <w:name w:val="Střední stínování 211"/>
    <w:uiPriority w:val="99"/>
    <w:rsid w:val="0058547A"/>
    <w:rPr>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000000"/>
      </w:tcPr>
    </w:tblStylePr>
    <w:tblStylePr w:type="lastCol">
      <w:rPr>
        <w:rFonts w:cs="Times New Roman"/>
        <w:b/>
        <w:bCs/>
        <w:color w:val="FFFFFF"/>
      </w:rPr>
      <w:tblPr/>
      <w:tcPr>
        <w:tcBorders>
          <w:left w:val="nil"/>
          <w:right w:val="nil"/>
          <w:insideH w:val="nil"/>
          <w:insideV w:val="nil"/>
        </w:tcBorders>
        <w:shd w:val="clear" w:color="auto" w:fill="000000"/>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template">
    <w:name w:val="template"/>
    <w:uiPriority w:val="99"/>
    <w:rsid w:val="00953288"/>
    <w:pPr>
      <w:jc w:val="center"/>
    </w:pPr>
    <w:rPr>
      <w:rFonts w:ascii="MetaPro-Normal" w:hAnsi="MetaPro-Normal"/>
      <w:sz w:val="18"/>
      <w:szCs w:val="20"/>
    </w:rPr>
    <w:tblPr>
      <w:jc w:val="center"/>
      <w:tblInd w:w="0" w:type="dxa"/>
      <w:tblBorders>
        <w:top w:val="single" w:sz="8" w:space="0" w:color="1F497D"/>
        <w:bottom w:val="single" w:sz="8" w:space="0" w:color="1F497D"/>
      </w:tblBorders>
      <w:tblCellMar>
        <w:top w:w="0" w:type="dxa"/>
        <w:left w:w="85" w:type="dxa"/>
        <w:bottom w:w="0" w:type="dxa"/>
        <w:right w:w="85" w:type="dxa"/>
      </w:tblCellMar>
    </w:tblPr>
    <w:trPr>
      <w:jc w:val="center"/>
    </w:trPr>
    <w:tblStylePr w:type="firstRow">
      <w:pPr>
        <w:jc w:val="center"/>
      </w:pPr>
      <w:rPr>
        <w:rFonts w:ascii="MetaPro-Normal" w:hAnsi="MetaPro-Normal" w:cs="Times New Roman"/>
        <w:b/>
        <w:color w:val="1F497D"/>
        <w:sz w:val="18"/>
      </w:rPr>
      <w:tblPr/>
      <w:tcPr>
        <w:tcBorders>
          <w:top w:val="single" w:sz="8" w:space="0" w:color="1F497D"/>
          <w:left w:val="nil"/>
          <w:bottom w:val="single" w:sz="8" w:space="0" w:color="4F81BD"/>
          <w:right w:val="nil"/>
          <w:insideH w:val="nil"/>
          <w:insideV w:val="nil"/>
          <w:tl2br w:val="nil"/>
          <w:tr2bl w:val="nil"/>
        </w:tcBorders>
      </w:tcPr>
    </w:tblStylePr>
  </w:style>
  <w:style w:type="paragraph" w:styleId="TOC1">
    <w:name w:val="toc 1"/>
    <w:basedOn w:val="Normal"/>
    <w:next w:val="Normal"/>
    <w:autoRedefine/>
    <w:uiPriority w:val="99"/>
    <w:rsid w:val="000167BB"/>
    <w:pPr>
      <w:tabs>
        <w:tab w:val="left" w:pos="284"/>
        <w:tab w:val="right" w:leader="dot" w:pos="9628"/>
      </w:tabs>
      <w:spacing w:after="0"/>
    </w:pPr>
  </w:style>
  <w:style w:type="paragraph" w:styleId="TOC2">
    <w:name w:val="toc 2"/>
    <w:basedOn w:val="Normal"/>
    <w:next w:val="Normal"/>
    <w:autoRedefine/>
    <w:uiPriority w:val="99"/>
    <w:rsid w:val="000167BB"/>
    <w:pPr>
      <w:tabs>
        <w:tab w:val="left" w:pos="567"/>
        <w:tab w:val="right" w:leader="dot" w:pos="9628"/>
      </w:tabs>
      <w:spacing w:after="0"/>
      <w:ind w:left="113"/>
    </w:pPr>
  </w:style>
  <w:style w:type="paragraph" w:customStyle="1" w:styleId="Zdroj">
    <w:name w:val="Zdroj"/>
    <w:basedOn w:val="Normal"/>
    <w:next w:val="Normal"/>
    <w:link w:val="ZdrojChar"/>
    <w:autoRedefine/>
    <w:uiPriority w:val="99"/>
    <w:rsid w:val="007844BF"/>
    <w:pPr>
      <w:spacing w:after="0" w:line="240" w:lineRule="auto"/>
    </w:pPr>
    <w:rPr>
      <w:i/>
      <w:color w:val="595959"/>
      <w:sz w:val="16"/>
    </w:rPr>
  </w:style>
  <w:style w:type="character" w:customStyle="1" w:styleId="ZdrojChar">
    <w:name w:val="Zdroj Char"/>
    <w:basedOn w:val="DefaultParagraphFont"/>
    <w:link w:val="Zdroj"/>
    <w:uiPriority w:val="99"/>
    <w:locked/>
    <w:rsid w:val="007844BF"/>
    <w:rPr>
      <w:rFonts w:ascii="Arial" w:hAnsi="Arial" w:cs="MetaPro-Normal"/>
      <w:i/>
      <w:color w:val="595959"/>
      <w:sz w:val="20"/>
      <w:szCs w:val="20"/>
      <w:lang w:val="cs-CZ"/>
    </w:rPr>
  </w:style>
  <w:style w:type="character" w:styleId="CommentReference">
    <w:name w:val="annotation reference"/>
    <w:basedOn w:val="DefaultParagraphFont"/>
    <w:uiPriority w:val="99"/>
    <w:semiHidden/>
    <w:rsid w:val="00E56A45"/>
    <w:rPr>
      <w:rFonts w:cs="Times New Roman"/>
      <w:sz w:val="16"/>
      <w:szCs w:val="16"/>
    </w:rPr>
  </w:style>
  <w:style w:type="paragraph" w:styleId="CommentText">
    <w:name w:val="annotation text"/>
    <w:basedOn w:val="Normal"/>
    <w:link w:val="CommentTextChar"/>
    <w:uiPriority w:val="99"/>
    <w:semiHidden/>
    <w:rsid w:val="00411AE0"/>
    <w:pPr>
      <w:spacing w:line="240" w:lineRule="auto"/>
    </w:pPr>
  </w:style>
  <w:style w:type="character" w:customStyle="1" w:styleId="CommentTextChar">
    <w:name w:val="Comment Text Char"/>
    <w:basedOn w:val="DefaultParagraphFont"/>
    <w:link w:val="CommentText"/>
    <w:uiPriority w:val="99"/>
    <w:semiHidden/>
    <w:locked/>
    <w:rsid w:val="00411AE0"/>
    <w:rPr>
      <w:rFonts w:ascii="Arial" w:hAnsi="Arial" w:cs="MetaPro-Normal"/>
      <w:sz w:val="20"/>
      <w:szCs w:val="20"/>
      <w:lang w:val="cs-CZ"/>
    </w:rPr>
  </w:style>
  <w:style w:type="paragraph" w:styleId="CommentSubject">
    <w:name w:val="annotation subject"/>
    <w:basedOn w:val="Normal"/>
    <w:link w:val="CommentSubjectChar"/>
    <w:uiPriority w:val="99"/>
    <w:semiHidden/>
    <w:rsid w:val="007331C6"/>
    <w:rPr>
      <w:b/>
      <w:bCs/>
    </w:rPr>
  </w:style>
  <w:style w:type="character" w:customStyle="1" w:styleId="CommentSubjectChar">
    <w:name w:val="Comment Subject Char"/>
    <w:basedOn w:val="DefaultParagraphFont"/>
    <w:link w:val="CommentSubject"/>
    <w:uiPriority w:val="99"/>
    <w:semiHidden/>
    <w:locked/>
    <w:rsid w:val="007331C6"/>
    <w:rPr>
      <w:rFonts w:cs="Times New Roman"/>
      <w:b/>
      <w:bCs/>
    </w:rPr>
  </w:style>
  <w:style w:type="table" w:customStyle="1" w:styleId="Mkatabulky1">
    <w:name w:val="Mřížka tabulky1"/>
    <w:uiPriority w:val="99"/>
    <w:rsid w:val="007F561F"/>
    <w:rPr>
      <w:rFonts w:ascii="Times New Roman" w:hAnsi="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Revision">
    <w:name w:val="Revision"/>
    <w:hidden/>
    <w:uiPriority w:val="99"/>
    <w:semiHidden/>
    <w:rsid w:val="00E5196D"/>
    <w:rPr>
      <w:rFonts w:ascii="MetaPro-Normal" w:hAnsi="MetaPro-Normal" w:cs="MetaPro-Normal"/>
      <w:szCs w:val="20"/>
      <w:lang w:eastAsia="en-US"/>
    </w:rPr>
  </w:style>
  <w:style w:type="character" w:styleId="PlaceholderText">
    <w:name w:val="Placeholder Text"/>
    <w:basedOn w:val="DefaultParagraphFont"/>
    <w:uiPriority w:val="99"/>
    <w:semiHidden/>
    <w:rsid w:val="00960E30"/>
    <w:rPr>
      <w:rFonts w:cs="Times New Roman"/>
      <w:color w:val="808080"/>
    </w:rPr>
  </w:style>
  <w:style w:type="paragraph" w:customStyle="1" w:styleId="heading">
    <w:name w:val="heading"/>
    <w:basedOn w:val="Normal"/>
    <w:autoRedefine/>
    <w:uiPriority w:val="99"/>
    <w:rsid w:val="007331C6"/>
    <w:pPr>
      <w:pBdr>
        <w:bottom w:val="single" w:sz="2" w:space="1" w:color="A6A6A6"/>
      </w:pBdr>
      <w:spacing w:line="240" w:lineRule="auto"/>
    </w:pPr>
    <w:rPr>
      <w:i/>
      <w:color w:val="A6A6A6"/>
      <w:sz w:val="16"/>
      <w:szCs w:val="22"/>
    </w:rPr>
  </w:style>
  <w:style w:type="paragraph" w:customStyle="1" w:styleId="headingnoline">
    <w:name w:val="heading_noline"/>
    <w:basedOn w:val="Normal"/>
    <w:autoRedefine/>
    <w:uiPriority w:val="99"/>
    <w:rsid w:val="007331C6"/>
    <w:pPr>
      <w:spacing w:line="240" w:lineRule="auto"/>
    </w:pPr>
    <w:rPr>
      <w:i/>
      <w:color w:val="A6A6A6"/>
      <w:sz w:val="16"/>
    </w:rPr>
  </w:style>
  <w:style w:type="paragraph" w:customStyle="1" w:styleId="Nadpis2nonumber">
    <w:name w:val="Nadpis 2_nonumber"/>
    <w:basedOn w:val="Heading2"/>
    <w:autoRedefine/>
    <w:uiPriority w:val="99"/>
    <w:rsid w:val="00455CA1"/>
    <w:pPr>
      <w:numPr>
        <w:ilvl w:val="0"/>
        <w:numId w:val="0"/>
      </w:numPr>
    </w:pPr>
  </w:style>
  <w:style w:type="paragraph" w:customStyle="1" w:styleId="Nadpis1nonumber">
    <w:name w:val="Nadpis 1_nonumber"/>
    <w:basedOn w:val="Heading1"/>
    <w:autoRedefine/>
    <w:uiPriority w:val="99"/>
    <w:rsid w:val="00597E82"/>
    <w:pPr>
      <w:numPr>
        <w:numId w:val="0"/>
      </w:numPr>
      <w:spacing w:after="120"/>
    </w:pPr>
  </w:style>
  <w:style w:type="paragraph" w:styleId="Caption">
    <w:name w:val="caption"/>
    <w:basedOn w:val="Normal"/>
    <w:next w:val="Objekt"/>
    <w:uiPriority w:val="99"/>
    <w:qFormat/>
    <w:rsid w:val="00750D9B"/>
    <w:pPr>
      <w:keepNext/>
      <w:tabs>
        <w:tab w:val="left" w:pos="1276"/>
      </w:tabs>
      <w:spacing w:before="120" w:after="0" w:line="240" w:lineRule="auto"/>
      <w:ind w:left="1276" w:hanging="1276"/>
      <w:jc w:val="left"/>
    </w:pPr>
    <w:rPr>
      <w:rFonts w:cs="Tahoma"/>
      <w:b/>
      <w:bCs/>
      <w:i/>
      <w:color w:val="595959"/>
      <w:szCs w:val="18"/>
    </w:rPr>
  </w:style>
  <w:style w:type="paragraph" w:styleId="TOC3">
    <w:name w:val="toc 3"/>
    <w:basedOn w:val="Normal"/>
    <w:next w:val="Normal"/>
    <w:autoRedefine/>
    <w:uiPriority w:val="99"/>
    <w:rsid w:val="000167BB"/>
    <w:pPr>
      <w:tabs>
        <w:tab w:val="left" w:pos="851"/>
        <w:tab w:val="right" w:leader="dot" w:pos="9628"/>
      </w:tabs>
      <w:spacing w:after="0"/>
      <w:ind w:left="227"/>
    </w:pPr>
  </w:style>
  <w:style w:type="table" w:styleId="MediumList1-Accent2">
    <w:name w:val="Medium List 1 Accent 2"/>
    <w:basedOn w:val="TableNormal"/>
    <w:uiPriority w:val="99"/>
    <w:rsid w:val="00DF3407"/>
    <w:rPr>
      <w:color w:val="000000"/>
      <w:sz w:val="20"/>
      <w:szCs w:val="20"/>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C0504D"/>
        </w:tcBorders>
      </w:tcPr>
    </w:tblStylePr>
    <w:tblStylePr w:type="lastRow">
      <w:rPr>
        <w:rFonts w:cs="Times New Roman"/>
        <w:b/>
        <w:bCs/>
        <w:color w:val="1F497D"/>
      </w:rPr>
      <w:tblPr/>
      <w:tcPr>
        <w:tcBorders>
          <w:top w:val="single" w:sz="8" w:space="0" w:color="C0504D"/>
          <w:bottom w:val="single" w:sz="8" w:space="0" w:color="C0504D"/>
        </w:tcBorders>
      </w:tcPr>
    </w:tblStylePr>
    <w:tblStylePr w:type="firstCol">
      <w:rPr>
        <w:rFonts w:cs="Times New Roman"/>
        <w:b/>
        <w:bCs/>
      </w:rPr>
    </w:tblStylePr>
    <w:tblStylePr w:type="lastCol">
      <w:rPr>
        <w:rFonts w:cs="Times New Roman"/>
        <w:b/>
        <w:bCs/>
      </w:rPr>
      <w:tblPr/>
      <w:tcPr>
        <w:tcBorders>
          <w:top w:val="single" w:sz="8" w:space="0" w:color="C0504D"/>
          <w:bottom w:val="single" w:sz="8" w:space="0" w:color="C0504D"/>
        </w:tcBorders>
      </w:tcPr>
    </w:tblStylePr>
    <w:tblStylePr w:type="band1Vert">
      <w:rPr>
        <w:rFonts w:cs="Times New Roman"/>
      </w:rPr>
      <w:tblPr/>
      <w:tcPr>
        <w:shd w:val="clear" w:color="auto" w:fill="EFD3D2"/>
      </w:tcPr>
    </w:tblStylePr>
    <w:tblStylePr w:type="band1Horz">
      <w:rPr>
        <w:rFonts w:cs="Times New Roman"/>
      </w:rPr>
      <w:tblPr/>
      <w:tcPr>
        <w:shd w:val="clear" w:color="auto" w:fill="EFD3D2"/>
      </w:tcPr>
    </w:tblStylePr>
  </w:style>
  <w:style w:type="paragraph" w:styleId="TableofFigures">
    <w:name w:val="table of figures"/>
    <w:basedOn w:val="Normal"/>
    <w:next w:val="Normal"/>
    <w:autoRedefine/>
    <w:uiPriority w:val="99"/>
    <w:rsid w:val="00DB4C8E"/>
    <w:pPr>
      <w:tabs>
        <w:tab w:val="right" w:leader="dot" w:pos="9628"/>
      </w:tabs>
      <w:spacing w:after="0"/>
      <w:ind w:left="1247" w:hanging="1247"/>
      <w:jc w:val="left"/>
    </w:pPr>
  </w:style>
  <w:style w:type="table" w:customStyle="1" w:styleId="Stednstnovn2zvraznn11">
    <w:name w:val="Střední stínování 2 – zvýraznění 11"/>
    <w:uiPriority w:val="99"/>
    <w:rsid w:val="00A47960"/>
    <w:rPr>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F81BD"/>
      </w:tcPr>
    </w:tblStylePr>
    <w:tblStylePr w:type="lastCol">
      <w:rPr>
        <w:rFonts w:cs="Times New Roman"/>
        <w:b/>
        <w:bCs/>
        <w:color w:val="FFFFFF"/>
      </w:rPr>
      <w:tblPr/>
      <w:tcPr>
        <w:tcBorders>
          <w:left w:val="nil"/>
          <w:right w:val="nil"/>
          <w:insideH w:val="nil"/>
          <w:insideV w:val="nil"/>
        </w:tcBorders>
        <w:shd w:val="clear" w:color="auto" w:fill="4F81BD"/>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Stednstnovn2zvraznn12">
    <w:name w:val="Střední stínování 2 – zvýraznění 12"/>
    <w:uiPriority w:val="99"/>
    <w:rsid w:val="003922BE"/>
    <w:rPr>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F81BD"/>
      </w:tcPr>
    </w:tblStylePr>
    <w:tblStylePr w:type="lastCol">
      <w:rPr>
        <w:rFonts w:cs="Times New Roman"/>
        <w:b/>
        <w:bCs/>
        <w:color w:val="FFFFFF"/>
      </w:rPr>
      <w:tblPr/>
      <w:tcPr>
        <w:tcBorders>
          <w:left w:val="nil"/>
          <w:right w:val="nil"/>
          <w:insideH w:val="nil"/>
          <w:insideV w:val="nil"/>
        </w:tcBorders>
        <w:shd w:val="clear" w:color="auto" w:fill="4F81BD"/>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character" w:styleId="Hyperlink">
    <w:name w:val="Hyperlink"/>
    <w:basedOn w:val="DefaultParagraphFont"/>
    <w:uiPriority w:val="99"/>
    <w:rsid w:val="00BB6FED"/>
    <w:rPr>
      <w:rFonts w:cs="Times New Roman"/>
      <w:color w:val="auto"/>
      <w:u w:val="single"/>
    </w:rPr>
  </w:style>
  <w:style w:type="paragraph" w:customStyle="1" w:styleId="Anadpis">
    <w:name w:val="A_nadpis"/>
    <w:basedOn w:val="Normal"/>
    <w:next w:val="Normal"/>
    <w:uiPriority w:val="99"/>
    <w:rsid w:val="00E47CF1"/>
    <w:pPr>
      <w:numPr>
        <w:numId w:val="35"/>
      </w:numPr>
      <w:spacing w:after="240"/>
      <w:jc w:val="left"/>
    </w:pPr>
    <w:rPr>
      <w:rFonts w:cs="Times New Roman"/>
      <w:b/>
      <w:sz w:val="32"/>
      <w:szCs w:val="22"/>
    </w:rPr>
  </w:style>
  <w:style w:type="paragraph" w:customStyle="1" w:styleId="Anadpis1">
    <w:name w:val="A_nadpis 1"/>
    <w:basedOn w:val="Heading3"/>
    <w:next w:val="Normal"/>
    <w:uiPriority w:val="99"/>
    <w:rsid w:val="00E47CF1"/>
    <w:pPr>
      <w:keepNext w:val="0"/>
      <w:numPr>
        <w:ilvl w:val="1"/>
        <w:numId w:val="35"/>
      </w:numPr>
      <w:spacing w:after="120"/>
      <w:jc w:val="left"/>
    </w:pPr>
    <w:rPr>
      <w:rFonts w:cs="Times New Roman"/>
      <w:bCs/>
      <w:iCs/>
      <w:sz w:val="22"/>
    </w:rPr>
  </w:style>
  <w:style w:type="paragraph" w:customStyle="1" w:styleId="Anadpis2">
    <w:name w:val="A_nadpis 2"/>
    <w:basedOn w:val="Heading5"/>
    <w:next w:val="Normal"/>
    <w:uiPriority w:val="99"/>
    <w:rsid w:val="00E47CF1"/>
    <w:pPr>
      <w:numPr>
        <w:ilvl w:val="2"/>
        <w:numId w:val="35"/>
      </w:numPr>
      <w:pBdr>
        <w:bottom w:val="none" w:sz="0" w:space="0" w:color="auto"/>
      </w:pBdr>
      <w:tabs>
        <w:tab w:val="num" w:pos="1209"/>
      </w:tabs>
      <w:spacing w:before="200"/>
    </w:pPr>
    <w:rPr>
      <w:rFonts w:cs="Times New Roman"/>
      <w:b/>
      <w:bCs/>
      <w:caps w:val="0"/>
      <w:color w:val="auto"/>
      <w:spacing w:val="0"/>
    </w:rPr>
  </w:style>
  <w:style w:type="table" w:customStyle="1" w:styleId="Svtlseznamzvraznn11">
    <w:name w:val="Světlý seznam – zvýraznění 11"/>
    <w:uiPriority w:val="99"/>
    <w:rsid w:val="00411AE0"/>
    <w:rPr>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4F81BD"/>
      </w:tcPr>
    </w:tblStylePr>
    <w:tblStylePr w:type="lastRow">
      <w:pPr>
        <w:spacing w:before="0" w:after="0"/>
      </w:pPr>
      <w:rPr>
        <w:rFonts w:cs="Times New Roman"/>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tcBorders>
      </w:tcPr>
    </w:tblStylePr>
  </w:style>
  <w:style w:type="table" w:styleId="MediumGrid3-Accent1">
    <w:name w:val="Medium Grid 3 Accent 1"/>
    <w:basedOn w:val="TableNormal"/>
    <w:uiPriority w:val="99"/>
    <w:rsid w:val="002F2957"/>
    <w:rPr>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Odrky2">
    <w:name w:val="Odrážky 2"/>
    <w:basedOn w:val="Odrky"/>
    <w:autoRedefine/>
    <w:uiPriority w:val="99"/>
    <w:rsid w:val="00A06F66"/>
    <w:pPr>
      <w:numPr>
        <w:numId w:val="36"/>
      </w:numPr>
      <w:tabs>
        <w:tab w:val="num" w:pos="1492"/>
      </w:tabs>
      <w:ind w:left="851" w:right="0"/>
    </w:pPr>
  </w:style>
  <w:style w:type="paragraph" w:styleId="ListParagraph">
    <w:name w:val="List Paragraph"/>
    <w:basedOn w:val="Normal"/>
    <w:uiPriority w:val="99"/>
    <w:qFormat/>
    <w:rsid w:val="009D7D92"/>
    <w:pPr>
      <w:spacing w:before="120" w:after="0"/>
      <w:ind w:left="720"/>
      <w:contextualSpacing/>
    </w:pPr>
    <w:rPr>
      <w:rFonts w:cs="Times New Roman"/>
      <w:szCs w:val="22"/>
    </w:rPr>
  </w:style>
  <w:style w:type="paragraph" w:customStyle="1" w:styleId="nadpisgraf">
    <w:name w:val="nadpis_graf"/>
    <w:basedOn w:val="Caption"/>
    <w:uiPriority w:val="99"/>
    <w:rsid w:val="00F90590"/>
    <w:pPr>
      <w:keepNext w:val="0"/>
      <w:tabs>
        <w:tab w:val="clear" w:pos="1276"/>
      </w:tabs>
      <w:spacing w:before="160" w:line="264" w:lineRule="auto"/>
      <w:ind w:left="0" w:firstLine="0"/>
      <w:jc w:val="both"/>
    </w:pPr>
    <w:rPr>
      <w:rFonts w:ascii="Arial" w:hAnsi="Arial" w:cs="Times New Roman"/>
      <w:i w:val="0"/>
      <w:color w:val="000000"/>
      <w:sz w:val="18"/>
      <w:szCs w:val="20"/>
    </w:rPr>
  </w:style>
  <w:style w:type="paragraph" w:customStyle="1" w:styleId="Bn">
    <w:name w:val="Běžný"/>
    <w:basedOn w:val="Normal"/>
    <w:uiPriority w:val="99"/>
    <w:rsid w:val="00FE4AA7"/>
    <w:pPr>
      <w:spacing w:before="120" w:after="120" w:line="240" w:lineRule="auto"/>
      <w:ind w:firstLine="340"/>
    </w:pPr>
    <w:rPr>
      <w:rFonts w:ascii="Times New Roman" w:eastAsia="Batang" w:hAnsi="Times New Roman" w:cs="Times New Roman"/>
      <w:sz w:val="24"/>
      <w:szCs w:val="24"/>
      <w:lang w:eastAsia="cs-CZ"/>
    </w:rPr>
  </w:style>
  <w:style w:type="paragraph" w:customStyle="1" w:styleId="Styl1">
    <w:name w:val="Styl1"/>
    <w:basedOn w:val="BodyText2"/>
    <w:uiPriority w:val="99"/>
    <w:rsid w:val="00FE4AA7"/>
    <w:pPr>
      <w:spacing w:before="60" w:line="240" w:lineRule="auto"/>
      <w:ind w:firstLine="340"/>
    </w:pPr>
    <w:rPr>
      <w:rFonts w:ascii="Arial" w:hAnsi="Arial" w:cs="Times New Roman"/>
      <w:color w:val="333399"/>
      <w:szCs w:val="24"/>
      <w:lang w:eastAsia="cs-CZ"/>
    </w:rPr>
  </w:style>
  <w:style w:type="paragraph" w:customStyle="1" w:styleId="analyzatext">
    <w:name w:val="analyza_text"/>
    <w:basedOn w:val="BodyText"/>
    <w:uiPriority w:val="99"/>
    <w:rsid w:val="00546662"/>
    <w:rPr>
      <w:rFonts w:ascii="Arial" w:hAnsi="Arial" w:cs="Times New Roman"/>
      <w:szCs w:val="22"/>
    </w:rPr>
  </w:style>
  <w:style w:type="paragraph" w:customStyle="1" w:styleId="analyzagraf">
    <w:name w:val="analyza_graf"/>
    <w:basedOn w:val="nadpisgraf"/>
    <w:uiPriority w:val="99"/>
    <w:rsid w:val="00546662"/>
    <w:pPr>
      <w:jc w:val="left"/>
    </w:pPr>
    <w:rPr>
      <w:bCs w:val="0"/>
      <w:szCs w:val="22"/>
    </w:rPr>
  </w:style>
  <w:style w:type="paragraph" w:styleId="FootnoteText">
    <w:name w:val="footnote text"/>
    <w:basedOn w:val="Normal"/>
    <w:link w:val="FootnoteTextChar"/>
    <w:uiPriority w:val="99"/>
    <w:semiHidden/>
    <w:rsid w:val="00440B60"/>
    <w:pPr>
      <w:spacing w:after="0" w:line="240" w:lineRule="auto"/>
    </w:pPr>
  </w:style>
  <w:style w:type="character" w:customStyle="1" w:styleId="FootnoteTextChar">
    <w:name w:val="Footnote Text Char"/>
    <w:basedOn w:val="DefaultParagraphFont"/>
    <w:link w:val="FootnoteText"/>
    <w:uiPriority w:val="99"/>
    <w:semiHidden/>
    <w:locked/>
    <w:rsid w:val="00440B60"/>
    <w:rPr>
      <w:rFonts w:ascii="Tahoma" w:hAnsi="Tahoma" w:cs="MetaPro-Normal"/>
      <w:sz w:val="20"/>
      <w:szCs w:val="20"/>
      <w:lang w:val="cs-CZ"/>
    </w:rPr>
  </w:style>
  <w:style w:type="numbering" w:styleId="111111">
    <w:name w:val="Outline List 2"/>
    <w:basedOn w:val="NoList"/>
    <w:uiPriority w:val="99"/>
    <w:semiHidden/>
    <w:unhideWhenUsed/>
    <w:rsid w:val="00B20C66"/>
    <w:pPr>
      <w:numPr>
        <w:numId w:val="32"/>
      </w:numPr>
    </w:pPr>
  </w:style>
  <w:style w:type="numbering" w:styleId="ArticleSection">
    <w:name w:val="Outline List 3"/>
    <w:basedOn w:val="NoList"/>
    <w:uiPriority w:val="99"/>
    <w:semiHidden/>
    <w:unhideWhenUsed/>
    <w:rsid w:val="00B20C66"/>
    <w:pPr>
      <w:numPr>
        <w:numId w:val="33"/>
      </w:numPr>
    </w:pPr>
  </w:style>
</w:styles>
</file>

<file path=word/webSettings.xml><?xml version="1.0" encoding="utf-8"?>
<w:webSettings xmlns:r="http://schemas.openxmlformats.org/officeDocument/2006/relationships" xmlns:w="http://schemas.openxmlformats.org/wordprocessingml/2006/main">
  <w:divs>
    <w:div w:id="1764689041">
      <w:marLeft w:val="0"/>
      <w:marRight w:val="0"/>
      <w:marTop w:val="0"/>
      <w:marBottom w:val="0"/>
      <w:divBdr>
        <w:top w:val="none" w:sz="0" w:space="0" w:color="auto"/>
        <w:left w:val="none" w:sz="0" w:space="0" w:color="auto"/>
        <w:bottom w:val="none" w:sz="0" w:space="0" w:color="auto"/>
        <w:right w:val="none" w:sz="0" w:space="0" w:color="auto"/>
      </w:divBdr>
      <w:divsChild>
        <w:div w:id="1764690521">
          <w:marLeft w:val="0"/>
          <w:marRight w:val="0"/>
          <w:marTop w:val="0"/>
          <w:marBottom w:val="0"/>
          <w:divBdr>
            <w:top w:val="none" w:sz="0" w:space="0" w:color="auto"/>
            <w:left w:val="none" w:sz="0" w:space="0" w:color="auto"/>
            <w:bottom w:val="none" w:sz="0" w:space="0" w:color="auto"/>
            <w:right w:val="none" w:sz="0" w:space="0" w:color="auto"/>
          </w:divBdr>
        </w:div>
      </w:divsChild>
    </w:div>
    <w:div w:id="1764689049">
      <w:marLeft w:val="0"/>
      <w:marRight w:val="0"/>
      <w:marTop w:val="0"/>
      <w:marBottom w:val="0"/>
      <w:divBdr>
        <w:top w:val="none" w:sz="0" w:space="0" w:color="auto"/>
        <w:left w:val="none" w:sz="0" w:space="0" w:color="auto"/>
        <w:bottom w:val="none" w:sz="0" w:space="0" w:color="auto"/>
        <w:right w:val="none" w:sz="0" w:space="0" w:color="auto"/>
      </w:divBdr>
      <w:divsChild>
        <w:div w:id="1764690000">
          <w:marLeft w:val="0"/>
          <w:marRight w:val="0"/>
          <w:marTop w:val="0"/>
          <w:marBottom w:val="0"/>
          <w:divBdr>
            <w:top w:val="none" w:sz="0" w:space="0" w:color="auto"/>
            <w:left w:val="none" w:sz="0" w:space="0" w:color="auto"/>
            <w:bottom w:val="none" w:sz="0" w:space="0" w:color="auto"/>
            <w:right w:val="none" w:sz="0" w:space="0" w:color="auto"/>
          </w:divBdr>
          <w:divsChild>
            <w:div w:id="1764689258">
              <w:marLeft w:val="0"/>
              <w:marRight w:val="0"/>
              <w:marTop w:val="0"/>
              <w:marBottom w:val="0"/>
              <w:divBdr>
                <w:top w:val="none" w:sz="0" w:space="0" w:color="auto"/>
                <w:left w:val="none" w:sz="0" w:space="0" w:color="auto"/>
                <w:bottom w:val="none" w:sz="0" w:space="0" w:color="auto"/>
                <w:right w:val="none" w:sz="0" w:space="0" w:color="auto"/>
              </w:divBdr>
            </w:div>
            <w:div w:id="1764689363">
              <w:marLeft w:val="0"/>
              <w:marRight w:val="0"/>
              <w:marTop w:val="0"/>
              <w:marBottom w:val="0"/>
              <w:divBdr>
                <w:top w:val="none" w:sz="0" w:space="0" w:color="auto"/>
                <w:left w:val="none" w:sz="0" w:space="0" w:color="auto"/>
                <w:bottom w:val="none" w:sz="0" w:space="0" w:color="auto"/>
                <w:right w:val="none" w:sz="0" w:space="0" w:color="auto"/>
              </w:divBdr>
            </w:div>
            <w:div w:id="1764689910">
              <w:marLeft w:val="0"/>
              <w:marRight w:val="0"/>
              <w:marTop w:val="0"/>
              <w:marBottom w:val="0"/>
              <w:divBdr>
                <w:top w:val="none" w:sz="0" w:space="0" w:color="auto"/>
                <w:left w:val="none" w:sz="0" w:space="0" w:color="auto"/>
                <w:bottom w:val="none" w:sz="0" w:space="0" w:color="auto"/>
                <w:right w:val="none" w:sz="0" w:space="0" w:color="auto"/>
              </w:divBdr>
            </w:div>
            <w:div w:id="1764689982">
              <w:marLeft w:val="0"/>
              <w:marRight w:val="0"/>
              <w:marTop w:val="0"/>
              <w:marBottom w:val="0"/>
              <w:divBdr>
                <w:top w:val="none" w:sz="0" w:space="0" w:color="auto"/>
                <w:left w:val="none" w:sz="0" w:space="0" w:color="auto"/>
                <w:bottom w:val="none" w:sz="0" w:space="0" w:color="auto"/>
                <w:right w:val="none" w:sz="0" w:space="0" w:color="auto"/>
              </w:divBdr>
            </w:div>
            <w:div w:id="1764690333">
              <w:marLeft w:val="0"/>
              <w:marRight w:val="0"/>
              <w:marTop w:val="0"/>
              <w:marBottom w:val="0"/>
              <w:divBdr>
                <w:top w:val="none" w:sz="0" w:space="0" w:color="auto"/>
                <w:left w:val="none" w:sz="0" w:space="0" w:color="auto"/>
                <w:bottom w:val="none" w:sz="0" w:space="0" w:color="auto"/>
                <w:right w:val="none" w:sz="0" w:space="0" w:color="auto"/>
              </w:divBdr>
            </w:div>
            <w:div w:id="1764690413">
              <w:marLeft w:val="0"/>
              <w:marRight w:val="0"/>
              <w:marTop w:val="0"/>
              <w:marBottom w:val="0"/>
              <w:divBdr>
                <w:top w:val="none" w:sz="0" w:space="0" w:color="auto"/>
                <w:left w:val="none" w:sz="0" w:space="0" w:color="auto"/>
                <w:bottom w:val="none" w:sz="0" w:space="0" w:color="auto"/>
                <w:right w:val="none" w:sz="0" w:space="0" w:color="auto"/>
              </w:divBdr>
            </w:div>
            <w:div w:id="1764690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056">
      <w:marLeft w:val="0"/>
      <w:marRight w:val="0"/>
      <w:marTop w:val="0"/>
      <w:marBottom w:val="0"/>
      <w:divBdr>
        <w:top w:val="none" w:sz="0" w:space="0" w:color="auto"/>
        <w:left w:val="none" w:sz="0" w:space="0" w:color="auto"/>
        <w:bottom w:val="none" w:sz="0" w:space="0" w:color="auto"/>
        <w:right w:val="none" w:sz="0" w:space="0" w:color="auto"/>
      </w:divBdr>
      <w:divsChild>
        <w:div w:id="1764690502">
          <w:marLeft w:val="0"/>
          <w:marRight w:val="0"/>
          <w:marTop w:val="0"/>
          <w:marBottom w:val="0"/>
          <w:divBdr>
            <w:top w:val="none" w:sz="0" w:space="0" w:color="auto"/>
            <w:left w:val="none" w:sz="0" w:space="0" w:color="auto"/>
            <w:bottom w:val="none" w:sz="0" w:space="0" w:color="auto"/>
            <w:right w:val="none" w:sz="0" w:space="0" w:color="auto"/>
          </w:divBdr>
        </w:div>
      </w:divsChild>
    </w:div>
    <w:div w:id="1764689061">
      <w:marLeft w:val="0"/>
      <w:marRight w:val="0"/>
      <w:marTop w:val="0"/>
      <w:marBottom w:val="0"/>
      <w:divBdr>
        <w:top w:val="none" w:sz="0" w:space="0" w:color="auto"/>
        <w:left w:val="none" w:sz="0" w:space="0" w:color="auto"/>
        <w:bottom w:val="none" w:sz="0" w:space="0" w:color="auto"/>
        <w:right w:val="none" w:sz="0" w:space="0" w:color="auto"/>
      </w:divBdr>
    </w:div>
    <w:div w:id="1764689065">
      <w:marLeft w:val="0"/>
      <w:marRight w:val="0"/>
      <w:marTop w:val="0"/>
      <w:marBottom w:val="0"/>
      <w:divBdr>
        <w:top w:val="none" w:sz="0" w:space="0" w:color="auto"/>
        <w:left w:val="none" w:sz="0" w:space="0" w:color="auto"/>
        <w:bottom w:val="none" w:sz="0" w:space="0" w:color="auto"/>
        <w:right w:val="none" w:sz="0" w:space="0" w:color="auto"/>
      </w:divBdr>
      <w:divsChild>
        <w:div w:id="1764689156">
          <w:marLeft w:val="0"/>
          <w:marRight w:val="0"/>
          <w:marTop w:val="0"/>
          <w:marBottom w:val="0"/>
          <w:divBdr>
            <w:top w:val="none" w:sz="0" w:space="0" w:color="auto"/>
            <w:left w:val="none" w:sz="0" w:space="0" w:color="auto"/>
            <w:bottom w:val="none" w:sz="0" w:space="0" w:color="auto"/>
            <w:right w:val="none" w:sz="0" w:space="0" w:color="auto"/>
          </w:divBdr>
        </w:div>
      </w:divsChild>
    </w:div>
    <w:div w:id="1764689066">
      <w:marLeft w:val="0"/>
      <w:marRight w:val="0"/>
      <w:marTop w:val="0"/>
      <w:marBottom w:val="0"/>
      <w:divBdr>
        <w:top w:val="none" w:sz="0" w:space="0" w:color="auto"/>
        <w:left w:val="none" w:sz="0" w:space="0" w:color="auto"/>
        <w:bottom w:val="none" w:sz="0" w:space="0" w:color="auto"/>
        <w:right w:val="none" w:sz="0" w:space="0" w:color="auto"/>
      </w:divBdr>
    </w:div>
    <w:div w:id="1764689067">
      <w:marLeft w:val="0"/>
      <w:marRight w:val="0"/>
      <w:marTop w:val="0"/>
      <w:marBottom w:val="0"/>
      <w:divBdr>
        <w:top w:val="none" w:sz="0" w:space="0" w:color="auto"/>
        <w:left w:val="none" w:sz="0" w:space="0" w:color="auto"/>
        <w:bottom w:val="none" w:sz="0" w:space="0" w:color="auto"/>
        <w:right w:val="none" w:sz="0" w:space="0" w:color="auto"/>
      </w:divBdr>
      <w:divsChild>
        <w:div w:id="1764689761">
          <w:marLeft w:val="0"/>
          <w:marRight w:val="0"/>
          <w:marTop w:val="0"/>
          <w:marBottom w:val="0"/>
          <w:divBdr>
            <w:top w:val="none" w:sz="0" w:space="0" w:color="auto"/>
            <w:left w:val="none" w:sz="0" w:space="0" w:color="auto"/>
            <w:bottom w:val="none" w:sz="0" w:space="0" w:color="auto"/>
            <w:right w:val="none" w:sz="0" w:space="0" w:color="auto"/>
          </w:divBdr>
        </w:div>
      </w:divsChild>
    </w:div>
    <w:div w:id="1764689068">
      <w:marLeft w:val="0"/>
      <w:marRight w:val="0"/>
      <w:marTop w:val="0"/>
      <w:marBottom w:val="0"/>
      <w:divBdr>
        <w:top w:val="none" w:sz="0" w:space="0" w:color="auto"/>
        <w:left w:val="none" w:sz="0" w:space="0" w:color="auto"/>
        <w:bottom w:val="none" w:sz="0" w:space="0" w:color="auto"/>
        <w:right w:val="none" w:sz="0" w:space="0" w:color="auto"/>
      </w:divBdr>
    </w:div>
    <w:div w:id="1764689072">
      <w:marLeft w:val="0"/>
      <w:marRight w:val="0"/>
      <w:marTop w:val="0"/>
      <w:marBottom w:val="0"/>
      <w:divBdr>
        <w:top w:val="none" w:sz="0" w:space="0" w:color="auto"/>
        <w:left w:val="none" w:sz="0" w:space="0" w:color="auto"/>
        <w:bottom w:val="none" w:sz="0" w:space="0" w:color="auto"/>
        <w:right w:val="none" w:sz="0" w:space="0" w:color="auto"/>
      </w:divBdr>
    </w:div>
    <w:div w:id="1764689075">
      <w:marLeft w:val="0"/>
      <w:marRight w:val="0"/>
      <w:marTop w:val="0"/>
      <w:marBottom w:val="0"/>
      <w:divBdr>
        <w:top w:val="none" w:sz="0" w:space="0" w:color="auto"/>
        <w:left w:val="none" w:sz="0" w:space="0" w:color="auto"/>
        <w:bottom w:val="none" w:sz="0" w:space="0" w:color="auto"/>
        <w:right w:val="none" w:sz="0" w:space="0" w:color="auto"/>
      </w:divBdr>
    </w:div>
    <w:div w:id="1764689076">
      <w:marLeft w:val="0"/>
      <w:marRight w:val="0"/>
      <w:marTop w:val="0"/>
      <w:marBottom w:val="0"/>
      <w:divBdr>
        <w:top w:val="none" w:sz="0" w:space="0" w:color="auto"/>
        <w:left w:val="none" w:sz="0" w:space="0" w:color="auto"/>
        <w:bottom w:val="none" w:sz="0" w:space="0" w:color="auto"/>
        <w:right w:val="none" w:sz="0" w:space="0" w:color="auto"/>
      </w:divBdr>
      <w:divsChild>
        <w:div w:id="1764689323">
          <w:marLeft w:val="0"/>
          <w:marRight w:val="0"/>
          <w:marTop w:val="0"/>
          <w:marBottom w:val="0"/>
          <w:divBdr>
            <w:top w:val="none" w:sz="0" w:space="0" w:color="auto"/>
            <w:left w:val="none" w:sz="0" w:space="0" w:color="auto"/>
            <w:bottom w:val="none" w:sz="0" w:space="0" w:color="auto"/>
            <w:right w:val="none" w:sz="0" w:space="0" w:color="auto"/>
          </w:divBdr>
          <w:divsChild>
            <w:div w:id="1764689411">
              <w:marLeft w:val="0"/>
              <w:marRight w:val="0"/>
              <w:marTop w:val="0"/>
              <w:marBottom w:val="0"/>
              <w:divBdr>
                <w:top w:val="none" w:sz="0" w:space="0" w:color="auto"/>
                <w:left w:val="none" w:sz="0" w:space="0" w:color="auto"/>
                <w:bottom w:val="none" w:sz="0" w:space="0" w:color="auto"/>
                <w:right w:val="none" w:sz="0" w:space="0" w:color="auto"/>
              </w:divBdr>
            </w:div>
            <w:div w:id="1764689606">
              <w:marLeft w:val="0"/>
              <w:marRight w:val="0"/>
              <w:marTop w:val="0"/>
              <w:marBottom w:val="0"/>
              <w:divBdr>
                <w:top w:val="none" w:sz="0" w:space="0" w:color="auto"/>
                <w:left w:val="none" w:sz="0" w:space="0" w:color="auto"/>
                <w:bottom w:val="none" w:sz="0" w:space="0" w:color="auto"/>
                <w:right w:val="none" w:sz="0" w:space="0" w:color="auto"/>
              </w:divBdr>
            </w:div>
            <w:div w:id="1764689707">
              <w:marLeft w:val="0"/>
              <w:marRight w:val="0"/>
              <w:marTop w:val="0"/>
              <w:marBottom w:val="0"/>
              <w:divBdr>
                <w:top w:val="none" w:sz="0" w:space="0" w:color="auto"/>
                <w:left w:val="none" w:sz="0" w:space="0" w:color="auto"/>
                <w:bottom w:val="none" w:sz="0" w:space="0" w:color="auto"/>
                <w:right w:val="none" w:sz="0" w:space="0" w:color="auto"/>
              </w:divBdr>
            </w:div>
            <w:div w:id="1764689755">
              <w:marLeft w:val="0"/>
              <w:marRight w:val="0"/>
              <w:marTop w:val="0"/>
              <w:marBottom w:val="0"/>
              <w:divBdr>
                <w:top w:val="none" w:sz="0" w:space="0" w:color="auto"/>
                <w:left w:val="none" w:sz="0" w:space="0" w:color="auto"/>
                <w:bottom w:val="none" w:sz="0" w:space="0" w:color="auto"/>
                <w:right w:val="none" w:sz="0" w:space="0" w:color="auto"/>
              </w:divBdr>
            </w:div>
            <w:div w:id="1764690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080">
      <w:marLeft w:val="0"/>
      <w:marRight w:val="0"/>
      <w:marTop w:val="0"/>
      <w:marBottom w:val="0"/>
      <w:divBdr>
        <w:top w:val="none" w:sz="0" w:space="0" w:color="auto"/>
        <w:left w:val="none" w:sz="0" w:space="0" w:color="auto"/>
        <w:bottom w:val="none" w:sz="0" w:space="0" w:color="auto"/>
        <w:right w:val="none" w:sz="0" w:space="0" w:color="auto"/>
      </w:divBdr>
      <w:divsChild>
        <w:div w:id="1764689497">
          <w:marLeft w:val="0"/>
          <w:marRight w:val="0"/>
          <w:marTop w:val="0"/>
          <w:marBottom w:val="0"/>
          <w:divBdr>
            <w:top w:val="none" w:sz="0" w:space="0" w:color="auto"/>
            <w:left w:val="none" w:sz="0" w:space="0" w:color="auto"/>
            <w:bottom w:val="none" w:sz="0" w:space="0" w:color="auto"/>
            <w:right w:val="none" w:sz="0" w:space="0" w:color="auto"/>
          </w:divBdr>
          <w:divsChild>
            <w:div w:id="1764689301">
              <w:marLeft w:val="0"/>
              <w:marRight w:val="0"/>
              <w:marTop w:val="0"/>
              <w:marBottom w:val="0"/>
              <w:divBdr>
                <w:top w:val="none" w:sz="0" w:space="0" w:color="auto"/>
                <w:left w:val="none" w:sz="0" w:space="0" w:color="auto"/>
                <w:bottom w:val="none" w:sz="0" w:space="0" w:color="auto"/>
                <w:right w:val="none" w:sz="0" w:space="0" w:color="auto"/>
              </w:divBdr>
            </w:div>
            <w:div w:id="1764689468">
              <w:marLeft w:val="0"/>
              <w:marRight w:val="0"/>
              <w:marTop w:val="0"/>
              <w:marBottom w:val="0"/>
              <w:divBdr>
                <w:top w:val="none" w:sz="0" w:space="0" w:color="auto"/>
                <w:left w:val="none" w:sz="0" w:space="0" w:color="auto"/>
                <w:bottom w:val="none" w:sz="0" w:space="0" w:color="auto"/>
                <w:right w:val="none" w:sz="0" w:space="0" w:color="auto"/>
              </w:divBdr>
            </w:div>
            <w:div w:id="1764689488">
              <w:marLeft w:val="0"/>
              <w:marRight w:val="0"/>
              <w:marTop w:val="0"/>
              <w:marBottom w:val="0"/>
              <w:divBdr>
                <w:top w:val="none" w:sz="0" w:space="0" w:color="auto"/>
                <w:left w:val="none" w:sz="0" w:space="0" w:color="auto"/>
                <w:bottom w:val="none" w:sz="0" w:space="0" w:color="auto"/>
                <w:right w:val="none" w:sz="0" w:space="0" w:color="auto"/>
              </w:divBdr>
            </w:div>
            <w:div w:id="1764690213">
              <w:marLeft w:val="0"/>
              <w:marRight w:val="0"/>
              <w:marTop w:val="0"/>
              <w:marBottom w:val="0"/>
              <w:divBdr>
                <w:top w:val="none" w:sz="0" w:space="0" w:color="auto"/>
                <w:left w:val="none" w:sz="0" w:space="0" w:color="auto"/>
                <w:bottom w:val="none" w:sz="0" w:space="0" w:color="auto"/>
                <w:right w:val="none" w:sz="0" w:space="0" w:color="auto"/>
              </w:divBdr>
            </w:div>
            <w:div w:id="1764690235">
              <w:marLeft w:val="0"/>
              <w:marRight w:val="0"/>
              <w:marTop w:val="0"/>
              <w:marBottom w:val="0"/>
              <w:divBdr>
                <w:top w:val="none" w:sz="0" w:space="0" w:color="auto"/>
                <w:left w:val="none" w:sz="0" w:space="0" w:color="auto"/>
                <w:bottom w:val="none" w:sz="0" w:space="0" w:color="auto"/>
                <w:right w:val="none" w:sz="0" w:space="0" w:color="auto"/>
              </w:divBdr>
            </w:div>
            <w:div w:id="176469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081">
      <w:marLeft w:val="0"/>
      <w:marRight w:val="0"/>
      <w:marTop w:val="0"/>
      <w:marBottom w:val="0"/>
      <w:divBdr>
        <w:top w:val="none" w:sz="0" w:space="0" w:color="auto"/>
        <w:left w:val="none" w:sz="0" w:space="0" w:color="auto"/>
        <w:bottom w:val="none" w:sz="0" w:space="0" w:color="auto"/>
        <w:right w:val="none" w:sz="0" w:space="0" w:color="auto"/>
      </w:divBdr>
      <w:divsChild>
        <w:div w:id="1764689514">
          <w:marLeft w:val="0"/>
          <w:marRight w:val="0"/>
          <w:marTop w:val="0"/>
          <w:marBottom w:val="0"/>
          <w:divBdr>
            <w:top w:val="none" w:sz="0" w:space="0" w:color="auto"/>
            <w:left w:val="none" w:sz="0" w:space="0" w:color="auto"/>
            <w:bottom w:val="none" w:sz="0" w:space="0" w:color="auto"/>
            <w:right w:val="none" w:sz="0" w:space="0" w:color="auto"/>
          </w:divBdr>
        </w:div>
      </w:divsChild>
    </w:div>
    <w:div w:id="1764689082">
      <w:marLeft w:val="0"/>
      <w:marRight w:val="0"/>
      <w:marTop w:val="0"/>
      <w:marBottom w:val="0"/>
      <w:divBdr>
        <w:top w:val="none" w:sz="0" w:space="0" w:color="auto"/>
        <w:left w:val="none" w:sz="0" w:space="0" w:color="auto"/>
        <w:bottom w:val="none" w:sz="0" w:space="0" w:color="auto"/>
        <w:right w:val="none" w:sz="0" w:space="0" w:color="auto"/>
      </w:divBdr>
      <w:divsChild>
        <w:div w:id="1764689318">
          <w:marLeft w:val="0"/>
          <w:marRight w:val="0"/>
          <w:marTop w:val="0"/>
          <w:marBottom w:val="0"/>
          <w:divBdr>
            <w:top w:val="none" w:sz="0" w:space="0" w:color="auto"/>
            <w:left w:val="none" w:sz="0" w:space="0" w:color="auto"/>
            <w:bottom w:val="none" w:sz="0" w:space="0" w:color="auto"/>
            <w:right w:val="none" w:sz="0" w:space="0" w:color="auto"/>
          </w:divBdr>
        </w:div>
      </w:divsChild>
    </w:div>
    <w:div w:id="1764689085">
      <w:marLeft w:val="0"/>
      <w:marRight w:val="0"/>
      <w:marTop w:val="0"/>
      <w:marBottom w:val="0"/>
      <w:divBdr>
        <w:top w:val="none" w:sz="0" w:space="0" w:color="auto"/>
        <w:left w:val="none" w:sz="0" w:space="0" w:color="auto"/>
        <w:bottom w:val="none" w:sz="0" w:space="0" w:color="auto"/>
        <w:right w:val="none" w:sz="0" w:space="0" w:color="auto"/>
      </w:divBdr>
    </w:div>
    <w:div w:id="1764689086">
      <w:marLeft w:val="0"/>
      <w:marRight w:val="0"/>
      <w:marTop w:val="0"/>
      <w:marBottom w:val="0"/>
      <w:divBdr>
        <w:top w:val="none" w:sz="0" w:space="0" w:color="auto"/>
        <w:left w:val="none" w:sz="0" w:space="0" w:color="auto"/>
        <w:bottom w:val="none" w:sz="0" w:space="0" w:color="auto"/>
        <w:right w:val="none" w:sz="0" w:space="0" w:color="auto"/>
      </w:divBdr>
      <w:divsChild>
        <w:div w:id="1764689917">
          <w:marLeft w:val="0"/>
          <w:marRight w:val="0"/>
          <w:marTop w:val="0"/>
          <w:marBottom w:val="0"/>
          <w:divBdr>
            <w:top w:val="none" w:sz="0" w:space="0" w:color="auto"/>
            <w:left w:val="none" w:sz="0" w:space="0" w:color="auto"/>
            <w:bottom w:val="none" w:sz="0" w:space="0" w:color="auto"/>
            <w:right w:val="none" w:sz="0" w:space="0" w:color="auto"/>
          </w:divBdr>
          <w:divsChild>
            <w:div w:id="1764689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100">
      <w:marLeft w:val="0"/>
      <w:marRight w:val="0"/>
      <w:marTop w:val="0"/>
      <w:marBottom w:val="0"/>
      <w:divBdr>
        <w:top w:val="none" w:sz="0" w:space="0" w:color="auto"/>
        <w:left w:val="none" w:sz="0" w:space="0" w:color="auto"/>
        <w:bottom w:val="none" w:sz="0" w:space="0" w:color="auto"/>
        <w:right w:val="none" w:sz="0" w:space="0" w:color="auto"/>
      </w:divBdr>
    </w:div>
    <w:div w:id="1764689102">
      <w:marLeft w:val="0"/>
      <w:marRight w:val="0"/>
      <w:marTop w:val="0"/>
      <w:marBottom w:val="0"/>
      <w:divBdr>
        <w:top w:val="none" w:sz="0" w:space="0" w:color="auto"/>
        <w:left w:val="none" w:sz="0" w:space="0" w:color="auto"/>
        <w:bottom w:val="none" w:sz="0" w:space="0" w:color="auto"/>
        <w:right w:val="none" w:sz="0" w:space="0" w:color="auto"/>
      </w:divBdr>
    </w:div>
    <w:div w:id="1764689104">
      <w:marLeft w:val="0"/>
      <w:marRight w:val="0"/>
      <w:marTop w:val="0"/>
      <w:marBottom w:val="0"/>
      <w:divBdr>
        <w:top w:val="none" w:sz="0" w:space="0" w:color="auto"/>
        <w:left w:val="none" w:sz="0" w:space="0" w:color="auto"/>
        <w:bottom w:val="none" w:sz="0" w:space="0" w:color="auto"/>
        <w:right w:val="none" w:sz="0" w:space="0" w:color="auto"/>
      </w:divBdr>
      <w:divsChild>
        <w:div w:id="1764689372">
          <w:marLeft w:val="0"/>
          <w:marRight w:val="0"/>
          <w:marTop w:val="0"/>
          <w:marBottom w:val="0"/>
          <w:divBdr>
            <w:top w:val="none" w:sz="0" w:space="0" w:color="auto"/>
            <w:left w:val="none" w:sz="0" w:space="0" w:color="auto"/>
            <w:bottom w:val="none" w:sz="0" w:space="0" w:color="auto"/>
            <w:right w:val="none" w:sz="0" w:space="0" w:color="auto"/>
          </w:divBdr>
          <w:divsChild>
            <w:div w:id="1764689050">
              <w:marLeft w:val="0"/>
              <w:marRight w:val="0"/>
              <w:marTop w:val="0"/>
              <w:marBottom w:val="0"/>
              <w:divBdr>
                <w:top w:val="none" w:sz="0" w:space="0" w:color="auto"/>
                <w:left w:val="none" w:sz="0" w:space="0" w:color="auto"/>
                <w:bottom w:val="none" w:sz="0" w:space="0" w:color="auto"/>
                <w:right w:val="none" w:sz="0" w:space="0" w:color="auto"/>
              </w:divBdr>
            </w:div>
            <w:div w:id="1764689216">
              <w:marLeft w:val="0"/>
              <w:marRight w:val="0"/>
              <w:marTop w:val="0"/>
              <w:marBottom w:val="0"/>
              <w:divBdr>
                <w:top w:val="none" w:sz="0" w:space="0" w:color="auto"/>
                <w:left w:val="none" w:sz="0" w:space="0" w:color="auto"/>
                <w:bottom w:val="none" w:sz="0" w:space="0" w:color="auto"/>
                <w:right w:val="none" w:sz="0" w:space="0" w:color="auto"/>
              </w:divBdr>
            </w:div>
            <w:div w:id="1764689424">
              <w:marLeft w:val="0"/>
              <w:marRight w:val="0"/>
              <w:marTop w:val="0"/>
              <w:marBottom w:val="0"/>
              <w:divBdr>
                <w:top w:val="none" w:sz="0" w:space="0" w:color="auto"/>
                <w:left w:val="none" w:sz="0" w:space="0" w:color="auto"/>
                <w:bottom w:val="none" w:sz="0" w:space="0" w:color="auto"/>
                <w:right w:val="none" w:sz="0" w:space="0" w:color="auto"/>
              </w:divBdr>
            </w:div>
            <w:div w:id="1764689587">
              <w:marLeft w:val="0"/>
              <w:marRight w:val="0"/>
              <w:marTop w:val="0"/>
              <w:marBottom w:val="0"/>
              <w:divBdr>
                <w:top w:val="none" w:sz="0" w:space="0" w:color="auto"/>
                <w:left w:val="none" w:sz="0" w:space="0" w:color="auto"/>
                <w:bottom w:val="none" w:sz="0" w:space="0" w:color="auto"/>
                <w:right w:val="none" w:sz="0" w:space="0" w:color="auto"/>
              </w:divBdr>
            </w:div>
            <w:div w:id="1764689835">
              <w:marLeft w:val="0"/>
              <w:marRight w:val="0"/>
              <w:marTop w:val="0"/>
              <w:marBottom w:val="0"/>
              <w:divBdr>
                <w:top w:val="none" w:sz="0" w:space="0" w:color="auto"/>
                <w:left w:val="none" w:sz="0" w:space="0" w:color="auto"/>
                <w:bottom w:val="none" w:sz="0" w:space="0" w:color="auto"/>
                <w:right w:val="none" w:sz="0" w:space="0" w:color="auto"/>
              </w:divBdr>
            </w:div>
            <w:div w:id="1764690022">
              <w:marLeft w:val="0"/>
              <w:marRight w:val="0"/>
              <w:marTop w:val="0"/>
              <w:marBottom w:val="0"/>
              <w:divBdr>
                <w:top w:val="none" w:sz="0" w:space="0" w:color="auto"/>
                <w:left w:val="none" w:sz="0" w:space="0" w:color="auto"/>
                <w:bottom w:val="none" w:sz="0" w:space="0" w:color="auto"/>
                <w:right w:val="none" w:sz="0" w:space="0" w:color="auto"/>
              </w:divBdr>
            </w:div>
            <w:div w:id="1764690356">
              <w:marLeft w:val="0"/>
              <w:marRight w:val="0"/>
              <w:marTop w:val="0"/>
              <w:marBottom w:val="0"/>
              <w:divBdr>
                <w:top w:val="none" w:sz="0" w:space="0" w:color="auto"/>
                <w:left w:val="none" w:sz="0" w:space="0" w:color="auto"/>
                <w:bottom w:val="none" w:sz="0" w:space="0" w:color="auto"/>
                <w:right w:val="none" w:sz="0" w:space="0" w:color="auto"/>
              </w:divBdr>
            </w:div>
            <w:div w:id="1764690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110">
      <w:marLeft w:val="0"/>
      <w:marRight w:val="0"/>
      <w:marTop w:val="0"/>
      <w:marBottom w:val="0"/>
      <w:divBdr>
        <w:top w:val="none" w:sz="0" w:space="0" w:color="auto"/>
        <w:left w:val="none" w:sz="0" w:space="0" w:color="auto"/>
        <w:bottom w:val="none" w:sz="0" w:space="0" w:color="auto"/>
        <w:right w:val="none" w:sz="0" w:space="0" w:color="auto"/>
      </w:divBdr>
    </w:div>
    <w:div w:id="1764689111">
      <w:marLeft w:val="0"/>
      <w:marRight w:val="0"/>
      <w:marTop w:val="0"/>
      <w:marBottom w:val="0"/>
      <w:divBdr>
        <w:top w:val="none" w:sz="0" w:space="0" w:color="auto"/>
        <w:left w:val="none" w:sz="0" w:space="0" w:color="auto"/>
        <w:bottom w:val="none" w:sz="0" w:space="0" w:color="auto"/>
        <w:right w:val="none" w:sz="0" w:space="0" w:color="auto"/>
      </w:divBdr>
    </w:div>
    <w:div w:id="1764689116">
      <w:marLeft w:val="0"/>
      <w:marRight w:val="0"/>
      <w:marTop w:val="0"/>
      <w:marBottom w:val="0"/>
      <w:divBdr>
        <w:top w:val="none" w:sz="0" w:space="0" w:color="auto"/>
        <w:left w:val="none" w:sz="0" w:space="0" w:color="auto"/>
        <w:bottom w:val="none" w:sz="0" w:space="0" w:color="auto"/>
        <w:right w:val="none" w:sz="0" w:space="0" w:color="auto"/>
      </w:divBdr>
      <w:divsChild>
        <w:div w:id="1764690264">
          <w:marLeft w:val="0"/>
          <w:marRight w:val="0"/>
          <w:marTop w:val="0"/>
          <w:marBottom w:val="0"/>
          <w:divBdr>
            <w:top w:val="none" w:sz="0" w:space="0" w:color="auto"/>
            <w:left w:val="none" w:sz="0" w:space="0" w:color="auto"/>
            <w:bottom w:val="none" w:sz="0" w:space="0" w:color="auto"/>
            <w:right w:val="none" w:sz="0" w:space="0" w:color="auto"/>
          </w:divBdr>
          <w:divsChild>
            <w:div w:id="1764689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123">
      <w:marLeft w:val="0"/>
      <w:marRight w:val="0"/>
      <w:marTop w:val="0"/>
      <w:marBottom w:val="0"/>
      <w:divBdr>
        <w:top w:val="none" w:sz="0" w:space="0" w:color="auto"/>
        <w:left w:val="none" w:sz="0" w:space="0" w:color="auto"/>
        <w:bottom w:val="none" w:sz="0" w:space="0" w:color="auto"/>
        <w:right w:val="none" w:sz="0" w:space="0" w:color="auto"/>
      </w:divBdr>
    </w:div>
    <w:div w:id="1764689132">
      <w:marLeft w:val="0"/>
      <w:marRight w:val="0"/>
      <w:marTop w:val="0"/>
      <w:marBottom w:val="0"/>
      <w:divBdr>
        <w:top w:val="none" w:sz="0" w:space="0" w:color="auto"/>
        <w:left w:val="none" w:sz="0" w:space="0" w:color="auto"/>
        <w:bottom w:val="none" w:sz="0" w:space="0" w:color="auto"/>
        <w:right w:val="none" w:sz="0" w:space="0" w:color="auto"/>
      </w:divBdr>
      <w:divsChild>
        <w:div w:id="1764689204">
          <w:marLeft w:val="0"/>
          <w:marRight w:val="0"/>
          <w:marTop w:val="0"/>
          <w:marBottom w:val="0"/>
          <w:divBdr>
            <w:top w:val="none" w:sz="0" w:space="0" w:color="auto"/>
            <w:left w:val="none" w:sz="0" w:space="0" w:color="auto"/>
            <w:bottom w:val="none" w:sz="0" w:space="0" w:color="auto"/>
            <w:right w:val="none" w:sz="0" w:space="0" w:color="auto"/>
          </w:divBdr>
        </w:div>
      </w:divsChild>
    </w:div>
    <w:div w:id="1764689133">
      <w:marLeft w:val="0"/>
      <w:marRight w:val="0"/>
      <w:marTop w:val="0"/>
      <w:marBottom w:val="0"/>
      <w:divBdr>
        <w:top w:val="none" w:sz="0" w:space="0" w:color="auto"/>
        <w:left w:val="none" w:sz="0" w:space="0" w:color="auto"/>
        <w:bottom w:val="none" w:sz="0" w:space="0" w:color="auto"/>
        <w:right w:val="none" w:sz="0" w:space="0" w:color="auto"/>
      </w:divBdr>
    </w:div>
    <w:div w:id="1764689134">
      <w:marLeft w:val="0"/>
      <w:marRight w:val="0"/>
      <w:marTop w:val="0"/>
      <w:marBottom w:val="0"/>
      <w:divBdr>
        <w:top w:val="none" w:sz="0" w:space="0" w:color="auto"/>
        <w:left w:val="none" w:sz="0" w:space="0" w:color="auto"/>
        <w:bottom w:val="none" w:sz="0" w:space="0" w:color="auto"/>
        <w:right w:val="none" w:sz="0" w:space="0" w:color="auto"/>
      </w:divBdr>
      <w:divsChild>
        <w:div w:id="1764689902">
          <w:marLeft w:val="0"/>
          <w:marRight w:val="0"/>
          <w:marTop w:val="0"/>
          <w:marBottom w:val="0"/>
          <w:divBdr>
            <w:top w:val="none" w:sz="0" w:space="0" w:color="auto"/>
            <w:left w:val="none" w:sz="0" w:space="0" w:color="auto"/>
            <w:bottom w:val="none" w:sz="0" w:space="0" w:color="auto"/>
            <w:right w:val="none" w:sz="0" w:space="0" w:color="auto"/>
          </w:divBdr>
          <w:divsChild>
            <w:div w:id="1764689238">
              <w:marLeft w:val="0"/>
              <w:marRight w:val="0"/>
              <w:marTop w:val="0"/>
              <w:marBottom w:val="0"/>
              <w:divBdr>
                <w:top w:val="none" w:sz="0" w:space="0" w:color="auto"/>
                <w:left w:val="none" w:sz="0" w:space="0" w:color="auto"/>
                <w:bottom w:val="none" w:sz="0" w:space="0" w:color="auto"/>
                <w:right w:val="none" w:sz="0" w:space="0" w:color="auto"/>
              </w:divBdr>
            </w:div>
            <w:div w:id="1764689386">
              <w:marLeft w:val="0"/>
              <w:marRight w:val="0"/>
              <w:marTop w:val="0"/>
              <w:marBottom w:val="0"/>
              <w:divBdr>
                <w:top w:val="none" w:sz="0" w:space="0" w:color="auto"/>
                <w:left w:val="none" w:sz="0" w:space="0" w:color="auto"/>
                <w:bottom w:val="none" w:sz="0" w:space="0" w:color="auto"/>
                <w:right w:val="none" w:sz="0" w:space="0" w:color="auto"/>
              </w:divBdr>
            </w:div>
            <w:div w:id="1764689456">
              <w:marLeft w:val="0"/>
              <w:marRight w:val="0"/>
              <w:marTop w:val="0"/>
              <w:marBottom w:val="0"/>
              <w:divBdr>
                <w:top w:val="none" w:sz="0" w:space="0" w:color="auto"/>
                <w:left w:val="none" w:sz="0" w:space="0" w:color="auto"/>
                <w:bottom w:val="none" w:sz="0" w:space="0" w:color="auto"/>
                <w:right w:val="none" w:sz="0" w:space="0" w:color="auto"/>
              </w:divBdr>
            </w:div>
            <w:div w:id="1764689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136">
      <w:marLeft w:val="0"/>
      <w:marRight w:val="0"/>
      <w:marTop w:val="0"/>
      <w:marBottom w:val="0"/>
      <w:divBdr>
        <w:top w:val="none" w:sz="0" w:space="0" w:color="auto"/>
        <w:left w:val="none" w:sz="0" w:space="0" w:color="auto"/>
        <w:bottom w:val="none" w:sz="0" w:space="0" w:color="auto"/>
        <w:right w:val="none" w:sz="0" w:space="0" w:color="auto"/>
      </w:divBdr>
    </w:div>
    <w:div w:id="1764689141">
      <w:marLeft w:val="0"/>
      <w:marRight w:val="0"/>
      <w:marTop w:val="0"/>
      <w:marBottom w:val="0"/>
      <w:divBdr>
        <w:top w:val="none" w:sz="0" w:space="0" w:color="auto"/>
        <w:left w:val="none" w:sz="0" w:space="0" w:color="auto"/>
        <w:bottom w:val="none" w:sz="0" w:space="0" w:color="auto"/>
        <w:right w:val="none" w:sz="0" w:space="0" w:color="auto"/>
      </w:divBdr>
      <w:divsChild>
        <w:div w:id="1764689784">
          <w:marLeft w:val="0"/>
          <w:marRight w:val="0"/>
          <w:marTop w:val="0"/>
          <w:marBottom w:val="0"/>
          <w:divBdr>
            <w:top w:val="none" w:sz="0" w:space="0" w:color="auto"/>
            <w:left w:val="none" w:sz="0" w:space="0" w:color="auto"/>
            <w:bottom w:val="none" w:sz="0" w:space="0" w:color="auto"/>
            <w:right w:val="none" w:sz="0" w:space="0" w:color="auto"/>
          </w:divBdr>
        </w:div>
      </w:divsChild>
    </w:div>
    <w:div w:id="1764689143">
      <w:marLeft w:val="0"/>
      <w:marRight w:val="0"/>
      <w:marTop w:val="0"/>
      <w:marBottom w:val="0"/>
      <w:divBdr>
        <w:top w:val="none" w:sz="0" w:space="0" w:color="auto"/>
        <w:left w:val="none" w:sz="0" w:space="0" w:color="auto"/>
        <w:bottom w:val="none" w:sz="0" w:space="0" w:color="auto"/>
        <w:right w:val="none" w:sz="0" w:space="0" w:color="auto"/>
      </w:divBdr>
      <w:divsChild>
        <w:div w:id="1764690542">
          <w:marLeft w:val="0"/>
          <w:marRight w:val="0"/>
          <w:marTop w:val="0"/>
          <w:marBottom w:val="0"/>
          <w:divBdr>
            <w:top w:val="none" w:sz="0" w:space="0" w:color="auto"/>
            <w:left w:val="none" w:sz="0" w:space="0" w:color="auto"/>
            <w:bottom w:val="none" w:sz="0" w:space="0" w:color="auto"/>
            <w:right w:val="none" w:sz="0" w:space="0" w:color="auto"/>
          </w:divBdr>
          <w:divsChild>
            <w:div w:id="1764689560">
              <w:marLeft w:val="0"/>
              <w:marRight w:val="0"/>
              <w:marTop w:val="0"/>
              <w:marBottom w:val="0"/>
              <w:divBdr>
                <w:top w:val="none" w:sz="0" w:space="0" w:color="auto"/>
                <w:left w:val="none" w:sz="0" w:space="0" w:color="auto"/>
                <w:bottom w:val="none" w:sz="0" w:space="0" w:color="auto"/>
                <w:right w:val="none" w:sz="0" w:space="0" w:color="auto"/>
              </w:divBdr>
            </w:div>
            <w:div w:id="1764689937">
              <w:marLeft w:val="0"/>
              <w:marRight w:val="0"/>
              <w:marTop w:val="0"/>
              <w:marBottom w:val="0"/>
              <w:divBdr>
                <w:top w:val="none" w:sz="0" w:space="0" w:color="auto"/>
                <w:left w:val="none" w:sz="0" w:space="0" w:color="auto"/>
                <w:bottom w:val="none" w:sz="0" w:space="0" w:color="auto"/>
                <w:right w:val="none" w:sz="0" w:space="0" w:color="auto"/>
              </w:divBdr>
            </w:div>
            <w:div w:id="1764690084">
              <w:marLeft w:val="0"/>
              <w:marRight w:val="0"/>
              <w:marTop w:val="0"/>
              <w:marBottom w:val="0"/>
              <w:divBdr>
                <w:top w:val="none" w:sz="0" w:space="0" w:color="auto"/>
                <w:left w:val="none" w:sz="0" w:space="0" w:color="auto"/>
                <w:bottom w:val="none" w:sz="0" w:space="0" w:color="auto"/>
                <w:right w:val="none" w:sz="0" w:space="0" w:color="auto"/>
              </w:divBdr>
            </w:div>
            <w:div w:id="1764690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146">
      <w:marLeft w:val="0"/>
      <w:marRight w:val="0"/>
      <w:marTop w:val="0"/>
      <w:marBottom w:val="0"/>
      <w:divBdr>
        <w:top w:val="none" w:sz="0" w:space="0" w:color="auto"/>
        <w:left w:val="none" w:sz="0" w:space="0" w:color="auto"/>
        <w:bottom w:val="none" w:sz="0" w:space="0" w:color="auto"/>
        <w:right w:val="none" w:sz="0" w:space="0" w:color="auto"/>
      </w:divBdr>
    </w:div>
    <w:div w:id="1764689147">
      <w:marLeft w:val="0"/>
      <w:marRight w:val="0"/>
      <w:marTop w:val="0"/>
      <w:marBottom w:val="0"/>
      <w:divBdr>
        <w:top w:val="none" w:sz="0" w:space="0" w:color="auto"/>
        <w:left w:val="none" w:sz="0" w:space="0" w:color="auto"/>
        <w:bottom w:val="none" w:sz="0" w:space="0" w:color="auto"/>
        <w:right w:val="none" w:sz="0" w:space="0" w:color="auto"/>
      </w:divBdr>
      <w:divsChild>
        <w:div w:id="1764689515">
          <w:marLeft w:val="0"/>
          <w:marRight w:val="0"/>
          <w:marTop w:val="0"/>
          <w:marBottom w:val="0"/>
          <w:divBdr>
            <w:top w:val="none" w:sz="0" w:space="0" w:color="auto"/>
            <w:left w:val="none" w:sz="0" w:space="0" w:color="auto"/>
            <w:bottom w:val="none" w:sz="0" w:space="0" w:color="auto"/>
            <w:right w:val="none" w:sz="0" w:space="0" w:color="auto"/>
          </w:divBdr>
          <w:divsChild>
            <w:div w:id="1764689395">
              <w:marLeft w:val="0"/>
              <w:marRight w:val="0"/>
              <w:marTop w:val="0"/>
              <w:marBottom w:val="0"/>
              <w:divBdr>
                <w:top w:val="none" w:sz="0" w:space="0" w:color="auto"/>
                <w:left w:val="none" w:sz="0" w:space="0" w:color="auto"/>
                <w:bottom w:val="none" w:sz="0" w:space="0" w:color="auto"/>
                <w:right w:val="none" w:sz="0" w:space="0" w:color="auto"/>
              </w:divBdr>
            </w:div>
            <w:div w:id="1764689701">
              <w:marLeft w:val="0"/>
              <w:marRight w:val="0"/>
              <w:marTop w:val="0"/>
              <w:marBottom w:val="0"/>
              <w:divBdr>
                <w:top w:val="none" w:sz="0" w:space="0" w:color="auto"/>
                <w:left w:val="none" w:sz="0" w:space="0" w:color="auto"/>
                <w:bottom w:val="none" w:sz="0" w:space="0" w:color="auto"/>
                <w:right w:val="none" w:sz="0" w:space="0" w:color="auto"/>
              </w:divBdr>
            </w:div>
            <w:div w:id="1764689810">
              <w:marLeft w:val="0"/>
              <w:marRight w:val="0"/>
              <w:marTop w:val="0"/>
              <w:marBottom w:val="0"/>
              <w:divBdr>
                <w:top w:val="none" w:sz="0" w:space="0" w:color="auto"/>
                <w:left w:val="none" w:sz="0" w:space="0" w:color="auto"/>
                <w:bottom w:val="none" w:sz="0" w:space="0" w:color="auto"/>
                <w:right w:val="none" w:sz="0" w:space="0" w:color="auto"/>
              </w:divBdr>
            </w:div>
            <w:div w:id="1764689947">
              <w:marLeft w:val="0"/>
              <w:marRight w:val="0"/>
              <w:marTop w:val="0"/>
              <w:marBottom w:val="0"/>
              <w:divBdr>
                <w:top w:val="none" w:sz="0" w:space="0" w:color="auto"/>
                <w:left w:val="none" w:sz="0" w:space="0" w:color="auto"/>
                <w:bottom w:val="none" w:sz="0" w:space="0" w:color="auto"/>
                <w:right w:val="none" w:sz="0" w:space="0" w:color="auto"/>
              </w:divBdr>
            </w:div>
            <w:div w:id="1764690033">
              <w:marLeft w:val="0"/>
              <w:marRight w:val="0"/>
              <w:marTop w:val="0"/>
              <w:marBottom w:val="0"/>
              <w:divBdr>
                <w:top w:val="none" w:sz="0" w:space="0" w:color="auto"/>
                <w:left w:val="none" w:sz="0" w:space="0" w:color="auto"/>
                <w:bottom w:val="none" w:sz="0" w:space="0" w:color="auto"/>
                <w:right w:val="none" w:sz="0" w:space="0" w:color="auto"/>
              </w:divBdr>
            </w:div>
            <w:div w:id="1764690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150">
      <w:marLeft w:val="0"/>
      <w:marRight w:val="0"/>
      <w:marTop w:val="0"/>
      <w:marBottom w:val="0"/>
      <w:divBdr>
        <w:top w:val="none" w:sz="0" w:space="0" w:color="auto"/>
        <w:left w:val="none" w:sz="0" w:space="0" w:color="auto"/>
        <w:bottom w:val="none" w:sz="0" w:space="0" w:color="auto"/>
        <w:right w:val="none" w:sz="0" w:space="0" w:color="auto"/>
      </w:divBdr>
      <w:divsChild>
        <w:div w:id="1764690454">
          <w:marLeft w:val="0"/>
          <w:marRight w:val="0"/>
          <w:marTop w:val="0"/>
          <w:marBottom w:val="0"/>
          <w:divBdr>
            <w:top w:val="none" w:sz="0" w:space="0" w:color="auto"/>
            <w:left w:val="none" w:sz="0" w:space="0" w:color="auto"/>
            <w:bottom w:val="none" w:sz="0" w:space="0" w:color="auto"/>
            <w:right w:val="none" w:sz="0" w:space="0" w:color="auto"/>
          </w:divBdr>
          <w:divsChild>
            <w:div w:id="1764689185">
              <w:marLeft w:val="0"/>
              <w:marRight w:val="0"/>
              <w:marTop w:val="0"/>
              <w:marBottom w:val="0"/>
              <w:divBdr>
                <w:top w:val="none" w:sz="0" w:space="0" w:color="auto"/>
                <w:left w:val="none" w:sz="0" w:space="0" w:color="auto"/>
                <w:bottom w:val="none" w:sz="0" w:space="0" w:color="auto"/>
                <w:right w:val="none" w:sz="0" w:space="0" w:color="auto"/>
              </w:divBdr>
            </w:div>
            <w:div w:id="1764689270">
              <w:marLeft w:val="0"/>
              <w:marRight w:val="0"/>
              <w:marTop w:val="0"/>
              <w:marBottom w:val="0"/>
              <w:divBdr>
                <w:top w:val="none" w:sz="0" w:space="0" w:color="auto"/>
                <w:left w:val="none" w:sz="0" w:space="0" w:color="auto"/>
                <w:bottom w:val="none" w:sz="0" w:space="0" w:color="auto"/>
                <w:right w:val="none" w:sz="0" w:space="0" w:color="auto"/>
              </w:divBdr>
            </w:div>
            <w:div w:id="1764689462">
              <w:marLeft w:val="0"/>
              <w:marRight w:val="0"/>
              <w:marTop w:val="0"/>
              <w:marBottom w:val="0"/>
              <w:divBdr>
                <w:top w:val="none" w:sz="0" w:space="0" w:color="auto"/>
                <w:left w:val="none" w:sz="0" w:space="0" w:color="auto"/>
                <w:bottom w:val="none" w:sz="0" w:space="0" w:color="auto"/>
                <w:right w:val="none" w:sz="0" w:space="0" w:color="auto"/>
              </w:divBdr>
            </w:div>
            <w:div w:id="1764690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151">
      <w:marLeft w:val="0"/>
      <w:marRight w:val="0"/>
      <w:marTop w:val="0"/>
      <w:marBottom w:val="0"/>
      <w:divBdr>
        <w:top w:val="none" w:sz="0" w:space="0" w:color="auto"/>
        <w:left w:val="none" w:sz="0" w:space="0" w:color="auto"/>
        <w:bottom w:val="none" w:sz="0" w:space="0" w:color="auto"/>
        <w:right w:val="none" w:sz="0" w:space="0" w:color="auto"/>
      </w:divBdr>
      <w:divsChild>
        <w:div w:id="1764689057">
          <w:marLeft w:val="0"/>
          <w:marRight w:val="0"/>
          <w:marTop w:val="0"/>
          <w:marBottom w:val="0"/>
          <w:divBdr>
            <w:top w:val="none" w:sz="0" w:space="0" w:color="auto"/>
            <w:left w:val="none" w:sz="0" w:space="0" w:color="auto"/>
            <w:bottom w:val="none" w:sz="0" w:space="0" w:color="auto"/>
            <w:right w:val="none" w:sz="0" w:space="0" w:color="auto"/>
          </w:divBdr>
          <w:divsChild>
            <w:div w:id="1764689089">
              <w:marLeft w:val="0"/>
              <w:marRight w:val="0"/>
              <w:marTop w:val="0"/>
              <w:marBottom w:val="0"/>
              <w:divBdr>
                <w:top w:val="none" w:sz="0" w:space="0" w:color="auto"/>
                <w:left w:val="none" w:sz="0" w:space="0" w:color="auto"/>
                <w:bottom w:val="none" w:sz="0" w:space="0" w:color="auto"/>
                <w:right w:val="none" w:sz="0" w:space="0" w:color="auto"/>
              </w:divBdr>
            </w:div>
            <w:div w:id="1764689124">
              <w:marLeft w:val="0"/>
              <w:marRight w:val="0"/>
              <w:marTop w:val="0"/>
              <w:marBottom w:val="0"/>
              <w:divBdr>
                <w:top w:val="none" w:sz="0" w:space="0" w:color="auto"/>
                <w:left w:val="none" w:sz="0" w:space="0" w:color="auto"/>
                <w:bottom w:val="none" w:sz="0" w:space="0" w:color="auto"/>
                <w:right w:val="none" w:sz="0" w:space="0" w:color="auto"/>
              </w:divBdr>
            </w:div>
            <w:div w:id="1764689312">
              <w:marLeft w:val="0"/>
              <w:marRight w:val="0"/>
              <w:marTop w:val="0"/>
              <w:marBottom w:val="0"/>
              <w:divBdr>
                <w:top w:val="none" w:sz="0" w:space="0" w:color="auto"/>
                <w:left w:val="none" w:sz="0" w:space="0" w:color="auto"/>
                <w:bottom w:val="none" w:sz="0" w:space="0" w:color="auto"/>
                <w:right w:val="none" w:sz="0" w:space="0" w:color="auto"/>
              </w:divBdr>
            </w:div>
            <w:div w:id="1764690327">
              <w:marLeft w:val="0"/>
              <w:marRight w:val="0"/>
              <w:marTop w:val="0"/>
              <w:marBottom w:val="0"/>
              <w:divBdr>
                <w:top w:val="none" w:sz="0" w:space="0" w:color="auto"/>
                <w:left w:val="none" w:sz="0" w:space="0" w:color="auto"/>
                <w:bottom w:val="none" w:sz="0" w:space="0" w:color="auto"/>
                <w:right w:val="none" w:sz="0" w:space="0" w:color="auto"/>
              </w:divBdr>
            </w:div>
            <w:div w:id="1764690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152">
      <w:marLeft w:val="0"/>
      <w:marRight w:val="0"/>
      <w:marTop w:val="0"/>
      <w:marBottom w:val="0"/>
      <w:divBdr>
        <w:top w:val="none" w:sz="0" w:space="0" w:color="auto"/>
        <w:left w:val="none" w:sz="0" w:space="0" w:color="auto"/>
        <w:bottom w:val="none" w:sz="0" w:space="0" w:color="auto"/>
        <w:right w:val="none" w:sz="0" w:space="0" w:color="auto"/>
      </w:divBdr>
    </w:div>
    <w:div w:id="1764689155">
      <w:marLeft w:val="0"/>
      <w:marRight w:val="0"/>
      <w:marTop w:val="0"/>
      <w:marBottom w:val="0"/>
      <w:divBdr>
        <w:top w:val="none" w:sz="0" w:space="0" w:color="auto"/>
        <w:left w:val="none" w:sz="0" w:space="0" w:color="auto"/>
        <w:bottom w:val="none" w:sz="0" w:space="0" w:color="auto"/>
        <w:right w:val="none" w:sz="0" w:space="0" w:color="auto"/>
      </w:divBdr>
      <w:divsChild>
        <w:div w:id="1764689930">
          <w:marLeft w:val="0"/>
          <w:marRight w:val="0"/>
          <w:marTop w:val="0"/>
          <w:marBottom w:val="0"/>
          <w:divBdr>
            <w:top w:val="none" w:sz="0" w:space="0" w:color="auto"/>
            <w:left w:val="none" w:sz="0" w:space="0" w:color="auto"/>
            <w:bottom w:val="none" w:sz="0" w:space="0" w:color="auto"/>
            <w:right w:val="none" w:sz="0" w:space="0" w:color="auto"/>
          </w:divBdr>
          <w:divsChild>
            <w:div w:id="1764689069">
              <w:marLeft w:val="0"/>
              <w:marRight w:val="0"/>
              <w:marTop w:val="0"/>
              <w:marBottom w:val="0"/>
              <w:divBdr>
                <w:top w:val="none" w:sz="0" w:space="0" w:color="auto"/>
                <w:left w:val="none" w:sz="0" w:space="0" w:color="auto"/>
                <w:bottom w:val="none" w:sz="0" w:space="0" w:color="auto"/>
                <w:right w:val="none" w:sz="0" w:space="0" w:color="auto"/>
              </w:divBdr>
            </w:div>
            <w:div w:id="1764689387">
              <w:marLeft w:val="0"/>
              <w:marRight w:val="0"/>
              <w:marTop w:val="0"/>
              <w:marBottom w:val="0"/>
              <w:divBdr>
                <w:top w:val="none" w:sz="0" w:space="0" w:color="auto"/>
                <w:left w:val="none" w:sz="0" w:space="0" w:color="auto"/>
                <w:bottom w:val="none" w:sz="0" w:space="0" w:color="auto"/>
                <w:right w:val="none" w:sz="0" w:space="0" w:color="auto"/>
              </w:divBdr>
            </w:div>
            <w:div w:id="1764689401">
              <w:marLeft w:val="0"/>
              <w:marRight w:val="0"/>
              <w:marTop w:val="0"/>
              <w:marBottom w:val="0"/>
              <w:divBdr>
                <w:top w:val="none" w:sz="0" w:space="0" w:color="auto"/>
                <w:left w:val="none" w:sz="0" w:space="0" w:color="auto"/>
                <w:bottom w:val="none" w:sz="0" w:space="0" w:color="auto"/>
                <w:right w:val="none" w:sz="0" w:space="0" w:color="auto"/>
              </w:divBdr>
            </w:div>
            <w:div w:id="1764689671">
              <w:marLeft w:val="0"/>
              <w:marRight w:val="0"/>
              <w:marTop w:val="0"/>
              <w:marBottom w:val="0"/>
              <w:divBdr>
                <w:top w:val="none" w:sz="0" w:space="0" w:color="auto"/>
                <w:left w:val="none" w:sz="0" w:space="0" w:color="auto"/>
                <w:bottom w:val="none" w:sz="0" w:space="0" w:color="auto"/>
                <w:right w:val="none" w:sz="0" w:space="0" w:color="auto"/>
              </w:divBdr>
            </w:div>
            <w:div w:id="1764689789">
              <w:marLeft w:val="0"/>
              <w:marRight w:val="0"/>
              <w:marTop w:val="0"/>
              <w:marBottom w:val="0"/>
              <w:divBdr>
                <w:top w:val="none" w:sz="0" w:space="0" w:color="auto"/>
                <w:left w:val="none" w:sz="0" w:space="0" w:color="auto"/>
                <w:bottom w:val="none" w:sz="0" w:space="0" w:color="auto"/>
                <w:right w:val="none" w:sz="0" w:space="0" w:color="auto"/>
              </w:divBdr>
            </w:div>
            <w:div w:id="176469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163">
      <w:marLeft w:val="0"/>
      <w:marRight w:val="0"/>
      <w:marTop w:val="0"/>
      <w:marBottom w:val="0"/>
      <w:divBdr>
        <w:top w:val="none" w:sz="0" w:space="0" w:color="auto"/>
        <w:left w:val="none" w:sz="0" w:space="0" w:color="auto"/>
        <w:bottom w:val="none" w:sz="0" w:space="0" w:color="auto"/>
        <w:right w:val="none" w:sz="0" w:space="0" w:color="auto"/>
      </w:divBdr>
    </w:div>
    <w:div w:id="1764689166">
      <w:marLeft w:val="0"/>
      <w:marRight w:val="0"/>
      <w:marTop w:val="0"/>
      <w:marBottom w:val="0"/>
      <w:divBdr>
        <w:top w:val="none" w:sz="0" w:space="0" w:color="auto"/>
        <w:left w:val="none" w:sz="0" w:space="0" w:color="auto"/>
        <w:bottom w:val="none" w:sz="0" w:space="0" w:color="auto"/>
        <w:right w:val="none" w:sz="0" w:space="0" w:color="auto"/>
      </w:divBdr>
      <w:divsChild>
        <w:div w:id="1764690012">
          <w:marLeft w:val="720"/>
          <w:marRight w:val="720"/>
          <w:marTop w:val="100"/>
          <w:marBottom w:val="100"/>
          <w:divBdr>
            <w:top w:val="none" w:sz="0" w:space="0" w:color="auto"/>
            <w:left w:val="none" w:sz="0" w:space="0" w:color="auto"/>
            <w:bottom w:val="none" w:sz="0" w:space="0" w:color="auto"/>
            <w:right w:val="none" w:sz="0" w:space="0" w:color="auto"/>
          </w:divBdr>
        </w:div>
      </w:divsChild>
    </w:div>
    <w:div w:id="1764689169">
      <w:marLeft w:val="0"/>
      <w:marRight w:val="0"/>
      <w:marTop w:val="0"/>
      <w:marBottom w:val="0"/>
      <w:divBdr>
        <w:top w:val="none" w:sz="0" w:space="0" w:color="auto"/>
        <w:left w:val="none" w:sz="0" w:space="0" w:color="auto"/>
        <w:bottom w:val="none" w:sz="0" w:space="0" w:color="auto"/>
        <w:right w:val="none" w:sz="0" w:space="0" w:color="auto"/>
      </w:divBdr>
      <w:divsChild>
        <w:div w:id="1764689043">
          <w:marLeft w:val="0"/>
          <w:marRight w:val="0"/>
          <w:marTop w:val="0"/>
          <w:marBottom w:val="0"/>
          <w:divBdr>
            <w:top w:val="none" w:sz="0" w:space="0" w:color="auto"/>
            <w:left w:val="none" w:sz="0" w:space="0" w:color="auto"/>
            <w:bottom w:val="none" w:sz="0" w:space="0" w:color="auto"/>
            <w:right w:val="none" w:sz="0" w:space="0" w:color="auto"/>
          </w:divBdr>
          <w:divsChild>
            <w:div w:id="1764689098">
              <w:marLeft w:val="0"/>
              <w:marRight w:val="0"/>
              <w:marTop w:val="0"/>
              <w:marBottom w:val="0"/>
              <w:divBdr>
                <w:top w:val="none" w:sz="0" w:space="0" w:color="auto"/>
                <w:left w:val="none" w:sz="0" w:space="0" w:color="auto"/>
                <w:bottom w:val="none" w:sz="0" w:space="0" w:color="auto"/>
                <w:right w:val="none" w:sz="0" w:space="0" w:color="auto"/>
              </w:divBdr>
            </w:div>
            <w:div w:id="1764689214">
              <w:marLeft w:val="0"/>
              <w:marRight w:val="0"/>
              <w:marTop w:val="0"/>
              <w:marBottom w:val="0"/>
              <w:divBdr>
                <w:top w:val="none" w:sz="0" w:space="0" w:color="auto"/>
                <w:left w:val="none" w:sz="0" w:space="0" w:color="auto"/>
                <w:bottom w:val="none" w:sz="0" w:space="0" w:color="auto"/>
                <w:right w:val="none" w:sz="0" w:space="0" w:color="auto"/>
              </w:divBdr>
            </w:div>
            <w:div w:id="1764689326">
              <w:marLeft w:val="0"/>
              <w:marRight w:val="0"/>
              <w:marTop w:val="0"/>
              <w:marBottom w:val="0"/>
              <w:divBdr>
                <w:top w:val="none" w:sz="0" w:space="0" w:color="auto"/>
                <w:left w:val="none" w:sz="0" w:space="0" w:color="auto"/>
                <w:bottom w:val="none" w:sz="0" w:space="0" w:color="auto"/>
                <w:right w:val="none" w:sz="0" w:space="0" w:color="auto"/>
              </w:divBdr>
            </w:div>
            <w:div w:id="1764689726">
              <w:marLeft w:val="0"/>
              <w:marRight w:val="0"/>
              <w:marTop w:val="0"/>
              <w:marBottom w:val="0"/>
              <w:divBdr>
                <w:top w:val="none" w:sz="0" w:space="0" w:color="auto"/>
                <w:left w:val="none" w:sz="0" w:space="0" w:color="auto"/>
                <w:bottom w:val="none" w:sz="0" w:space="0" w:color="auto"/>
                <w:right w:val="none" w:sz="0" w:space="0" w:color="auto"/>
              </w:divBdr>
            </w:div>
            <w:div w:id="1764689936">
              <w:marLeft w:val="0"/>
              <w:marRight w:val="0"/>
              <w:marTop w:val="0"/>
              <w:marBottom w:val="0"/>
              <w:divBdr>
                <w:top w:val="none" w:sz="0" w:space="0" w:color="auto"/>
                <w:left w:val="none" w:sz="0" w:space="0" w:color="auto"/>
                <w:bottom w:val="none" w:sz="0" w:space="0" w:color="auto"/>
                <w:right w:val="none" w:sz="0" w:space="0" w:color="auto"/>
              </w:divBdr>
            </w:div>
            <w:div w:id="1764690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171">
      <w:marLeft w:val="0"/>
      <w:marRight w:val="0"/>
      <w:marTop w:val="0"/>
      <w:marBottom w:val="0"/>
      <w:divBdr>
        <w:top w:val="none" w:sz="0" w:space="0" w:color="auto"/>
        <w:left w:val="none" w:sz="0" w:space="0" w:color="auto"/>
        <w:bottom w:val="none" w:sz="0" w:space="0" w:color="auto"/>
        <w:right w:val="none" w:sz="0" w:space="0" w:color="auto"/>
      </w:divBdr>
      <w:divsChild>
        <w:div w:id="1764690180">
          <w:marLeft w:val="0"/>
          <w:marRight w:val="0"/>
          <w:marTop w:val="0"/>
          <w:marBottom w:val="0"/>
          <w:divBdr>
            <w:top w:val="none" w:sz="0" w:space="0" w:color="auto"/>
            <w:left w:val="none" w:sz="0" w:space="0" w:color="auto"/>
            <w:bottom w:val="none" w:sz="0" w:space="0" w:color="auto"/>
            <w:right w:val="none" w:sz="0" w:space="0" w:color="auto"/>
          </w:divBdr>
        </w:div>
      </w:divsChild>
    </w:div>
    <w:div w:id="1764689173">
      <w:marLeft w:val="0"/>
      <w:marRight w:val="0"/>
      <w:marTop w:val="0"/>
      <w:marBottom w:val="0"/>
      <w:divBdr>
        <w:top w:val="none" w:sz="0" w:space="0" w:color="auto"/>
        <w:left w:val="none" w:sz="0" w:space="0" w:color="auto"/>
        <w:bottom w:val="none" w:sz="0" w:space="0" w:color="auto"/>
        <w:right w:val="none" w:sz="0" w:space="0" w:color="auto"/>
      </w:divBdr>
      <w:divsChild>
        <w:div w:id="1764689286">
          <w:marLeft w:val="0"/>
          <w:marRight w:val="0"/>
          <w:marTop w:val="0"/>
          <w:marBottom w:val="0"/>
          <w:divBdr>
            <w:top w:val="none" w:sz="0" w:space="0" w:color="auto"/>
            <w:left w:val="none" w:sz="0" w:space="0" w:color="auto"/>
            <w:bottom w:val="none" w:sz="0" w:space="0" w:color="auto"/>
            <w:right w:val="none" w:sz="0" w:space="0" w:color="auto"/>
          </w:divBdr>
        </w:div>
      </w:divsChild>
    </w:div>
    <w:div w:id="1764689174">
      <w:marLeft w:val="0"/>
      <w:marRight w:val="0"/>
      <w:marTop w:val="0"/>
      <w:marBottom w:val="0"/>
      <w:divBdr>
        <w:top w:val="none" w:sz="0" w:space="0" w:color="auto"/>
        <w:left w:val="none" w:sz="0" w:space="0" w:color="auto"/>
        <w:bottom w:val="none" w:sz="0" w:space="0" w:color="auto"/>
        <w:right w:val="none" w:sz="0" w:space="0" w:color="auto"/>
      </w:divBdr>
    </w:div>
    <w:div w:id="1764689176">
      <w:marLeft w:val="0"/>
      <w:marRight w:val="0"/>
      <w:marTop w:val="0"/>
      <w:marBottom w:val="0"/>
      <w:divBdr>
        <w:top w:val="none" w:sz="0" w:space="0" w:color="auto"/>
        <w:left w:val="none" w:sz="0" w:space="0" w:color="auto"/>
        <w:bottom w:val="none" w:sz="0" w:space="0" w:color="auto"/>
        <w:right w:val="none" w:sz="0" w:space="0" w:color="auto"/>
      </w:divBdr>
      <w:divsChild>
        <w:div w:id="1764689969">
          <w:marLeft w:val="0"/>
          <w:marRight w:val="0"/>
          <w:marTop w:val="0"/>
          <w:marBottom w:val="0"/>
          <w:divBdr>
            <w:top w:val="none" w:sz="0" w:space="0" w:color="auto"/>
            <w:left w:val="none" w:sz="0" w:space="0" w:color="auto"/>
            <w:bottom w:val="none" w:sz="0" w:space="0" w:color="auto"/>
            <w:right w:val="none" w:sz="0" w:space="0" w:color="auto"/>
          </w:divBdr>
        </w:div>
      </w:divsChild>
    </w:div>
    <w:div w:id="1764689177">
      <w:marLeft w:val="0"/>
      <w:marRight w:val="0"/>
      <w:marTop w:val="0"/>
      <w:marBottom w:val="0"/>
      <w:divBdr>
        <w:top w:val="none" w:sz="0" w:space="0" w:color="auto"/>
        <w:left w:val="none" w:sz="0" w:space="0" w:color="auto"/>
        <w:bottom w:val="none" w:sz="0" w:space="0" w:color="auto"/>
        <w:right w:val="none" w:sz="0" w:space="0" w:color="auto"/>
      </w:divBdr>
    </w:div>
    <w:div w:id="1764689179">
      <w:marLeft w:val="0"/>
      <w:marRight w:val="0"/>
      <w:marTop w:val="0"/>
      <w:marBottom w:val="0"/>
      <w:divBdr>
        <w:top w:val="none" w:sz="0" w:space="0" w:color="auto"/>
        <w:left w:val="none" w:sz="0" w:space="0" w:color="auto"/>
        <w:bottom w:val="none" w:sz="0" w:space="0" w:color="auto"/>
        <w:right w:val="none" w:sz="0" w:space="0" w:color="auto"/>
      </w:divBdr>
      <w:divsChild>
        <w:div w:id="1764689167">
          <w:marLeft w:val="0"/>
          <w:marRight w:val="0"/>
          <w:marTop w:val="0"/>
          <w:marBottom w:val="0"/>
          <w:divBdr>
            <w:top w:val="none" w:sz="0" w:space="0" w:color="auto"/>
            <w:left w:val="none" w:sz="0" w:space="0" w:color="auto"/>
            <w:bottom w:val="none" w:sz="0" w:space="0" w:color="auto"/>
            <w:right w:val="none" w:sz="0" w:space="0" w:color="auto"/>
          </w:divBdr>
          <w:divsChild>
            <w:div w:id="1764689045">
              <w:marLeft w:val="0"/>
              <w:marRight w:val="0"/>
              <w:marTop w:val="0"/>
              <w:marBottom w:val="0"/>
              <w:divBdr>
                <w:top w:val="none" w:sz="0" w:space="0" w:color="auto"/>
                <w:left w:val="none" w:sz="0" w:space="0" w:color="auto"/>
                <w:bottom w:val="none" w:sz="0" w:space="0" w:color="auto"/>
                <w:right w:val="none" w:sz="0" w:space="0" w:color="auto"/>
              </w:divBdr>
            </w:div>
            <w:div w:id="1764689604">
              <w:marLeft w:val="0"/>
              <w:marRight w:val="0"/>
              <w:marTop w:val="0"/>
              <w:marBottom w:val="0"/>
              <w:divBdr>
                <w:top w:val="none" w:sz="0" w:space="0" w:color="auto"/>
                <w:left w:val="none" w:sz="0" w:space="0" w:color="auto"/>
                <w:bottom w:val="none" w:sz="0" w:space="0" w:color="auto"/>
                <w:right w:val="none" w:sz="0" w:space="0" w:color="auto"/>
              </w:divBdr>
            </w:div>
            <w:div w:id="1764689738">
              <w:marLeft w:val="0"/>
              <w:marRight w:val="0"/>
              <w:marTop w:val="0"/>
              <w:marBottom w:val="0"/>
              <w:divBdr>
                <w:top w:val="none" w:sz="0" w:space="0" w:color="auto"/>
                <w:left w:val="none" w:sz="0" w:space="0" w:color="auto"/>
                <w:bottom w:val="none" w:sz="0" w:space="0" w:color="auto"/>
                <w:right w:val="none" w:sz="0" w:space="0" w:color="auto"/>
              </w:divBdr>
            </w:div>
            <w:div w:id="1764689852">
              <w:marLeft w:val="0"/>
              <w:marRight w:val="0"/>
              <w:marTop w:val="0"/>
              <w:marBottom w:val="0"/>
              <w:divBdr>
                <w:top w:val="none" w:sz="0" w:space="0" w:color="auto"/>
                <w:left w:val="none" w:sz="0" w:space="0" w:color="auto"/>
                <w:bottom w:val="none" w:sz="0" w:space="0" w:color="auto"/>
                <w:right w:val="none" w:sz="0" w:space="0" w:color="auto"/>
              </w:divBdr>
            </w:div>
            <w:div w:id="1764689883">
              <w:marLeft w:val="0"/>
              <w:marRight w:val="0"/>
              <w:marTop w:val="0"/>
              <w:marBottom w:val="0"/>
              <w:divBdr>
                <w:top w:val="none" w:sz="0" w:space="0" w:color="auto"/>
                <w:left w:val="none" w:sz="0" w:space="0" w:color="auto"/>
                <w:bottom w:val="none" w:sz="0" w:space="0" w:color="auto"/>
                <w:right w:val="none" w:sz="0" w:space="0" w:color="auto"/>
              </w:divBdr>
            </w:div>
            <w:div w:id="1764689991">
              <w:marLeft w:val="0"/>
              <w:marRight w:val="0"/>
              <w:marTop w:val="0"/>
              <w:marBottom w:val="0"/>
              <w:divBdr>
                <w:top w:val="none" w:sz="0" w:space="0" w:color="auto"/>
                <w:left w:val="none" w:sz="0" w:space="0" w:color="auto"/>
                <w:bottom w:val="none" w:sz="0" w:space="0" w:color="auto"/>
                <w:right w:val="none" w:sz="0" w:space="0" w:color="auto"/>
              </w:divBdr>
            </w:div>
            <w:div w:id="1764690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181">
      <w:marLeft w:val="0"/>
      <w:marRight w:val="0"/>
      <w:marTop w:val="0"/>
      <w:marBottom w:val="0"/>
      <w:divBdr>
        <w:top w:val="none" w:sz="0" w:space="0" w:color="auto"/>
        <w:left w:val="none" w:sz="0" w:space="0" w:color="auto"/>
        <w:bottom w:val="none" w:sz="0" w:space="0" w:color="auto"/>
        <w:right w:val="none" w:sz="0" w:space="0" w:color="auto"/>
      </w:divBdr>
    </w:div>
    <w:div w:id="1764689182">
      <w:marLeft w:val="0"/>
      <w:marRight w:val="0"/>
      <w:marTop w:val="0"/>
      <w:marBottom w:val="0"/>
      <w:divBdr>
        <w:top w:val="none" w:sz="0" w:space="0" w:color="auto"/>
        <w:left w:val="none" w:sz="0" w:space="0" w:color="auto"/>
        <w:bottom w:val="none" w:sz="0" w:space="0" w:color="auto"/>
        <w:right w:val="none" w:sz="0" w:space="0" w:color="auto"/>
      </w:divBdr>
    </w:div>
    <w:div w:id="1764689183">
      <w:marLeft w:val="0"/>
      <w:marRight w:val="0"/>
      <w:marTop w:val="0"/>
      <w:marBottom w:val="0"/>
      <w:divBdr>
        <w:top w:val="none" w:sz="0" w:space="0" w:color="auto"/>
        <w:left w:val="none" w:sz="0" w:space="0" w:color="auto"/>
        <w:bottom w:val="none" w:sz="0" w:space="0" w:color="auto"/>
        <w:right w:val="none" w:sz="0" w:space="0" w:color="auto"/>
      </w:divBdr>
      <w:divsChild>
        <w:div w:id="1764689478">
          <w:marLeft w:val="0"/>
          <w:marRight w:val="0"/>
          <w:marTop w:val="0"/>
          <w:marBottom w:val="0"/>
          <w:divBdr>
            <w:top w:val="none" w:sz="0" w:space="0" w:color="auto"/>
            <w:left w:val="none" w:sz="0" w:space="0" w:color="auto"/>
            <w:bottom w:val="none" w:sz="0" w:space="0" w:color="auto"/>
            <w:right w:val="none" w:sz="0" w:space="0" w:color="auto"/>
          </w:divBdr>
        </w:div>
      </w:divsChild>
    </w:div>
    <w:div w:id="1764689187">
      <w:marLeft w:val="0"/>
      <w:marRight w:val="0"/>
      <w:marTop w:val="0"/>
      <w:marBottom w:val="0"/>
      <w:divBdr>
        <w:top w:val="none" w:sz="0" w:space="0" w:color="auto"/>
        <w:left w:val="none" w:sz="0" w:space="0" w:color="auto"/>
        <w:bottom w:val="none" w:sz="0" w:space="0" w:color="auto"/>
        <w:right w:val="none" w:sz="0" w:space="0" w:color="auto"/>
      </w:divBdr>
    </w:div>
    <w:div w:id="1764689188">
      <w:marLeft w:val="0"/>
      <w:marRight w:val="0"/>
      <w:marTop w:val="0"/>
      <w:marBottom w:val="0"/>
      <w:divBdr>
        <w:top w:val="none" w:sz="0" w:space="0" w:color="auto"/>
        <w:left w:val="none" w:sz="0" w:space="0" w:color="auto"/>
        <w:bottom w:val="none" w:sz="0" w:space="0" w:color="auto"/>
        <w:right w:val="none" w:sz="0" w:space="0" w:color="auto"/>
      </w:divBdr>
      <w:divsChild>
        <w:div w:id="1764690219">
          <w:marLeft w:val="0"/>
          <w:marRight w:val="0"/>
          <w:marTop w:val="0"/>
          <w:marBottom w:val="0"/>
          <w:divBdr>
            <w:top w:val="none" w:sz="0" w:space="0" w:color="auto"/>
            <w:left w:val="none" w:sz="0" w:space="0" w:color="auto"/>
            <w:bottom w:val="none" w:sz="0" w:space="0" w:color="auto"/>
            <w:right w:val="none" w:sz="0" w:space="0" w:color="auto"/>
          </w:divBdr>
          <w:divsChild>
            <w:div w:id="1764689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190">
      <w:marLeft w:val="0"/>
      <w:marRight w:val="0"/>
      <w:marTop w:val="0"/>
      <w:marBottom w:val="0"/>
      <w:divBdr>
        <w:top w:val="none" w:sz="0" w:space="0" w:color="auto"/>
        <w:left w:val="none" w:sz="0" w:space="0" w:color="auto"/>
        <w:bottom w:val="none" w:sz="0" w:space="0" w:color="auto"/>
        <w:right w:val="none" w:sz="0" w:space="0" w:color="auto"/>
      </w:divBdr>
    </w:div>
    <w:div w:id="1764689191">
      <w:marLeft w:val="0"/>
      <w:marRight w:val="0"/>
      <w:marTop w:val="0"/>
      <w:marBottom w:val="0"/>
      <w:divBdr>
        <w:top w:val="none" w:sz="0" w:space="0" w:color="auto"/>
        <w:left w:val="none" w:sz="0" w:space="0" w:color="auto"/>
        <w:bottom w:val="none" w:sz="0" w:space="0" w:color="auto"/>
        <w:right w:val="none" w:sz="0" w:space="0" w:color="auto"/>
      </w:divBdr>
    </w:div>
    <w:div w:id="1764689192">
      <w:marLeft w:val="0"/>
      <w:marRight w:val="0"/>
      <w:marTop w:val="0"/>
      <w:marBottom w:val="0"/>
      <w:divBdr>
        <w:top w:val="none" w:sz="0" w:space="0" w:color="auto"/>
        <w:left w:val="none" w:sz="0" w:space="0" w:color="auto"/>
        <w:bottom w:val="none" w:sz="0" w:space="0" w:color="auto"/>
        <w:right w:val="none" w:sz="0" w:space="0" w:color="auto"/>
      </w:divBdr>
      <w:divsChild>
        <w:div w:id="1764689537">
          <w:marLeft w:val="0"/>
          <w:marRight w:val="0"/>
          <w:marTop w:val="0"/>
          <w:marBottom w:val="0"/>
          <w:divBdr>
            <w:top w:val="none" w:sz="0" w:space="0" w:color="auto"/>
            <w:left w:val="none" w:sz="0" w:space="0" w:color="auto"/>
            <w:bottom w:val="none" w:sz="0" w:space="0" w:color="auto"/>
            <w:right w:val="none" w:sz="0" w:space="0" w:color="auto"/>
          </w:divBdr>
        </w:div>
      </w:divsChild>
    </w:div>
    <w:div w:id="1764689194">
      <w:marLeft w:val="0"/>
      <w:marRight w:val="0"/>
      <w:marTop w:val="0"/>
      <w:marBottom w:val="0"/>
      <w:divBdr>
        <w:top w:val="none" w:sz="0" w:space="0" w:color="auto"/>
        <w:left w:val="none" w:sz="0" w:space="0" w:color="auto"/>
        <w:bottom w:val="none" w:sz="0" w:space="0" w:color="auto"/>
        <w:right w:val="none" w:sz="0" w:space="0" w:color="auto"/>
      </w:divBdr>
    </w:div>
    <w:div w:id="1764689197">
      <w:marLeft w:val="0"/>
      <w:marRight w:val="0"/>
      <w:marTop w:val="0"/>
      <w:marBottom w:val="0"/>
      <w:divBdr>
        <w:top w:val="none" w:sz="0" w:space="0" w:color="auto"/>
        <w:left w:val="none" w:sz="0" w:space="0" w:color="auto"/>
        <w:bottom w:val="none" w:sz="0" w:space="0" w:color="auto"/>
        <w:right w:val="none" w:sz="0" w:space="0" w:color="auto"/>
      </w:divBdr>
      <w:divsChild>
        <w:div w:id="1764689661">
          <w:marLeft w:val="0"/>
          <w:marRight w:val="0"/>
          <w:marTop w:val="0"/>
          <w:marBottom w:val="0"/>
          <w:divBdr>
            <w:top w:val="none" w:sz="0" w:space="0" w:color="auto"/>
            <w:left w:val="none" w:sz="0" w:space="0" w:color="auto"/>
            <w:bottom w:val="none" w:sz="0" w:space="0" w:color="auto"/>
            <w:right w:val="none" w:sz="0" w:space="0" w:color="auto"/>
          </w:divBdr>
          <w:divsChild>
            <w:div w:id="1764689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198">
      <w:marLeft w:val="0"/>
      <w:marRight w:val="0"/>
      <w:marTop w:val="0"/>
      <w:marBottom w:val="0"/>
      <w:divBdr>
        <w:top w:val="none" w:sz="0" w:space="0" w:color="auto"/>
        <w:left w:val="none" w:sz="0" w:space="0" w:color="auto"/>
        <w:bottom w:val="none" w:sz="0" w:space="0" w:color="auto"/>
        <w:right w:val="none" w:sz="0" w:space="0" w:color="auto"/>
      </w:divBdr>
    </w:div>
    <w:div w:id="1764689199">
      <w:marLeft w:val="0"/>
      <w:marRight w:val="0"/>
      <w:marTop w:val="0"/>
      <w:marBottom w:val="0"/>
      <w:divBdr>
        <w:top w:val="none" w:sz="0" w:space="0" w:color="auto"/>
        <w:left w:val="none" w:sz="0" w:space="0" w:color="auto"/>
        <w:bottom w:val="none" w:sz="0" w:space="0" w:color="auto"/>
        <w:right w:val="none" w:sz="0" w:space="0" w:color="auto"/>
      </w:divBdr>
      <w:divsChild>
        <w:div w:id="1764690585">
          <w:marLeft w:val="0"/>
          <w:marRight w:val="0"/>
          <w:marTop w:val="0"/>
          <w:marBottom w:val="0"/>
          <w:divBdr>
            <w:top w:val="none" w:sz="0" w:space="0" w:color="auto"/>
            <w:left w:val="none" w:sz="0" w:space="0" w:color="auto"/>
            <w:bottom w:val="none" w:sz="0" w:space="0" w:color="auto"/>
            <w:right w:val="none" w:sz="0" w:space="0" w:color="auto"/>
          </w:divBdr>
        </w:div>
      </w:divsChild>
    </w:div>
    <w:div w:id="1764689200">
      <w:marLeft w:val="0"/>
      <w:marRight w:val="0"/>
      <w:marTop w:val="0"/>
      <w:marBottom w:val="0"/>
      <w:divBdr>
        <w:top w:val="none" w:sz="0" w:space="0" w:color="auto"/>
        <w:left w:val="none" w:sz="0" w:space="0" w:color="auto"/>
        <w:bottom w:val="none" w:sz="0" w:space="0" w:color="auto"/>
        <w:right w:val="none" w:sz="0" w:space="0" w:color="auto"/>
      </w:divBdr>
      <w:divsChild>
        <w:div w:id="1764689381">
          <w:marLeft w:val="0"/>
          <w:marRight w:val="0"/>
          <w:marTop w:val="0"/>
          <w:marBottom w:val="0"/>
          <w:divBdr>
            <w:top w:val="none" w:sz="0" w:space="0" w:color="auto"/>
            <w:left w:val="none" w:sz="0" w:space="0" w:color="auto"/>
            <w:bottom w:val="none" w:sz="0" w:space="0" w:color="auto"/>
            <w:right w:val="none" w:sz="0" w:space="0" w:color="auto"/>
          </w:divBdr>
          <w:divsChild>
            <w:div w:id="1764689507">
              <w:marLeft w:val="0"/>
              <w:marRight w:val="0"/>
              <w:marTop w:val="0"/>
              <w:marBottom w:val="0"/>
              <w:divBdr>
                <w:top w:val="none" w:sz="0" w:space="0" w:color="auto"/>
                <w:left w:val="none" w:sz="0" w:space="0" w:color="auto"/>
                <w:bottom w:val="none" w:sz="0" w:space="0" w:color="auto"/>
                <w:right w:val="none" w:sz="0" w:space="0" w:color="auto"/>
              </w:divBdr>
            </w:div>
            <w:div w:id="1764689747">
              <w:marLeft w:val="0"/>
              <w:marRight w:val="0"/>
              <w:marTop w:val="0"/>
              <w:marBottom w:val="0"/>
              <w:divBdr>
                <w:top w:val="none" w:sz="0" w:space="0" w:color="auto"/>
                <w:left w:val="none" w:sz="0" w:space="0" w:color="auto"/>
                <w:bottom w:val="none" w:sz="0" w:space="0" w:color="auto"/>
                <w:right w:val="none" w:sz="0" w:space="0" w:color="auto"/>
              </w:divBdr>
            </w:div>
            <w:div w:id="1764690062">
              <w:marLeft w:val="0"/>
              <w:marRight w:val="0"/>
              <w:marTop w:val="0"/>
              <w:marBottom w:val="0"/>
              <w:divBdr>
                <w:top w:val="none" w:sz="0" w:space="0" w:color="auto"/>
                <w:left w:val="none" w:sz="0" w:space="0" w:color="auto"/>
                <w:bottom w:val="none" w:sz="0" w:space="0" w:color="auto"/>
                <w:right w:val="none" w:sz="0" w:space="0" w:color="auto"/>
              </w:divBdr>
            </w:div>
            <w:div w:id="1764690372">
              <w:marLeft w:val="0"/>
              <w:marRight w:val="0"/>
              <w:marTop w:val="0"/>
              <w:marBottom w:val="0"/>
              <w:divBdr>
                <w:top w:val="none" w:sz="0" w:space="0" w:color="auto"/>
                <w:left w:val="none" w:sz="0" w:space="0" w:color="auto"/>
                <w:bottom w:val="none" w:sz="0" w:space="0" w:color="auto"/>
                <w:right w:val="none" w:sz="0" w:space="0" w:color="auto"/>
              </w:divBdr>
            </w:div>
            <w:div w:id="176469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202">
      <w:marLeft w:val="0"/>
      <w:marRight w:val="0"/>
      <w:marTop w:val="0"/>
      <w:marBottom w:val="0"/>
      <w:divBdr>
        <w:top w:val="none" w:sz="0" w:space="0" w:color="auto"/>
        <w:left w:val="none" w:sz="0" w:space="0" w:color="auto"/>
        <w:bottom w:val="none" w:sz="0" w:space="0" w:color="auto"/>
        <w:right w:val="none" w:sz="0" w:space="0" w:color="auto"/>
      </w:divBdr>
    </w:div>
    <w:div w:id="1764689203">
      <w:marLeft w:val="0"/>
      <w:marRight w:val="0"/>
      <w:marTop w:val="0"/>
      <w:marBottom w:val="0"/>
      <w:divBdr>
        <w:top w:val="none" w:sz="0" w:space="0" w:color="auto"/>
        <w:left w:val="none" w:sz="0" w:space="0" w:color="auto"/>
        <w:bottom w:val="none" w:sz="0" w:space="0" w:color="auto"/>
        <w:right w:val="none" w:sz="0" w:space="0" w:color="auto"/>
      </w:divBdr>
      <w:divsChild>
        <w:div w:id="1764690543">
          <w:marLeft w:val="0"/>
          <w:marRight w:val="0"/>
          <w:marTop w:val="0"/>
          <w:marBottom w:val="0"/>
          <w:divBdr>
            <w:top w:val="none" w:sz="0" w:space="0" w:color="auto"/>
            <w:left w:val="none" w:sz="0" w:space="0" w:color="auto"/>
            <w:bottom w:val="none" w:sz="0" w:space="0" w:color="auto"/>
            <w:right w:val="none" w:sz="0" w:space="0" w:color="auto"/>
          </w:divBdr>
        </w:div>
      </w:divsChild>
    </w:div>
    <w:div w:id="1764689206">
      <w:marLeft w:val="0"/>
      <w:marRight w:val="0"/>
      <w:marTop w:val="0"/>
      <w:marBottom w:val="0"/>
      <w:divBdr>
        <w:top w:val="none" w:sz="0" w:space="0" w:color="auto"/>
        <w:left w:val="none" w:sz="0" w:space="0" w:color="auto"/>
        <w:bottom w:val="none" w:sz="0" w:space="0" w:color="auto"/>
        <w:right w:val="none" w:sz="0" w:space="0" w:color="auto"/>
      </w:divBdr>
      <w:divsChild>
        <w:div w:id="1764689950">
          <w:marLeft w:val="0"/>
          <w:marRight w:val="0"/>
          <w:marTop w:val="0"/>
          <w:marBottom w:val="0"/>
          <w:divBdr>
            <w:top w:val="none" w:sz="0" w:space="0" w:color="auto"/>
            <w:left w:val="none" w:sz="0" w:space="0" w:color="auto"/>
            <w:bottom w:val="none" w:sz="0" w:space="0" w:color="auto"/>
            <w:right w:val="none" w:sz="0" w:space="0" w:color="auto"/>
          </w:divBdr>
        </w:div>
      </w:divsChild>
    </w:div>
    <w:div w:id="1764689207">
      <w:marLeft w:val="0"/>
      <w:marRight w:val="0"/>
      <w:marTop w:val="0"/>
      <w:marBottom w:val="0"/>
      <w:divBdr>
        <w:top w:val="none" w:sz="0" w:space="0" w:color="auto"/>
        <w:left w:val="none" w:sz="0" w:space="0" w:color="auto"/>
        <w:bottom w:val="none" w:sz="0" w:space="0" w:color="auto"/>
        <w:right w:val="none" w:sz="0" w:space="0" w:color="auto"/>
      </w:divBdr>
      <w:divsChild>
        <w:div w:id="1764689241">
          <w:marLeft w:val="0"/>
          <w:marRight w:val="0"/>
          <w:marTop w:val="0"/>
          <w:marBottom w:val="0"/>
          <w:divBdr>
            <w:top w:val="none" w:sz="0" w:space="0" w:color="auto"/>
            <w:left w:val="none" w:sz="0" w:space="0" w:color="auto"/>
            <w:bottom w:val="none" w:sz="0" w:space="0" w:color="auto"/>
            <w:right w:val="none" w:sz="0" w:space="0" w:color="auto"/>
          </w:divBdr>
          <w:divsChild>
            <w:div w:id="1764689109">
              <w:marLeft w:val="0"/>
              <w:marRight w:val="0"/>
              <w:marTop w:val="0"/>
              <w:marBottom w:val="0"/>
              <w:divBdr>
                <w:top w:val="none" w:sz="0" w:space="0" w:color="auto"/>
                <w:left w:val="none" w:sz="0" w:space="0" w:color="auto"/>
                <w:bottom w:val="none" w:sz="0" w:space="0" w:color="auto"/>
                <w:right w:val="none" w:sz="0" w:space="0" w:color="auto"/>
              </w:divBdr>
            </w:div>
            <w:div w:id="1764689485">
              <w:marLeft w:val="0"/>
              <w:marRight w:val="0"/>
              <w:marTop w:val="0"/>
              <w:marBottom w:val="0"/>
              <w:divBdr>
                <w:top w:val="none" w:sz="0" w:space="0" w:color="auto"/>
                <w:left w:val="none" w:sz="0" w:space="0" w:color="auto"/>
                <w:bottom w:val="none" w:sz="0" w:space="0" w:color="auto"/>
                <w:right w:val="none" w:sz="0" w:space="0" w:color="auto"/>
              </w:divBdr>
            </w:div>
            <w:div w:id="1764690146">
              <w:marLeft w:val="0"/>
              <w:marRight w:val="0"/>
              <w:marTop w:val="0"/>
              <w:marBottom w:val="0"/>
              <w:divBdr>
                <w:top w:val="none" w:sz="0" w:space="0" w:color="auto"/>
                <w:left w:val="none" w:sz="0" w:space="0" w:color="auto"/>
                <w:bottom w:val="none" w:sz="0" w:space="0" w:color="auto"/>
                <w:right w:val="none" w:sz="0" w:space="0" w:color="auto"/>
              </w:divBdr>
            </w:div>
            <w:div w:id="1764690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208">
      <w:marLeft w:val="0"/>
      <w:marRight w:val="0"/>
      <w:marTop w:val="0"/>
      <w:marBottom w:val="0"/>
      <w:divBdr>
        <w:top w:val="none" w:sz="0" w:space="0" w:color="auto"/>
        <w:left w:val="none" w:sz="0" w:space="0" w:color="auto"/>
        <w:bottom w:val="none" w:sz="0" w:space="0" w:color="auto"/>
        <w:right w:val="none" w:sz="0" w:space="0" w:color="auto"/>
      </w:divBdr>
      <w:divsChild>
        <w:div w:id="1764689157">
          <w:marLeft w:val="0"/>
          <w:marRight w:val="0"/>
          <w:marTop w:val="0"/>
          <w:marBottom w:val="0"/>
          <w:divBdr>
            <w:top w:val="none" w:sz="0" w:space="0" w:color="auto"/>
            <w:left w:val="none" w:sz="0" w:space="0" w:color="auto"/>
            <w:bottom w:val="none" w:sz="0" w:space="0" w:color="auto"/>
            <w:right w:val="none" w:sz="0" w:space="0" w:color="auto"/>
          </w:divBdr>
          <w:divsChild>
            <w:div w:id="1764689557">
              <w:marLeft w:val="0"/>
              <w:marRight w:val="0"/>
              <w:marTop w:val="0"/>
              <w:marBottom w:val="0"/>
              <w:divBdr>
                <w:top w:val="none" w:sz="0" w:space="0" w:color="auto"/>
                <w:left w:val="none" w:sz="0" w:space="0" w:color="auto"/>
                <w:bottom w:val="none" w:sz="0" w:space="0" w:color="auto"/>
                <w:right w:val="none" w:sz="0" w:space="0" w:color="auto"/>
              </w:divBdr>
            </w:div>
            <w:div w:id="1764690367">
              <w:marLeft w:val="0"/>
              <w:marRight w:val="0"/>
              <w:marTop w:val="0"/>
              <w:marBottom w:val="0"/>
              <w:divBdr>
                <w:top w:val="none" w:sz="0" w:space="0" w:color="auto"/>
                <w:left w:val="none" w:sz="0" w:space="0" w:color="auto"/>
                <w:bottom w:val="none" w:sz="0" w:space="0" w:color="auto"/>
                <w:right w:val="none" w:sz="0" w:space="0" w:color="auto"/>
              </w:divBdr>
            </w:div>
            <w:div w:id="1764690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209">
      <w:marLeft w:val="0"/>
      <w:marRight w:val="0"/>
      <w:marTop w:val="0"/>
      <w:marBottom w:val="0"/>
      <w:divBdr>
        <w:top w:val="none" w:sz="0" w:space="0" w:color="auto"/>
        <w:left w:val="none" w:sz="0" w:space="0" w:color="auto"/>
        <w:bottom w:val="none" w:sz="0" w:space="0" w:color="auto"/>
        <w:right w:val="none" w:sz="0" w:space="0" w:color="auto"/>
      </w:divBdr>
    </w:div>
    <w:div w:id="1764689212">
      <w:marLeft w:val="0"/>
      <w:marRight w:val="0"/>
      <w:marTop w:val="0"/>
      <w:marBottom w:val="0"/>
      <w:divBdr>
        <w:top w:val="none" w:sz="0" w:space="0" w:color="auto"/>
        <w:left w:val="none" w:sz="0" w:space="0" w:color="auto"/>
        <w:bottom w:val="none" w:sz="0" w:space="0" w:color="auto"/>
        <w:right w:val="none" w:sz="0" w:space="0" w:color="auto"/>
      </w:divBdr>
      <w:divsChild>
        <w:div w:id="1764689420">
          <w:marLeft w:val="0"/>
          <w:marRight w:val="0"/>
          <w:marTop w:val="0"/>
          <w:marBottom w:val="0"/>
          <w:divBdr>
            <w:top w:val="none" w:sz="0" w:space="0" w:color="auto"/>
            <w:left w:val="none" w:sz="0" w:space="0" w:color="auto"/>
            <w:bottom w:val="none" w:sz="0" w:space="0" w:color="auto"/>
            <w:right w:val="none" w:sz="0" w:space="0" w:color="auto"/>
          </w:divBdr>
          <w:divsChild>
            <w:div w:id="1764689974">
              <w:marLeft w:val="0"/>
              <w:marRight w:val="0"/>
              <w:marTop w:val="0"/>
              <w:marBottom w:val="0"/>
              <w:divBdr>
                <w:top w:val="none" w:sz="0" w:space="0" w:color="auto"/>
                <w:left w:val="none" w:sz="0" w:space="0" w:color="auto"/>
                <w:bottom w:val="none" w:sz="0" w:space="0" w:color="auto"/>
                <w:right w:val="none" w:sz="0" w:space="0" w:color="auto"/>
              </w:divBdr>
            </w:div>
            <w:div w:id="1764690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215">
      <w:marLeft w:val="0"/>
      <w:marRight w:val="0"/>
      <w:marTop w:val="0"/>
      <w:marBottom w:val="0"/>
      <w:divBdr>
        <w:top w:val="none" w:sz="0" w:space="0" w:color="auto"/>
        <w:left w:val="none" w:sz="0" w:space="0" w:color="auto"/>
        <w:bottom w:val="none" w:sz="0" w:space="0" w:color="auto"/>
        <w:right w:val="none" w:sz="0" w:space="0" w:color="auto"/>
      </w:divBdr>
      <w:divsChild>
        <w:div w:id="1764689836">
          <w:marLeft w:val="0"/>
          <w:marRight w:val="0"/>
          <w:marTop w:val="0"/>
          <w:marBottom w:val="0"/>
          <w:divBdr>
            <w:top w:val="none" w:sz="0" w:space="0" w:color="auto"/>
            <w:left w:val="none" w:sz="0" w:space="0" w:color="auto"/>
            <w:bottom w:val="none" w:sz="0" w:space="0" w:color="auto"/>
            <w:right w:val="none" w:sz="0" w:space="0" w:color="auto"/>
          </w:divBdr>
          <w:divsChild>
            <w:div w:id="1764689172">
              <w:marLeft w:val="0"/>
              <w:marRight w:val="0"/>
              <w:marTop w:val="0"/>
              <w:marBottom w:val="0"/>
              <w:divBdr>
                <w:top w:val="none" w:sz="0" w:space="0" w:color="auto"/>
                <w:left w:val="none" w:sz="0" w:space="0" w:color="auto"/>
                <w:bottom w:val="none" w:sz="0" w:space="0" w:color="auto"/>
                <w:right w:val="none" w:sz="0" w:space="0" w:color="auto"/>
              </w:divBdr>
            </w:div>
            <w:div w:id="1764689663">
              <w:marLeft w:val="0"/>
              <w:marRight w:val="0"/>
              <w:marTop w:val="0"/>
              <w:marBottom w:val="0"/>
              <w:divBdr>
                <w:top w:val="none" w:sz="0" w:space="0" w:color="auto"/>
                <w:left w:val="none" w:sz="0" w:space="0" w:color="auto"/>
                <w:bottom w:val="none" w:sz="0" w:space="0" w:color="auto"/>
                <w:right w:val="none" w:sz="0" w:space="0" w:color="auto"/>
              </w:divBdr>
            </w:div>
            <w:div w:id="1764689859">
              <w:marLeft w:val="0"/>
              <w:marRight w:val="0"/>
              <w:marTop w:val="0"/>
              <w:marBottom w:val="0"/>
              <w:divBdr>
                <w:top w:val="none" w:sz="0" w:space="0" w:color="auto"/>
                <w:left w:val="none" w:sz="0" w:space="0" w:color="auto"/>
                <w:bottom w:val="none" w:sz="0" w:space="0" w:color="auto"/>
                <w:right w:val="none" w:sz="0" w:space="0" w:color="auto"/>
              </w:divBdr>
            </w:div>
            <w:div w:id="1764690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221">
      <w:marLeft w:val="0"/>
      <w:marRight w:val="0"/>
      <w:marTop w:val="0"/>
      <w:marBottom w:val="0"/>
      <w:divBdr>
        <w:top w:val="none" w:sz="0" w:space="0" w:color="auto"/>
        <w:left w:val="none" w:sz="0" w:space="0" w:color="auto"/>
        <w:bottom w:val="none" w:sz="0" w:space="0" w:color="auto"/>
        <w:right w:val="none" w:sz="0" w:space="0" w:color="auto"/>
      </w:divBdr>
    </w:div>
    <w:div w:id="1764689224">
      <w:marLeft w:val="0"/>
      <w:marRight w:val="0"/>
      <w:marTop w:val="0"/>
      <w:marBottom w:val="0"/>
      <w:divBdr>
        <w:top w:val="none" w:sz="0" w:space="0" w:color="auto"/>
        <w:left w:val="none" w:sz="0" w:space="0" w:color="auto"/>
        <w:bottom w:val="none" w:sz="0" w:space="0" w:color="auto"/>
        <w:right w:val="none" w:sz="0" w:space="0" w:color="auto"/>
      </w:divBdr>
      <w:divsChild>
        <w:div w:id="1764689597">
          <w:marLeft w:val="0"/>
          <w:marRight w:val="0"/>
          <w:marTop w:val="0"/>
          <w:marBottom w:val="0"/>
          <w:divBdr>
            <w:top w:val="none" w:sz="0" w:space="0" w:color="auto"/>
            <w:left w:val="none" w:sz="0" w:space="0" w:color="auto"/>
            <w:bottom w:val="none" w:sz="0" w:space="0" w:color="auto"/>
            <w:right w:val="none" w:sz="0" w:space="0" w:color="auto"/>
          </w:divBdr>
          <w:divsChild>
            <w:div w:id="1764689112">
              <w:marLeft w:val="0"/>
              <w:marRight w:val="0"/>
              <w:marTop w:val="0"/>
              <w:marBottom w:val="0"/>
              <w:divBdr>
                <w:top w:val="none" w:sz="0" w:space="0" w:color="auto"/>
                <w:left w:val="none" w:sz="0" w:space="0" w:color="auto"/>
                <w:bottom w:val="none" w:sz="0" w:space="0" w:color="auto"/>
                <w:right w:val="none" w:sz="0" w:space="0" w:color="auto"/>
              </w:divBdr>
            </w:div>
            <w:div w:id="1764689180">
              <w:marLeft w:val="0"/>
              <w:marRight w:val="0"/>
              <w:marTop w:val="0"/>
              <w:marBottom w:val="0"/>
              <w:divBdr>
                <w:top w:val="none" w:sz="0" w:space="0" w:color="auto"/>
                <w:left w:val="none" w:sz="0" w:space="0" w:color="auto"/>
                <w:bottom w:val="none" w:sz="0" w:space="0" w:color="auto"/>
                <w:right w:val="none" w:sz="0" w:space="0" w:color="auto"/>
              </w:divBdr>
            </w:div>
            <w:div w:id="1764689210">
              <w:marLeft w:val="0"/>
              <w:marRight w:val="0"/>
              <w:marTop w:val="0"/>
              <w:marBottom w:val="0"/>
              <w:divBdr>
                <w:top w:val="none" w:sz="0" w:space="0" w:color="auto"/>
                <w:left w:val="none" w:sz="0" w:space="0" w:color="auto"/>
                <w:bottom w:val="none" w:sz="0" w:space="0" w:color="auto"/>
                <w:right w:val="none" w:sz="0" w:space="0" w:color="auto"/>
              </w:divBdr>
            </w:div>
            <w:div w:id="1764689294">
              <w:marLeft w:val="0"/>
              <w:marRight w:val="0"/>
              <w:marTop w:val="0"/>
              <w:marBottom w:val="0"/>
              <w:divBdr>
                <w:top w:val="none" w:sz="0" w:space="0" w:color="auto"/>
                <w:left w:val="none" w:sz="0" w:space="0" w:color="auto"/>
                <w:bottom w:val="none" w:sz="0" w:space="0" w:color="auto"/>
                <w:right w:val="none" w:sz="0" w:space="0" w:color="auto"/>
              </w:divBdr>
            </w:div>
            <w:div w:id="1764689870">
              <w:marLeft w:val="0"/>
              <w:marRight w:val="0"/>
              <w:marTop w:val="0"/>
              <w:marBottom w:val="0"/>
              <w:divBdr>
                <w:top w:val="none" w:sz="0" w:space="0" w:color="auto"/>
                <w:left w:val="none" w:sz="0" w:space="0" w:color="auto"/>
                <w:bottom w:val="none" w:sz="0" w:space="0" w:color="auto"/>
                <w:right w:val="none" w:sz="0" w:space="0" w:color="auto"/>
              </w:divBdr>
            </w:div>
            <w:div w:id="1764690154">
              <w:marLeft w:val="0"/>
              <w:marRight w:val="0"/>
              <w:marTop w:val="0"/>
              <w:marBottom w:val="0"/>
              <w:divBdr>
                <w:top w:val="none" w:sz="0" w:space="0" w:color="auto"/>
                <w:left w:val="none" w:sz="0" w:space="0" w:color="auto"/>
                <w:bottom w:val="none" w:sz="0" w:space="0" w:color="auto"/>
                <w:right w:val="none" w:sz="0" w:space="0" w:color="auto"/>
              </w:divBdr>
            </w:div>
            <w:div w:id="1764690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225">
      <w:marLeft w:val="0"/>
      <w:marRight w:val="0"/>
      <w:marTop w:val="0"/>
      <w:marBottom w:val="0"/>
      <w:divBdr>
        <w:top w:val="none" w:sz="0" w:space="0" w:color="auto"/>
        <w:left w:val="none" w:sz="0" w:space="0" w:color="auto"/>
        <w:bottom w:val="none" w:sz="0" w:space="0" w:color="auto"/>
        <w:right w:val="none" w:sz="0" w:space="0" w:color="auto"/>
      </w:divBdr>
    </w:div>
    <w:div w:id="1764689229">
      <w:marLeft w:val="0"/>
      <w:marRight w:val="0"/>
      <w:marTop w:val="0"/>
      <w:marBottom w:val="0"/>
      <w:divBdr>
        <w:top w:val="none" w:sz="0" w:space="0" w:color="auto"/>
        <w:left w:val="none" w:sz="0" w:space="0" w:color="auto"/>
        <w:bottom w:val="none" w:sz="0" w:space="0" w:color="auto"/>
        <w:right w:val="none" w:sz="0" w:space="0" w:color="auto"/>
      </w:divBdr>
    </w:div>
    <w:div w:id="1764689230">
      <w:marLeft w:val="0"/>
      <w:marRight w:val="0"/>
      <w:marTop w:val="0"/>
      <w:marBottom w:val="0"/>
      <w:divBdr>
        <w:top w:val="none" w:sz="0" w:space="0" w:color="auto"/>
        <w:left w:val="none" w:sz="0" w:space="0" w:color="auto"/>
        <w:bottom w:val="none" w:sz="0" w:space="0" w:color="auto"/>
        <w:right w:val="none" w:sz="0" w:space="0" w:color="auto"/>
      </w:divBdr>
      <w:divsChild>
        <w:div w:id="1764689223">
          <w:marLeft w:val="0"/>
          <w:marRight w:val="0"/>
          <w:marTop w:val="0"/>
          <w:marBottom w:val="0"/>
          <w:divBdr>
            <w:top w:val="none" w:sz="0" w:space="0" w:color="auto"/>
            <w:left w:val="none" w:sz="0" w:space="0" w:color="auto"/>
            <w:bottom w:val="none" w:sz="0" w:space="0" w:color="auto"/>
            <w:right w:val="none" w:sz="0" w:space="0" w:color="auto"/>
          </w:divBdr>
          <w:divsChild>
            <w:div w:id="1764689189">
              <w:marLeft w:val="0"/>
              <w:marRight w:val="0"/>
              <w:marTop w:val="0"/>
              <w:marBottom w:val="0"/>
              <w:divBdr>
                <w:top w:val="none" w:sz="0" w:space="0" w:color="auto"/>
                <w:left w:val="none" w:sz="0" w:space="0" w:color="auto"/>
                <w:bottom w:val="none" w:sz="0" w:space="0" w:color="auto"/>
                <w:right w:val="none" w:sz="0" w:space="0" w:color="auto"/>
              </w:divBdr>
            </w:div>
            <w:div w:id="1764689422">
              <w:marLeft w:val="0"/>
              <w:marRight w:val="0"/>
              <w:marTop w:val="0"/>
              <w:marBottom w:val="0"/>
              <w:divBdr>
                <w:top w:val="none" w:sz="0" w:space="0" w:color="auto"/>
                <w:left w:val="none" w:sz="0" w:space="0" w:color="auto"/>
                <w:bottom w:val="none" w:sz="0" w:space="0" w:color="auto"/>
                <w:right w:val="none" w:sz="0" w:space="0" w:color="auto"/>
              </w:divBdr>
            </w:div>
            <w:div w:id="1764690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231">
      <w:marLeft w:val="0"/>
      <w:marRight w:val="0"/>
      <w:marTop w:val="0"/>
      <w:marBottom w:val="0"/>
      <w:divBdr>
        <w:top w:val="none" w:sz="0" w:space="0" w:color="auto"/>
        <w:left w:val="none" w:sz="0" w:space="0" w:color="auto"/>
        <w:bottom w:val="none" w:sz="0" w:space="0" w:color="auto"/>
        <w:right w:val="none" w:sz="0" w:space="0" w:color="auto"/>
      </w:divBdr>
      <w:divsChild>
        <w:div w:id="1764689343">
          <w:marLeft w:val="0"/>
          <w:marRight w:val="0"/>
          <w:marTop w:val="0"/>
          <w:marBottom w:val="0"/>
          <w:divBdr>
            <w:top w:val="none" w:sz="0" w:space="0" w:color="auto"/>
            <w:left w:val="none" w:sz="0" w:space="0" w:color="auto"/>
            <w:bottom w:val="none" w:sz="0" w:space="0" w:color="auto"/>
            <w:right w:val="none" w:sz="0" w:space="0" w:color="auto"/>
          </w:divBdr>
        </w:div>
        <w:div w:id="1764689483">
          <w:marLeft w:val="0"/>
          <w:marRight w:val="0"/>
          <w:marTop w:val="0"/>
          <w:marBottom w:val="0"/>
          <w:divBdr>
            <w:top w:val="none" w:sz="0" w:space="0" w:color="auto"/>
            <w:left w:val="none" w:sz="0" w:space="0" w:color="auto"/>
            <w:bottom w:val="none" w:sz="0" w:space="0" w:color="auto"/>
            <w:right w:val="none" w:sz="0" w:space="0" w:color="auto"/>
          </w:divBdr>
        </w:div>
        <w:div w:id="1764689887">
          <w:marLeft w:val="0"/>
          <w:marRight w:val="0"/>
          <w:marTop w:val="0"/>
          <w:marBottom w:val="0"/>
          <w:divBdr>
            <w:top w:val="none" w:sz="0" w:space="0" w:color="auto"/>
            <w:left w:val="none" w:sz="0" w:space="0" w:color="auto"/>
            <w:bottom w:val="none" w:sz="0" w:space="0" w:color="auto"/>
            <w:right w:val="none" w:sz="0" w:space="0" w:color="auto"/>
          </w:divBdr>
        </w:div>
        <w:div w:id="1764689929">
          <w:marLeft w:val="0"/>
          <w:marRight w:val="0"/>
          <w:marTop w:val="0"/>
          <w:marBottom w:val="0"/>
          <w:divBdr>
            <w:top w:val="none" w:sz="0" w:space="0" w:color="auto"/>
            <w:left w:val="none" w:sz="0" w:space="0" w:color="auto"/>
            <w:bottom w:val="none" w:sz="0" w:space="0" w:color="auto"/>
            <w:right w:val="none" w:sz="0" w:space="0" w:color="auto"/>
          </w:divBdr>
        </w:div>
        <w:div w:id="1764690316">
          <w:marLeft w:val="0"/>
          <w:marRight w:val="0"/>
          <w:marTop w:val="0"/>
          <w:marBottom w:val="0"/>
          <w:divBdr>
            <w:top w:val="none" w:sz="0" w:space="0" w:color="auto"/>
            <w:left w:val="none" w:sz="0" w:space="0" w:color="auto"/>
            <w:bottom w:val="none" w:sz="0" w:space="0" w:color="auto"/>
            <w:right w:val="none" w:sz="0" w:space="0" w:color="auto"/>
          </w:divBdr>
        </w:div>
      </w:divsChild>
    </w:div>
    <w:div w:id="1764689233">
      <w:marLeft w:val="0"/>
      <w:marRight w:val="0"/>
      <w:marTop w:val="0"/>
      <w:marBottom w:val="0"/>
      <w:divBdr>
        <w:top w:val="none" w:sz="0" w:space="0" w:color="auto"/>
        <w:left w:val="none" w:sz="0" w:space="0" w:color="auto"/>
        <w:bottom w:val="none" w:sz="0" w:space="0" w:color="auto"/>
        <w:right w:val="none" w:sz="0" w:space="0" w:color="auto"/>
      </w:divBdr>
    </w:div>
    <w:div w:id="1764689234">
      <w:marLeft w:val="0"/>
      <w:marRight w:val="0"/>
      <w:marTop w:val="0"/>
      <w:marBottom w:val="0"/>
      <w:divBdr>
        <w:top w:val="none" w:sz="0" w:space="0" w:color="auto"/>
        <w:left w:val="none" w:sz="0" w:space="0" w:color="auto"/>
        <w:bottom w:val="none" w:sz="0" w:space="0" w:color="auto"/>
        <w:right w:val="none" w:sz="0" w:space="0" w:color="auto"/>
      </w:divBdr>
      <w:divsChild>
        <w:div w:id="1764689591">
          <w:marLeft w:val="0"/>
          <w:marRight w:val="0"/>
          <w:marTop w:val="0"/>
          <w:marBottom w:val="0"/>
          <w:divBdr>
            <w:top w:val="none" w:sz="0" w:space="0" w:color="auto"/>
            <w:left w:val="none" w:sz="0" w:space="0" w:color="auto"/>
            <w:bottom w:val="none" w:sz="0" w:space="0" w:color="auto"/>
            <w:right w:val="none" w:sz="0" w:space="0" w:color="auto"/>
          </w:divBdr>
        </w:div>
      </w:divsChild>
    </w:div>
    <w:div w:id="1764689236">
      <w:marLeft w:val="0"/>
      <w:marRight w:val="0"/>
      <w:marTop w:val="0"/>
      <w:marBottom w:val="0"/>
      <w:divBdr>
        <w:top w:val="none" w:sz="0" w:space="0" w:color="auto"/>
        <w:left w:val="none" w:sz="0" w:space="0" w:color="auto"/>
        <w:bottom w:val="none" w:sz="0" w:space="0" w:color="auto"/>
        <w:right w:val="none" w:sz="0" w:space="0" w:color="auto"/>
      </w:divBdr>
    </w:div>
    <w:div w:id="1764689237">
      <w:marLeft w:val="0"/>
      <w:marRight w:val="0"/>
      <w:marTop w:val="0"/>
      <w:marBottom w:val="0"/>
      <w:divBdr>
        <w:top w:val="none" w:sz="0" w:space="0" w:color="auto"/>
        <w:left w:val="none" w:sz="0" w:space="0" w:color="auto"/>
        <w:bottom w:val="none" w:sz="0" w:space="0" w:color="auto"/>
        <w:right w:val="none" w:sz="0" w:space="0" w:color="auto"/>
      </w:divBdr>
      <w:divsChild>
        <w:div w:id="1764689904">
          <w:marLeft w:val="0"/>
          <w:marRight w:val="0"/>
          <w:marTop w:val="0"/>
          <w:marBottom w:val="0"/>
          <w:divBdr>
            <w:top w:val="none" w:sz="0" w:space="0" w:color="auto"/>
            <w:left w:val="none" w:sz="0" w:space="0" w:color="auto"/>
            <w:bottom w:val="none" w:sz="0" w:space="0" w:color="auto"/>
            <w:right w:val="none" w:sz="0" w:space="0" w:color="auto"/>
          </w:divBdr>
          <w:divsChild>
            <w:div w:id="1764689217">
              <w:marLeft w:val="0"/>
              <w:marRight w:val="0"/>
              <w:marTop w:val="0"/>
              <w:marBottom w:val="0"/>
              <w:divBdr>
                <w:top w:val="none" w:sz="0" w:space="0" w:color="auto"/>
                <w:left w:val="none" w:sz="0" w:space="0" w:color="auto"/>
                <w:bottom w:val="none" w:sz="0" w:space="0" w:color="auto"/>
                <w:right w:val="none" w:sz="0" w:space="0" w:color="auto"/>
              </w:divBdr>
            </w:div>
            <w:div w:id="1764689851">
              <w:marLeft w:val="0"/>
              <w:marRight w:val="0"/>
              <w:marTop w:val="0"/>
              <w:marBottom w:val="0"/>
              <w:divBdr>
                <w:top w:val="none" w:sz="0" w:space="0" w:color="auto"/>
                <w:left w:val="none" w:sz="0" w:space="0" w:color="auto"/>
                <w:bottom w:val="none" w:sz="0" w:space="0" w:color="auto"/>
                <w:right w:val="none" w:sz="0" w:space="0" w:color="auto"/>
              </w:divBdr>
            </w:div>
            <w:div w:id="1764690054">
              <w:marLeft w:val="0"/>
              <w:marRight w:val="0"/>
              <w:marTop w:val="0"/>
              <w:marBottom w:val="0"/>
              <w:divBdr>
                <w:top w:val="none" w:sz="0" w:space="0" w:color="auto"/>
                <w:left w:val="none" w:sz="0" w:space="0" w:color="auto"/>
                <w:bottom w:val="none" w:sz="0" w:space="0" w:color="auto"/>
                <w:right w:val="none" w:sz="0" w:space="0" w:color="auto"/>
              </w:divBdr>
            </w:div>
            <w:div w:id="1764690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239">
      <w:marLeft w:val="0"/>
      <w:marRight w:val="0"/>
      <w:marTop w:val="0"/>
      <w:marBottom w:val="0"/>
      <w:divBdr>
        <w:top w:val="none" w:sz="0" w:space="0" w:color="auto"/>
        <w:left w:val="none" w:sz="0" w:space="0" w:color="auto"/>
        <w:bottom w:val="none" w:sz="0" w:space="0" w:color="auto"/>
        <w:right w:val="none" w:sz="0" w:space="0" w:color="auto"/>
      </w:divBdr>
    </w:div>
    <w:div w:id="1764689240">
      <w:marLeft w:val="0"/>
      <w:marRight w:val="0"/>
      <w:marTop w:val="0"/>
      <w:marBottom w:val="0"/>
      <w:divBdr>
        <w:top w:val="none" w:sz="0" w:space="0" w:color="auto"/>
        <w:left w:val="none" w:sz="0" w:space="0" w:color="auto"/>
        <w:bottom w:val="none" w:sz="0" w:space="0" w:color="auto"/>
        <w:right w:val="none" w:sz="0" w:space="0" w:color="auto"/>
      </w:divBdr>
      <w:divsChild>
        <w:div w:id="1764689961">
          <w:marLeft w:val="0"/>
          <w:marRight w:val="0"/>
          <w:marTop w:val="0"/>
          <w:marBottom w:val="0"/>
          <w:divBdr>
            <w:top w:val="none" w:sz="0" w:space="0" w:color="auto"/>
            <w:left w:val="none" w:sz="0" w:space="0" w:color="auto"/>
            <w:bottom w:val="none" w:sz="0" w:space="0" w:color="auto"/>
            <w:right w:val="none" w:sz="0" w:space="0" w:color="auto"/>
          </w:divBdr>
          <w:divsChild>
            <w:div w:id="1764690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242">
      <w:marLeft w:val="0"/>
      <w:marRight w:val="0"/>
      <w:marTop w:val="0"/>
      <w:marBottom w:val="0"/>
      <w:divBdr>
        <w:top w:val="none" w:sz="0" w:space="0" w:color="auto"/>
        <w:left w:val="none" w:sz="0" w:space="0" w:color="auto"/>
        <w:bottom w:val="none" w:sz="0" w:space="0" w:color="auto"/>
        <w:right w:val="none" w:sz="0" w:space="0" w:color="auto"/>
      </w:divBdr>
      <w:divsChild>
        <w:div w:id="1764689825">
          <w:marLeft w:val="0"/>
          <w:marRight w:val="0"/>
          <w:marTop w:val="0"/>
          <w:marBottom w:val="0"/>
          <w:divBdr>
            <w:top w:val="none" w:sz="0" w:space="0" w:color="auto"/>
            <w:left w:val="none" w:sz="0" w:space="0" w:color="auto"/>
            <w:bottom w:val="none" w:sz="0" w:space="0" w:color="auto"/>
            <w:right w:val="none" w:sz="0" w:space="0" w:color="auto"/>
          </w:divBdr>
          <w:divsChild>
            <w:div w:id="1764690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243">
      <w:marLeft w:val="0"/>
      <w:marRight w:val="0"/>
      <w:marTop w:val="0"/>
      <w:marBottom w:val="0"/>
      <w:divBdr>
        <w:top w:val="none" w:sz="0" w:space="0" w:color="auto"/>
        <w:left w:val="none" w:sz="0" w:space="0" w:color="auto"/>
        <w:bottom w:val="none" w:sz="0" w:space="0" w:color="auto"/>
        <w:right w:val="none" w:sz="0" w:space="0" w:color="auto"/>
      </w:divBdr>
      <w:divsChild>
        <w:div w:id="1764689808">
          <w:marLeft w:val="0"/>
          <w:marRight w:val="0"/>
          <w:marTop w:val="0"/>
          <w:marBottom w:val="0"/>
          <w:divBdr>
            <w:top w:val="none" w:sz="0" w:space="0" w:color="auto"/>
            <w:left w:val="none" w:sz="0" w:space="0" w:color="auto"/>
            <w:bottom w:val="none" w:sz="0" w:space="0" w:color="auto"/>
            <w:right w:val="none" w:sz="0" w:space="0" w:color="auto"/>
          </w:divBdr>
          <w:divsChild>
            <w:div w:id="176469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247">
      <w:marLeft w:val="0"/>
      <w:marRight w:val="0"/>
      <w:marTop w:val="0"/>
      <w:marBottom w:val="0"/>
      <w:divBdr>
        <w:top w:val="none" w:sz="0" w:space="0" w:color="auto"/>
        <w:left w:val="none" w:sz="0" w:space="0" w:color="auto"/>
        <w:bottom w:val="none" w:sz="0" w:space="0" w:color="auto"/>
        <w:right w:val="none" w:sz="0" w:space="0" w:color="auto"/>
      </w:divBdr>
    </w:div>
    <w:div w:id="1764689248">
      <w:marLeft w:val="0"/>
      <w:marRight w:val="0"/>
      <w:marTop w:val="0"/>
      <w:marBottom w:val="0"/>
      <w:divBdr>
        <w:top w:val="none" w:sz="0" w:space="0" w:color="auto"/>
        <w:left w:val="none" w:sz="0" w:space="0" w:color="auto"/>
        <w:bottom w:val="none" w:sz="0" w:space="0" w:color="auto"/>
        <w:right w:val="none" w:sz="0" w:space="0" w:color="auto"/>
      </w:divBdr>
      <w:divsChild>
        <w:div w:id="1764690321">
          <w:marLeft w:val="0"/>
          <w:marRight w:val="0"/>
          <w:marTop w:val="0"/>
          <w:marBottom w:val="0"/>
          <w:divBdr>
            <w:top w:val="none" w:sz="0" w:space="0" w:color="auto"/>
            <w:left w:val="none" w:sz="0" w:space="0" w:color="auto"/>
            <w:bottom w:val="none" w:sz="0" w:space="0" w:color="auto"/>
            <w:right w:val="none" w:sz="0" w:space="0" w:color="auto"/>
          </w:divBdr>
        </w:div>
      </w:divsChild>
    </w:div>
    <w:div w:id="1764689250">
      <w:marLeft w:val="0"/>
      <w:marRight w:val="0"/>
      <w:marTop w:val="0"/>
      <w:marBottom w:val="0"/>
      <w:divBdr>
        <w:top w:val="none" w:sz="0" w:space="0" w:color="auto"/>
        <w:left w:val="none" w:sz="0" w:space="0" w:color="auto"/>
        <w:bottom w:val="none" w:sz="0" w:space="0" w:color="auto"/>
        <w:right w:val="none" w:sz="0" w:space="0" w:color="auto"/>
      </w:divBdr>
    </w:div>
    <w:div w:id="1764689254">
      <w:marLeft w:val="0"/>
      <w:marRight w:val="0"/>
      <w:marTop w:val="0"/>
      <w:marBottom w:val="0"/>
      <w:divBdr>
        <w:top w:val="none" w:sz="0" w:space="0" w:color="auto"/>
        <w:left w:val="none" w:sz="0" w:space="0" w:color="auto"/>
        <w:bottom w:val="none" w:sz="0" w:space="0" w:color="auto"/>
        <w:right w:val="none" w:sz="0" w:space="0" w:color="auto"/>
      </w:divBdr>
    </w:div>
    <w:div w:id="1764689257">
      <w:marLeft w:val="0"/>
      <w:marRight w:val="0"/>
      <w:marTop w:val="0"/>
      <w:marBottom w:val="0"/>
      <w:divBdr>
        <w:top w:val="none" w:sz="0" w:space="0" w:color="auto"/>
        <w:left w:val="none" w:sz="0" w:space="0" w:color="auto"/>
        <w:bottom w:val="none" w:sz="0" w:space="0" w:color="auto"/>
        <w:right w:val="none" w:sz="0" w:space="0" w:color="auto"/>
      </w:divBdr>
    </w:div>
    <w:div w:id="1764689259">
      <w:marLeft w:val="0"/>
      <w:marRight w:val="0"/>
      <w:marTop w:val="0"/>
      <w:marBottom w:val="0"/>
      <w:divBdr>
        <w:top w:val="none" w:sz="0" w:space="0" w:color="auto"/>
        <w:left w:val="none" w:sz="0" w:space="0" w:color="auto"/>
        <w:bottom w:val="none" w:sz="0" w:space="0" w:color="auto"/>
        <w:right w:val="none" w:sz="0" w:space="0" w:color="auto"/>
      </w:divBdr>
      <w:divsChild>
        <w:div w:id="1764689404">
          <w:marLeft w:val="0"/>
          <w:marRight w:val="0"/>
          <w:marTop w:val="0"/>
          <w:marBottom w:val="0"/>
          <w:divBdr>
            <w:top w:val="none" w:sz="0" w:space="0" w:color="auto"/>
            <w:left w:val="none" w:sz="0" w:space="0" w:color="auto"/>
            <w:bottom w:val="none" w:sz="0" w:space="0" w:color="auto"/>
            <w:right w:val="none" w:sz="0" w:space="0" w:color="auto"/>
          </w:divBdr>
        </w:div>
      </w:divsChild>
    </w:div>
    <w:div w:id="1764689260">
      <w:marLeft w:val="0"/>
      <w:marRight w:val="0"/>
      <w:marTop w:val="0"/>
      <w:marBottom w:val="0"/>
      <w:divBdr>
        <w:top w:val="none" w:sz="0" w:space="0" w:color="auto"/>
        <w:left w:val="none" w:sz="0" w:space="0" w:color="auto"/>
        <w:bottom w:val="none" w:sz="0" w:space="0" w:color="auto"/>
        <w:right w:val="none" w:sz="0" w:space="0" w:color="auto"/>
      </w:divBdr>
      <w:divsChild>
        <w:div w:id="1764690020">
          <w:marLeft w:val="0"/>
          <w:marRight w:val="0"/>
          <w:marTop w:val="0"/>
          <w:marBottom w:val="0"/>
          <w:divBdr>
            <w:top w:val="none" w:sz="0" w:space="0" w:color="auto"/>
            <w:left w:val="none" w:sz="0" w:space="0" w:color="auto"/>
            <w:bottom w:val="none" w:sz="0" w:space="0" w:color="auto"/>
            <w:right w:val="none" w:sz="0" w:space="0" w:color="auto"/>
          </w:divBdr>
          <w:divsChild>
            <w:div w:id="1764690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261">
      <w:marLeft w:val="0"/>
      <w:marRight w:val="0"/>
      <w:marTop w:val="0"/>
      <w:marBottom w:val="0"/>
      <w:divBdr>
        <w:top w:val="none" w:sz="0" w:space="0" w:color="auto"/>
        <w:left w:val="none" w:sz="0" w:space="0" w:color="auto"/>
        <w:bottom w:val="none" w:sz="0" w:space="0" w:color="auto"/>
        <w:right w:val="none" w:sz="0" w:space="0" w:color="auto"/>
      </w:divBdr>
      <w:divsChild>
        <w:div w:id="1764689706">
          <w:marLeft w:val="0"/>
          <w:marRight w:val="0"/>
          <w:marTop w:val="0"/>
          <w:marBottom w:val="0"/>
          <w:divBdr>
            <w:top w:val="none" w:sz="0" w:space="0" w:color="auto"/>
            <w:left w:val="none" w:sz="0" w:space="0" w:color="auto"/>
            <w:bottom w:val="none" w:sz="0" w:space="0" w:color="auto"/>
            <w:right w:val="none" w:sz="0" w:space="0" w:color="auto"/>
          </w:divBdr>
        </w:div>
      </w:divsChild>
    </w:div>
    <w:div w:id="1764689263">
      <w:marLeft w:val="0"/>
      <w:marRight w:val="0"/>
      <w:marTop w:val="0"/>
      <w:marBottom w:val="0"/>
      <w:divBdr>
        <w:top w:val="none" w:sz="0" w:space="0" w:color="auto"/>
        <w:left w:val="none" w:sz="0" w:space="0" w:color="auto"/>
        <w:bottom w:val="none" w:sz="0" w:space="0" w:color="auto"/>
        <w:right w:val="none" w:sz="0" w:space="0" w:color="auto"/>
      </w:divBdr>
      <w:divsChild>
        <w:div w:id="1764690385">
          <w:marLeft w:val="0"/>
          <w:marRight w:val="0"/>
          <w:marTop w:val="0"/>
          <w:marBottom w:val="0"/>
          <w:divBdr>
            <w:top w:val="none" w:sz="0" w:space="0" w:color="auto"/>
            <w:left w:val="none" w:sz="0" w:space="0" w:color="auto"/>
            <w:bottom w:val="none" w:sz="0" w:space="0" w:color="auto"/>
            <w:right w:val="none" w:sz="0" w:space="0" w:color="auto"/>
          </w:divBdr>
          <w:divsChild>
            <w:div w:id="1764689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264">
      <w:marLeft w:val="0"/>
      <w:marRight w:val="0"/>
      <w:marTop w:val="0"/>
      <w:marBottom w:val="0"/>
      <w:divBdr>
        <w:top w:val="none" w:sz="0" w:space="0" w:color="auto"/>
        <w:left w:val="none" w:sz="0" w:space="0" w:color="auto"/>
        <w:bottom w:val="none" w:sz="0" w:space="0" w:color="auto"/>
        <w:right w:val="none" w:sz="0" w:space="0" w:color="auto"/>
      </w:divBdr>
    </w:div>
    <w:div w:id="1764689265">
      <w:marLeft w:val="0"/>
      <w:marRight w:val="0"/>
      <w:marTop w:val="0"/>
      <w:marBottom w:val="0"/>
      <w:divBdr>
        <w:top w:val="none" w:sz="0" w:space="0" w:color="auto"/>
        <w:left w:val="none" w:sz="0" w:space="0" w:color="auto"/>
        <w:bottom w:val="none" w:sz="0" w:space="0" w:color="auto"/>
        <w:right w:val="none" w:sz="0" w:space="0" w:color="auto"/>
      </w:divBdr>
      <w:divsChild>
        <w:div w:id="1764690445">
          <w:marLeft w:val="0"/>
          <w:marRight w:val="0"/>
          <w:marTop w:val="0"/>
          <w:marBottom w:val="0"/>
          <w:divBdr>
            <w:top w:val="none" w:sz="0" w:space="0" w:color="auto"/>
            <w:left w:val="none" w:sz="0" w:space="0" w:color="auto"/>
            <w:bottom w:val="none" w:sz="0" w:space="0" w:color="auto"/>
            <w:right w:val="none" w:sz="0" w:space="0" w:color="auto"/>
          </w:divBdr>
          <w:divsChild>
            <w:div w:id="1764689117">
              <w:marLeft w:val="0"/>
              <w:marRight w:val="0"/>
              <w:marTop w:val="0"/>
              <w:marBottom w:val="0"/>
              <w:divBdr>
                <w:top w:val="none" w:sz="0" w:space="0" w:color="auto"/>
                <w:left w:val="none" w:sz="0" w:space="0" w:color="auto"/>
                <w:bottom w:val="none" w:sz="0" w:space="0" w:color="auto"/>
                <w:right w:val="none" w:sz="0" w:space="0" w:color="auto"/>
              </w:divBdr>
            </w:div>
            <w:div w:id="1764689644">
              <w:marLeft w:val="0"/>
              <w:marRight w:val="0"/>
              <w:marTop w:val="0"/>
              <w:marBottom w:val="0"/>
              <w:divBdr>
                <w:top w:val="none" w:sz="0" w:space="0" w:color="auto"/>
                <w:left w:val="none" w:sz="0" w:space="0" w:color="auto"/>
                <w:bottom w:val="none" w:sz="0" w:space="0" w:color="auto"/>
                <w:right w:val="none" w:sz="0" w:space="0" w:color="auto"/>
              </w:divBdr>
            </w:div>
            <w:div w:id="1764689901">
              <w:marLeft w:val="0"/>
              <w:marRight w:val="0"/>
              <w:marTop w:val="0"/>
              <w:marBottom w:val="0"/>
              <w:divBdr>
                <w:top w:val="none" w:sz="0" w:space="0" w:color="auto"/>
                <w:left w:val="none" w:sz="0" w:space="0" w:color="auto"/>
                <w:bottom w:val="none" w:sz="0" w:space="0" w:color="auto"/>
                <w:right w:val="none" w:sz="0" w:space="0" w:color="auto"/>
              </w:divBdr>
            </w:div>
            <w:div w:id="1764689995">
              <w:marLeft w:val="0"/>
              <w:marRight w:val="0"/>
              <w:marTop w:val="0"/>
              <w:marBottom w:val="0"/>
              <w:divBdr>
                <w:top w:val="none" w:sz="0" w:space="0" w:color="auto"/>
                <w:left w:val="none" w:sz="0" w:space="0" w:color="auto"/>
                <w:bottom w:val="none" w:sz="0" w:space="0" w:color="auto"/>
                <w:right w:val="none" w:sz="0" w:space="0" w:color="auto"/>
              </w:divBdr>
            </w:div>
            <w:div w:id="1764690161">
              <w:marLeft w:val="0"/>
              <w:marRight w:val="0"/>
              <w:marTop w:val="0"/>
              <w:marBottom w:val="0"/>
              <w:divBdr>
                <w:top w:val="none" w:sz="0" w:space="0" w:color="auto"/>
                <w:left w:val="none" w:sz="0" w:space="0" w:color="auto"/>
                <w:bottom w:val="none" w:sz="0" w:space="0" w:color="auto"/>
                <w:right w:val="none" w:sz="0" w:space="0" w:color="auto"/>
              </w:divBdr>
            </w:div>
            <w:div w:id="1764690286">
              <w:marLeft w:val="0"/>
              <w:marRight w:val="0"/>
              <w:marTop w:val="0"/>
              <w:marBottom w:val="0"/>
              <w:divBdr>
                <w:top w:val="none" w:sz="0" w:space="0" w:color="auto"/>
                <w:left w:val="none" w:sz="0" w:space="0" w:color="auto"/>
                <w:bottom w:val="none" w:sz="0" w:space="0" w:color="auto"/>
                <w:right w:val="none" w:sz="0" w:space="0" w:color="auto"/>
              </w:divBdr>
            </w:div>
            <w:div w:id="1764690359">
              <w:marLeft w:val="0"/>
              <w:marRight w:val="0"/>
              <w:marTop w:val="0"/>
              <w:marBottom w:val="0"/>
              <w:divBdr>
                <w:top w:val="none" w:sz="0" w:space="0" w:color="auto"/>
                <w:left w:val="none" w:sz="0" w:space="0" w:color="auto"/>
                <w:bottom w:val="none" w:sz="0" w:space="0" w:color="auto"/>
                <w:right w:val="none" w:sz="0" w:space="0" w:color="auto"/>
              </w:divBdr>
            </w:div>
            <w:div w:id="1764690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267">
      <w:marLeft w:val="0"/>
      <w:marRight w:val="0"/>
      <w:marTop w:val="0"/>
      <w:marBottom w:val="0"/>
      <w:divBdr>
        <w:top w:val="none" w:sz="0" w:space="0" w:color="auto"/>
        <w:left w:val="none" w:sz="0" w:space="0" w:color="auto"/>
        <w:bottom w:val="none" w:sz="0" w:space="0" w:color="auto"/>
        <w:right w:val="none" w:sz="0" w:space="0" w:color="auto"/>
      </w:divBdr>
    </w:div>
    <w:div w:id="1764689269">
      <w:marLeft w:val="0"/>
      <w:marRight w:val="0"/>
      <w:marTop w:val="0"/>
      <w:marBottom w:val="0"/>
      <w:divBdr>
        <w:top w:val="none" w:sz="0" w:space="0" w:color="auto"/>
        <w:left w:val="none" w:sz="0" w:space="0" w:color="auto"/>
        <w:bottom w:val="none" w:sz="0" w:space="0" w:color="auto"/>
        <w:right w:val="none" w:sz="0" w:space="0" w:color="auto"/>
      </w:divBdr>
    </w:div>
    <w:div w:id="1764689271">
      <w:marLeft w:val="0"/>
      <w:marRight w:val="0"/>
      <w:marTop w:val="0"/>
      <w:marBottom w:val="0"/>
      <w:divBdr>
        <w:top w:val="none" w:sz="0" w:space="0" w:color="auto"/>
        <w:left w:val="none" w:sz="0" w:space="0" w:color="auto"/>
        <w:bottom w:val="none" w:sz="0" w:space="0" w:color="auto"/>
        <w:right w:val="none" w:sz="0" w:space="0" w:color="auto"/>
      </w:divBdr>
    </w:div>
    <w:div w:id="1764689272">
      <w:marLeft w:val="0"/>
      <w:marRight w:val="0"/>
      <w:marTop w:val="0"/>
      <w:marBottom w:val="0"/>
      <w:divBdr>
        <w:top w:val="none" w:sz="0" w:space="0" w:color="auto"/>
        <w:left w:val="none" w:sz="0" w:space="0" w:color="auto"/>
        <w:bottom w:val="none" w:sz="0" w:space="0" w:color="auto"/>
        <w:right w:val="none" w:sz="0" w:space="0" w:color="auto"/>
      </w:divBdr>
    </w:div>
    <w:div w:id="1764689273">
      <w:marLeft w:val="0"/>
      <w:marRight w:val="0"/>
      <w:marTop w:val="0"/>
      <w:marBottom w:val="0"/>
      <w:divBdr>
        <w:top w:val="none" w:sz="0" w:space="0" w:color="auto"/>
        <w:left w:val="none" w:sz="0" w:space="0" w:color="auto"/>
        <w:bottom w:val="none" w:sz="0" w:space="0" w:color="auto"/>
        <w:right w:val="none" w:sz="0" w:space="0" w:color="auto"/>
      </w:divBdr>
      <w:divsChild>
        <w:div w:id="1764690538">
          <w:marLeft w:val="0"/>
          <w:marRight w:val="0"/>
          <w:marTop w:val="0"/>
          <w:marBottom w:val="0"/>
          <w:divBdr>
            <w:top w:val="none" w:sz="0" w:space="0" w:color="auto"/>
            <w:left w:val="none" w:sz="0" w:space="0" w:color="auto"/>
            <w:bottom w:val="none" w:sz="0" w:space="0" w:color="auto"/>
            <w:right w:val="none" w:sz="0" w:space="0" w:color="auto"/>
          </w:divBdr>
          <w:divsChild>
            <w:div w:id="1764689193">
              <w:marLeft w:val="0"/>
              <w:marRight w:val="0"/>
              <w:marTop w:val="0"/>
              <w:marBottom w:val="0"/>
              <w:divBdr>
                <w:top w:val="none" w:sz="0" w:space="0" w:color="auto"/>
                <w:left w:val="none" w:sz="0" w:space="0" w:color="auto"/>
                <w:bottom w:val="none" w:sz="0" w:space="0" w:color="auto"/>
                <w:right w:val="none" w:sz="0" w:space="0" w:color="auto"/>
              </w:divBdr>
            </w:div>
            <w:div w:id="1764689758">
              <w:marLeft w:val="0"/>
              <w:marRight w:val="0"/>
              <w:marTop w:val="0"/>
              <w:marBottom w:val="0"/>
              <w:divBdr>
                <w:top w:val="none" w:sz="0" w:space="0" w:color="auto"/>
                <w:left w:val="none" w:sz="0" w:space="0" w:color="auto"/>
                <w:bottom w:val="none" w:sz="0" w:space="0" w:color="auto"/>
                <w:right w:val="none" w:sz="0" w:space="0" w:color="auto"/>
              </w:divBdr>
            </w:div>
            <w:div w:id="1764690406">
              <w:marLeft w:val="0"/>
              <w:marRight w:val="0"/>
              <w:marTop w:val="0"/>
              <w:marBottom w:val="0"/>
              <w:divBdr>
                <w:top w:val="none" w:sz="0" w:space="0" w:color="auto"/>
                <w:left w:val="none" w:sz="0" w:space="0" w:color="auto"/>
                <w:bottom w:val="none" w:sz="0" w:space="0" w:color="auto"/>
                <w:right w:val="none" w:sz="0" w:space="0" w:color="auto"/>
              </w:divBdr>
            </w:div>
            <w:div w:id="1764690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274">
      <w:marLeft w:val="0"/>
      <w:marRight w:val="0"/>
      <w:marTop w:val="0"/>
      <w:marBottom w:val="0"/>
      <w:divBdr>
        <w:top w:val="none" w:sz="0" w:space="0" w:color="auto"/>
        <w:left w:val="none" w:sz="0" w:space="0" w:color="auto"/>
        <w:bottom w:val="none" w:sz="0" w:space="0" w:color="auto"/>
        <w:right w:val="none" w:sz="0" w:space="0" w:color="auto"/>
      </w:divBdr>
      <w:divsChild>
        <w:div w:id="1764689439">
          <w:marLeft w:val="0"/>
          <w:marRight w:val="0"/>
          <w:marTop w:val="0"/>
          <w:marBottom w:val="0"/>
          <w:divBdr>
            <w:top w:val="none" w:sz="0" w:space="0" w:color="auto"/>
            <w:left w:val="none" w:sz="0" w:space="0" w:color="auto"/>
            <w:bottom w:val="none" w:sz="0" w:space="0" w:color="auto"/>
            <w:right w:val="none" w:sz="0" w:space="0" w:color="auto"/>
          </w:divBdr>
          <w:divsChild>
            <w:div w:id="1764689178">
              <w:marLeft w:val="0"/>
              <w:marRight w:val="0"/>
              <w:marTop w:val="0"/>
              <w:marBottom w:val="0"/>
              <w:divBdr>
                <w:top w:val="none" w:sz="0" w:space="0" w:color="auto"/>
                <w:left w:val="none" w:sz="0" w:space="0" w:color="auto"/>
                <w:bottom w:val="none" w:sz="0" w:space="0" w:color="auto"/>
                <w:right w:val="none" w:sz="0" w:space="0" w:color="auto"/>
              </w:divBdr>
            </w:div>
            <w:div w:id="1764689946">
              <w:marLeft w:val="0"/>
              <w:marRight w:val="0"/>
              <w:marTop w:val="0"/>
              <w:marBottom w:val="0"/>
              <w:divBdr>
                <w:top w:val="none" w:sz="0" w:space="0" w:color="auto"/>
                <w:left w:val="none" w:sz="0" w:space="0" w:color="auto"/>
                <w:bottom w:val="none" w:sz="0" w:space="0" w:color="auto"/>
                <w:right w:val="none" w:sz="0" w:space="0" w:color="auto"/>
              </w:divBdr>
            </w:div>
            <w:div w:id="1764690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276">
      <w:marLeft w:val="0"/>
      <w:marRight w:val="0"/>
      <w:marTop w:val="0"/>
      <w:marBottom w:val="0"/>
      <w:divBdr>
        <w:top w:val="none" w:sz="0" w:space="0" w:color="auto"/>
        <w:left w:val="none" w:sz="0" w:space="0" w:color="auto"/>
        <w:bottom w:val="none" w:sz="0" w:space="0" w:color="auto"/>
        <w:right w:val="none" w:sz="0" w:space="0" w:color="auto"/>
      </w:divBdr>
      <w:divsChild>
        <w:div w:id="1764690402">
          <w:marLeft w:val="0"/>
          <w:marRight w:val="0"/>
          <w:marTop w:val="0"/>
          <w:marBottom w:val="0"/>
          <w:divBdr>
            <w:top w:val="none" w:sz="0" w:space="0" w:color="auto"/>
            <w:left w:val="none" w:sz="0" w:space="0" w:color="auto"/>
            <w:bottom w:val="none" w:sz="0" w:space="0" w:color="auto"/>
            <w:right w:val="none" w:sz="0" w:space="0" w:color="auto"/>
          </w:divBdr>
          <w:divsChild>
            <w:div w:id="1764689694">
              <w:marLeft w:val="0"/>
              <w:marRight w:val="0"/>
              <w:marTop w:val="0"/>
              <w:marBottom w:val="0"/>
              <w:divBdr>
                <w:top w:val="none" w:sz="0" w:space="0" w:color="auto"/>
                <w:left w:val="none" w:sz="0" w:space="0" w:color="auto"/>
                <w:bottom w:val="none" w:sz="0" w:space="0" w:color="auto"/>
                <w:right w:val="none" w:sz="0" w:space="0" w:color="auto"/>
              </w:divBdr>
            </w:div>
            <w:div w:id="1764689821">
              <w:marLeft w:val="0"/>
              <w:marRight w:val="0"/>
              <w:marTop w:val="0"/>
              <w:marBottom w:val="0"/>
              <w:divBdr>
                <w:top w:val="none" w:sz="0" w:space="0" w:color="auto"/>
                <w:left w:val="none" w:sz="0" w:space="0" w:color="auto"/>
                <w:bottom w:val="none" w:sz="0" w:space="0" w:color="auto"/>
                <w:right w:val="none" w:sz="0" w:space="0" w:color="auto"/>
              </w:divBdr>
            </w:div>
            <w:div w:id="1764690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284">
      <w:marLeft w:val="0"/>
      <w:marRight w:val="0"/>
      <w:marTop w:val="0"/>
      <w:marBottom w:val="0"/>
      <w:divBdr>
        <w:top w:val="none" w:sz="0" w:space="0" w:color="auto"/>
        <w:left w:val="none" w:sz="0" w:space="0" w:color="auto"/>
        <w:bottom w:val="none" w:sz="0" w:space="0" w:color="auto"/>
        <w:right w:val="none" w:sz="0" w:space="0" w:color="auto"/>
      </w:divBdr>
      <w:divsChild>
        <w:div w:id="1764689470">
          <w:marLeft w:val="0"/>
          <w:marRight w:val="0"/>
          <w:marTop w:val="0"/>
          <w:marBottom w:val="0"/>
          <w:divBdr>
            <w:top w:val="none" w:sz="0" w:space="0" w:color="auto"/>
            <w:left w:val="none" w:sz="0" w:space="0" w:color="auto"/>
            <w:bottom w:val="none" w:sz="0" w:space="0" w:color="auto"/>
            <w:right w:val="none" w:sz="0" w:space="0" w:color="auto"/>
          </w:divBdr>
        </w:div>
      </w:divsChild>
    </w:div>
    <w:div w:id="1764689287">
      <w:marLeft w:val="0"/>
      <w:marRight w:val="0"/>
      <w:marTop w:val="0"/>
      <w:marBottom w:val="0"/>
      <w:divBdr>
        <w:top w:val="none" w:sz="0" w:space="0" w:color="auto"/>
        <w:left w:val="none" w:sz="0" w:space="0" w:color="auto"/>
        <w:bottom w:val="none" w:sz="0" w:space="0" w:color="auto"/>
        <w:right w:val="none" w:sz="0" w:space="0" w:color="auto"/>
      </w:divBdr>
      <w:divsChild>
        <w:div w:id="1764689653">
          <w:marLeft w:val="0"/>
          <w:marRight w:val="0"/>
          <w:marTop w:val="0"/>
          <w:marBottom w:val="0"/>
          <w:divBdr>
            <w:top w:val="none" w:sz="0" w:space="0" w:color="auto"/>
            <w:left w:val="none" w:sz="0" w:space="0" w:color="auto"/>
            <w:bottom w:val="none" w:sz="0" w:space="0" w:color="auto"/>
            <w:right w:val="none" w:sz="0" w:space="0" w:color="auto"/>
          </w:divBdr>
          <w:divsChild>
            <w:div w:id="1764689410">
              <w:marLeft w:val="0"/>
              <w:marRight w:val="0"/>
              <w:marTop w:val="0"/>
              <w:marBottom w:val="0"/>
              <w:divBdr>
                <w:top w:val="none" w:sz="0" w:space="0" w:color="auto"/>
                <w:left w:val="none" w:sz="0" w:space="0" w:color="auto"/>
                <w:bottom w:val="none" w:sz="0" w:space="0" w:color="auto"/>
                <w:right w:val="none" w:sz="0" w:space="0" w:color="auto"/>
              </w:divBdr>
            </w:div>
            <w:div w:id="1764689677">
              <w:marLeft w:val="0"/>
              <w:marRight w:val="0"/>
              <w:marTop w:val="0"/>
              <w:marBottom w:val="0"/>
              <w:divBdr>
                <w:top w:val="none" w:sz="0" w:space="0" w:color="auto"/>
                <w:left w:val="none" w:sz="0" w:space="0" w:color="auto"/>
                <w:bottom w:val="none" w:sz="0" w:space="0" w:color="auto"/>
                <w:right w:val="none" w:sz="0" w:space="0" w:color="auto"/>
              </w:divBdr>
            </w:div>
            <w:div w:id="1764689960">
              <w:marLeft w:val="0"/>
              <w:marRight w:val="0"/>
              <w:marTop w:val="0"/>
              <w:marBottom w:val="0"/>
              <w:divBdr>
                <w:top w:val="none" w:sz="0" w:space="0" w:color="auto"/>
                <w:left w:val="none" w:sz="0" w:space="0" w:color="auto"/>
                <w:bottom w:val="none" w:sz="0" w:space="0" w:color="auto"/>
                <w:right w:val="none" w:sz="0" w:space="0" w:color="auto"/>
              </w:divBdr>
            </w:div>
            <w:div w:id="1764690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290">
      <w:marLeft w:val="0"/>
      <w:marRight w:val="0"/>
      <w:marTop w:val="0"/>
      <w:marBottom w:val="0"/>
      <w:divBdr>
        <w:top w:val="none" w:sz="0" w:space="0" w:color="auto"/>
        <w:left w:val="none" w:sz="0" w:space="0" w:color="auto"/>
        <w:bottom w:val="none" w:sz="0" w:space="0" w:color="auto"/>
        <w:right w:val="none" w:sz="0" w:space="0" w:color="auto"/>
      </w:divBdr>
    </w:div>
    <w:div w:id="1764689293">
      <w:marLeft w:val="0"/>
      <w:marRight w:val="0"/>
      <w:marTop w:val="0"/>
      <w:marBottom w:val="0"/>
      <w:divBdr>
        <w:top w:val="none" w:sz="0" w:space="0" w:color="auto"/>
        <w:left w:val="none" w:sz="0" w:space="0" w:color="auto"/>
        <w:bottom w:val="none" w:sz="0" w:space="0" w:color="auto"/>
        <w:right w:val="none" w:sz="0" w:space="0" w:color="auto"/>
      </w:divBdr>
      <w:divsChild>
        <w:div w:id="1764689079">
          <w:marLeft w:val="0"/>
          <w:marRight w:val="0"/>
          <w:marTop w:val="0"/>
          <w:marBottom w:val="0"/>
          <w:divBdr>
            <w:top w:val="none" w:sz="0" w:space="0" w:color="auto"/>
            <w:left w:val="none" w:sz="0" w:space="0" w:color="auto"/>
            <w:bottom w:val="none" w:sz="0" w:space="0" w:color="auto"/>
            <w:right w:val="none" w:sz="0" w:space="0" w:color="auto"/>
          </w:divBdr>
        </w:div>
      </w:divsChild>
    </w:div>
    <w:div w:id="1764689296">
      <w:marLeft w:val="0"/>
      <w:marRight w:val="0"/>
      <w:marTop w:val="0"/>
      <w:marBottom w:val="0"/>
      <w:divBdr>
        <w:top w:val="none" w:sz="0" w:space="0" w:color="auto"/>
        <w:left w:val="none" w:sz="0" w:space="0" w:color="auto"/>
        <w:bottom w:val="none" w:sz="0" w:space="0" w:color="auto"/>
        <w:right w:val="none" w:sz="0" w:space="0" w:color="auto"/>
      </w:divBdr>
      <w:divsChild>
        <w:div w:id="1764689506">
          <w:marLeft w:val="0"/>
          <w:marRight w:val="0"/>
          <w:marTop w:val="0"/>
          <w:marBottom w:val="0"/>
          <w:divBdr>
            <w:top w:val="none" w:sz="0" w:space="0" w:color="auto"/>
            <w:left w:val="none" w:sz="0" w:space="0" w:color="auto"/>
            <w:bottom w:val="none" w:sz="0" w:space="0" w:color="auto"/>
            <w:right w:val="none" w:sz="0" w:space="0" w:color="auto"/>
          </w:divBdr>
        </w:div>
      </w:divsChild>
    </w:div>
    <w:div w:id="1764689297">
      <w:marLeft w:val="0"/>
      <w:marRight w:val="0"/>
      <w:marTop w:val="0"/>
      <w:marBottom w:val="0"/>
      <w:divBdr>
        <w:top w:val="none" w:sz="0" w:space="0" w:color="auto"/>
        <w:left w:val="none" w:sz="0" w:space="0" w:color="auto"/>
        <w:bottom w:val="none" w:sz="0" w:space="0" w:color="auto"/>
        <w:right w:val="none" w:sz="0" w:space="0" w:color="auto"/>
      </w:divBdr>
    </w:div>
    <w:div w:id="1764689303">
      <w:marLeft w:val="0"/>
      <w:marRight w:val="0"/>
      <w:marTop w:val="0"/>
      <w:marBottom w:val="0"/>
      <w:divBdr>
        <w:top w:val="none" w:sz="0" w:space="0" w:color="auto"/>
        <w:left w:val="none" w:sz="0" w:space="0" w:color="auto"/>
        <w:bottom w:val="none" w:sz="0" w:space="0" w:color="auto"/>
        <w:right w:val="none" w:sz="0" w:space="0" w:color="auto"/>
      </w:divBdr>
      <w:divsChild>
        <w:div w:id="1764689554">
          <w:marLeft w:val="0"/>
          <w:marRight w:val="0"/>
          <w:marTop w:val="0"/>
          <w:marBottom w:val="0"/>
          <w:divBdr>
            <w:top w:val="none" w:sz="0" w:space="0" w:color="auto"/>
            <w:left w:val="none" w:sz="0" w:space="0" w:color="auto"/>
            <w:bottom w:val="none" w:sz="0" w:space="0" w:color="auto"/>
            <w:right w:val="none" w:sz="0" w:space="0" w:color="auto"/>
          </w:divBdr>
        </w:div>
      </w:divsChild>
    </w:div>
    <w:div w:id="1764689305">
      <w:marLeft w:val="0"/>
      <w:marRight w:val="0"/>
      <w:marTop w:val="0"/>
      <w:marBottom w:val="0"/>
      <w:divBdr>
        <w:top w:val="none" w:sz="0" w:space="0" w:color="auto"/>
        <w:left w:val="none" w:sz="0" w:space="0" w:color="auto"/>
        <w:bottom w:val="none" w:sz="0" w:space="0" w:color="auto"/>
        <w:right w:val="none" w:sz="0" w:space="0" w:color="auto"/>
      </w:divBdr>
    </w:div>
    <w:div w:id="1764689307">
      <w:marLeft w:val="0"/>
      <w:marRight w:val="0"/>
      <w:marTop w:val="0"/>
      <w:marBottom w:val="0"/>
      <w:divBdr>
        <w:top w:val="none" w:sz="0" w:space="0" w:color="auto"/>
        <w:left w:val="none" w:sz="0" w:space="0" w:color="auto"/>
        <w:bottom w:val="none" w:sz="0" w:space="0" w:color="auto"/>
        <w:right w:val="none" w:sz="0" w:space="0" w:color="auto"/>
      </w:divBdr>
    </w:div>
    <w:div w:id="1764689308">
      <w:marLeft w:val="0"/>
      <w:marRight w:val="0"/>
      <w:marTop w:val="0"/>
      <w:marBottom w:val="0"/>
      <w:divBdr>
        <w:top w:val="none" w:sz="0" w:space="0" w:color="auto"/>
        <w:left w:val="none" w:sz="0" w:space="0" w:color="auto"/>
        <w:bottom w:val="none" w:sz="0" w:space="0" w:color="auto"/>
        <w:right w:val="none" w:sz="0" w:space="0" w:color="auto"/>
      </w:divBdr>
      <w:divsChild>
        <w:div w:id="1764689130">
          <w:marLeft w:val="0"/>
          <w:marRight w:val="0"/>
          <w:marTop w:val="0"/>
          <w:marBottom w:val="0"/>
          <w:divBdr>
            <w:top w:val="none" w:sz="0" w:space="0" w:color="auto"/>
            <w:left w:val="none" w:sz="0" w:space="0" w:color="auto"/>
            <w:bottom w:val="none" w:sz="0" w:space="0" w:color="auto"/>
            <w:right w:val="none" w:sz="0" w:space="0" w:color="auto"/>
          </w:divBdr>
        </w:div>
        <w:div w:id="1764689268">
          <w:marLeft w:val="0"/>
          <w:marRight w:val="0"/>
          <w:marTop w:val="0"/>
          <w:marBottom w:val="0"/>
          <w:divBdr>
            <w:top w:val="none" w:sz="0" w:space="0" w:color="auto"/>
            <w:left w:val="none" w:sz="0" w:space="0" w:color="auto"/>
            <w:bottom w:val="none" w:sz="0" w:space="0" w:color="auto"/>
            <w:right w:val="none" w:sz="0" w:space="0" w:color="auto"/>
          </w:divBdr>
        </w:div>
        <w:div w:id="1764689534">
          <w:marLeft w:val="0"/>
          <w:marRight w:val="0"/>
          <w:marTop w:val="0"/>
          <w:marBottom w:val="0"/>
          <w:divBdr>
            <w:top w:val="none" w:sz="0" w:space="0" w:color="auto"/>
            <w:left w:val="none" w:sz="0" w:space="0" w:color="auto"/>
            <w:bottom w:val="none" w:sz="0" w:space="0" w:color="auto"/>
            <w:right w:val="none" w:sz="0" w:space="0" w:color="auto"/>
          </w:divBdr>
        </w:div>
        <w:div w:id="1764689611">
          <w:marLeft w:val="0"/>
          <w:marRight w:val="0"/>
          <w:marTop w:val="0"/>
          <w:marBottom w:val="0"/>
          <w:divBdr>
            <w:top w:val="none" w:sz="0" w:space="0" w:color="auto"/>
            <w:left w:val="none" w:sz="0" w:space="0" w:color="auto"/>
            <w:bottom w:val="none" w:sz="0" w:space="0" w:color="auto"/>
            <w:right w:val="none" w:sz="0" w:space="0" w:color="auto"/>
          </w:divBdr>
        </w:div>
        <w:div w:id="1764689637">
          <w:marLeft w:val="0"/>
          <w:marRight w:val="0"/>
          <w:marTop w:val="0"/>
          <w:marBottom w:val="0"/>
          <w:divBdr>
            <w:top w:val="none" w:sz="0" w:space="0" w:color="auto"/>
            <w:left w:val="none" w:sz="0" w:space="0" w:color="auto"/>
            <w:bottom w:val="none" w:sz="0" w:space="0" w:color="auto"/>
            <w:right w:val="none" w:sz="0" w:space="0" w:color="auto"/>
          </w:divBdr>
        </w:div>
        <w:div w:id="1764690187">
          <w:marLeft w:val="0"/>
          <w:marRight w:val="0"/>
          <w:marTop w:val="0"/>
          <w:marBottom w:val="0"/>
          <w:divBdr>
            <w:top w:val="none" w:sz="0" w:space="0" w:color="auto"/>
            <w:left w:val="none" w:sz="0" w:space="0" w:color="auto"/>
            <w:bottom w:val="none" w:sz="0" w:space="0" w:color="auto"/>
            <w:right w:val="none" w:sz="0" w:space="0" w:color="auto"/>
          </w:divBdr>
        </w:div>
      </w:divsChild>
    </w:div>
    <w:div w:id="1764689311">
      <w:marLeft w:val="0"/>
      <w:marRight w:val="0"/>
      <w:marTop w:val="0"/>
      <w:marBottom w:val="0"/>
      <w:divBdr>
        <w:top w:val="none" w:sz="0" w:space="0" w:color="auto"/>
        <w:left w:val="none" w:sz="0" w:space="0" w:color="auto"/>
        <w:bottom w:val="none" w:sz="0" w:space="0" w:color="auto"/>
        <w:right w:val="none" w:sz="0" w:space="0" w:color="auto"/>
      </w:divBdr>
    </w:div>
    <w:div w:id="1764689315">
      <w:marLeft w:val="0"/>
      <w:marRight w:val="0"/>
      <w:marTop w:val="0"/>
      <w:marBottom w:val="0"/>
      <w:divBdr>
        <w:top w:val="none" w:sz="0" w:space="0" w:color="auto"/>
        <w:left w:val="none" w:sz="0" w:space="0" w:color="auto"/>
        <w:bottom w:val="none" w:sz="0" w:space="0" w:color="auto"/>
        <w:right w:val="none" w:sz="0" w:space="0" w:color="auto"/>
      </w:divBdr>
      <w:divsChild>
        <w:div w:id="1764690160">
          <w:marLeft w:val="0"/>
          <w:marRight w:val="0"/>
          <w:marTop w:val="0"/>
          <w:marBottom w:val="0"/>
          <w:divBdr>
            <w:top w:val="none" w:sz="0" w:space="0" w:color="auto"/>
            <w:left w:val="none" w:sz="0" w:space="0" w:color="auto"/>
            <w:bottom w:val="none" w:sz="0" w:space="0" w:color="auto"/>
            <w:right w:val="none" w:sz="0" w:space="0" w:color="auto"/>
          </w:divBdr>
          <w:divsChild>
            <w:div w:id="1764690185">
              <w:marLeft w:val="0"/>
              <w:marRight w:val="0"/>
              <w:marTop w:val="0"/>
              <w:marBottom w:val="0"/>
              <w:divBdr>
                <w:top w:val="none" w:sz="0" w:space="0" w:color="auto"/>
                <w:left w:val="none" w:sz="0" w:space="0" w:color="auto"/>
                <w:bottom w:val="none" w:sz="0" w:space="0" w:color="auto"/>
                <w:right w:val="none" w:sz="0" w:space="0" w:color="auto"/>
              </w:divBdr>
            </w:div>
            <w:div w:id="1764690328">
              <w:marLeft w:val="0"/>
              <w:marRight w:val="0"/>
              <w:marTop w:val="0"/>
              <w:marBottom w:val="0"/>
              <w:divBdr>
                <w:top w:val="none" w:sz="0" w:space="0" w:color="auto"/>
                <w:left w:val="none" w:sz="0" w:space="0" w:color="auto"/>
                <w:bottom w:val="none" w:sz="0" w:space="0" w:color="auto"/>
                <w:right w:val="none" w:sz="0" w:space="0" w:color="auto"/>
              </w:divBdr>
            </w:div>
            <w:div w:id="1764690386">
              <w:marLeft w:val="0"/>
              <w:marRight w:val="0"/>
              <w:marTop w:val="0"/>
              <w:marBottom w:val="0"/>
              <w:divBdr>
                <w:top w:val="none" w:sz="0" w:space="0" w:color="auto"/>
                <w:left w:val="none" w:sz="0" w:space="0" w:color="auto"/>
                <w:bottom w:val="none" w:sz="0" w:space="0" w:color="auto"/>
                <w:right w:val="none" w:sz="0" w:space="0" w:color="auto"/>
              </w:divBdr>
            </w:div>
            <w:div w:id="1764690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316">
      <w:marLeft w:val="0"/>
      <w:marRight w:val="0"/>
      <w:marTop w:val="0"/>
      <w:marBottom w:val="0"/>
      <w:divBdr>
        <w:top w:val="none" w:sz="0" w:space="0" w:color="auto"/>
        <w:left w:val="none" w:sz="0" w:space="0" w:color="auto"/>
        <w:bottom w:val="none" w:sz="0" w:space="0" w:color="auto"/>
        <w:right w:val="none" w:sz="0" w:space="0" w:color="auto"/>
      </w:divBdr>
    </w:div>
    <w:div w:id="1764689317">
      <w:marLeft w:val="0"/>
      <w:marRight w:val="0"/>
      <w:marTop w:val="0"/>
      <w:marBottom w:val="0"/>
      <w:divBdr>
        <w:top w:val="none" w:sz="0" w:space="0" w:color="auto"/>
        <w:left w:val="none" w:sz="0" w:space="0" w:color="auto"/>
        <w:bottom w:val="none" w:sz="0" w:space="0" w:color="auto"/>
        <w:right w:val="none" w:sz="0" w:space="0" w:color="auto"/>
      </w:divBdr>
    </w:div>
    <w:div w:id="1764689320">
      <w:marLeft w:val="0"/>
      <w:marRight w:val="0"/>
      <w:marTop w:val="0"/>
      <w:marBottom w:val="0"/>
      <w:divBdr>
        <w:top w:val="none" w:sz="0" w:space="0" w:color="auto"/>
        <w:left w:val="none" w:sz="0" w:space="0" w:color="auto"/>
        <w:bottom w:val="none" w:sz="0" w:space="0" w:color="auto"/>
        <w:right w:val="none" w:sz="0" w:space="0" w:color="auto"/>
      </w:divBdr>
      <w:divsChild>
        <w:div w:id="1764690093">
          <w:marLeft w:val="0"/>
          <w:marRight w:val="0"/>
          <w:marTop w:val="0"/>
          <w:marBottom w:val="0"/>
          <w:divBdr>
            <w:top w:val="none" w:sz="0" w:space="0" w:color="auto"/>
            <w:left w:val="none" w:sz="0" w:space="0" w:color="auto"/>
            <w:bottom w:val="none" w:sz="0" w:space="0" w:color="auto"/>
            <w:right w:val="none" w:sz="0" w:space="0" w:color="auto"/>
          </w:divBdr>
        </w:div>
      </w:divsChild>
    </w:div>
    <w:div w:id="1764689321">
      <w:marLeft w:val="0"/>
      <w:marRight w:val="0"/>
      <w:marTop w:val="0"/>
      <w:marBottom w:val="0"/>
      <w:divBdr>
        <w:top w:val="none" w:sz="0" w:space="0" w:color="auto"/>
        <w:left w:val="none" w:sz="0" w:space="0" w:color="auto"/>
        <w:bottom w:val="none" w:sz="0" w:space="0" w:color="auto"/>
        <w:right w:val="none" w:sz="0" w:space="0" w:color="auto"/>
      </w:divBdr>
    </w:div>
    <w:div w:id="1764689325">
      <w:marLeft w:val="0"/>
      <w:marRight w:val="0"/>
      <w:marTop w:val="0"/>
      <w:marBottom w:val="0"/>
      <w:divBdr>
        <w:top w:val="none" w:sz="0" w:space="0" w:color="auto"/>
        <w:left w:val="none" w:sz="0" w:space="0" w:color="auto"/>
        <w:bottom w:val="none" w:sz="0" w:space="0" w:color="auto"/>
        <w:right w:val="none" w:sz="0" w:space="0" w:color="auto"/>
      </w:divBdr>
    </w:div>
    <w:div w:id="1764689330">
      <w:marLeft w:val="0"/>
      <w:marRight w:val="0"/>
      <w:marTop w:val="0"/>
      <w:marBottom w:val="0"/>
      <w:divBdr>
        <w:top w:val="none" w:sz="0" w:space="0" w:color="auto"/>
        <w:left w:val="none" w:sz="0" w:space="0" w:color="auto"/>
        <w:bottom w:val="none" w:sz="0" w:space="0" w:color="auto"/>
        <w:right w:val="none" w:sz="0" w:space="0" w:color="auto"/>
      </w:divBdr>
    </w:div>
    <w:div w:id="1764689332">
      <w:marLeft w:val="0"/>
      <w:marRight w:val="0"/>
      <w:marTop w:val="0"/>
      <w:marBottom w:val="0"/>
      <w:divBdr>
        <w:top w:val="none" w:sz="0" w:space="0" w:color="auto"/>
        <w:left w:val="none" w:sz="0" w:space="0" w:color="auto"/>
        <w:bottom w:val="none" w:sz="0" w:space="0" w:color="auto"/>
        <w:right w:val="none" w:sz="0" w:space="0" w:color="auto"/>
      </w:divBdr>
      <w:divsChild>
        <w:div w:id="1764689219">
          <w:marLeft w:val="0"/>
          <w:marRight w:val="0"/>
          <w:marTop w:val="0"/>
          <w:marBottom w:val="0"/>
          <w:divBdr>
            <w:top w:val="none" w:sz="0" w:space="0" w:color="auto"/>
            <w:left w:val="none" w:sz="0" w:space="0" w:color="auto"/>
            <w:bottom w:val="none" w:sz="0" w:space="0" w:color="auto"/>
            <w:right w:val="none" w:sz="0" w:space="0" w:color="auto"/>
          </w:divBdr>
        </w:div>
      </w:divsChild>
    </w:div>
    <w:div w:id="1764689336">
      <w:marLeft w:val="0"/>
      <w:marRight w:val="0"/>
      <w:marTop w:val="0"/>
      <w:marBottom w:val="0"/>
      <w:divBdr>
        <w:top w:val="none" w:sz="0" w:space="0" w:color="auto"/>
        <w:left w:val="none" w:sz="0" w:space="0" w:color="auto"/>
        <w:bottom w:val="none" w:sz="0" w:space="0" w:color="auto"/>
        <w:right w:val="none" w:sz="0" w:space="0" w:color="auto"/>
      </w:divBdr>
      <w:divsChild>
        <w:div w:id="1764690081">
          <w:marLeft w:val="0"/>
          <w:marRight w:val="0"/>
          <w:marTop w:val="0"/>
          <w:marBottom w:val="0"/>
          <w:divBdr>
            <w:top w:val="none" w:sz="0" w:space="0" w:color="auto"/>
            <w:left w:val="none" w:sz="0" w:space="0" w:color="auto"/>
            <w:bottom w:val="none" w:sz="0" w:space="0" w:color="auto"/>
            <w:right w:val="none" w:sz="0" w:space="0" w:color="auto"/>
          </w:divBdr>
          <w:divsChild>
            <w:div w:id="1764689855">
              <w:marLeft w:val="0"/>
              <w:marRight w:val="0"/>
              <w:marTop w:val="0"/>
              <w:marBottom w:val="0"/>
              <w:divBdr>
                <w:top w:val="none" w:sz="0" w:space="0" w:color="auto"/>
                <w:left w:val="none" w:sz="0" w:space="0" w:color="auto"/>
                <w:bottom w:val="none" w:sz="0" w:space="0" w:color="auto"/>
                <w:right w:val="none" w:sz="0" w:space="0" w:color="auto"/>
              </w:divBdr>
            </w:div>
            <w:div w:id="1764690017">
              <w:marLeft w:val="0"/>
              <w:marRight w:val="0"/>
              <w:marTop w:val="0"/>
              <w:marBottom w:val="0"/>
              <w:divBdr>
                <w:top w:val="none" w:sz="0" w:space="0" w:color="auto"/>
                <w:left w:val="none" w:sz="0" w:space="0" w:color="auto"/>
                <w:bottom w:val="none" w:sz="0" w:space="0" w:color="auto"/>
                <w:right w:val="none" w:sz="0" w:space="0" w:color="auto"/>
              </w:divBdr>
            </w:div>
            <w:div w:id="1764690256">
              <w:marLeft w:val="0"/>
              <w:marRight w:val="0"/>
              <w:marTop w:val="0"/>
              <w:marBottom w:val="0"/>
              <w:divBdr>
                <w:top w:val="none" w:sz="0" w:space="0" w:color="auto"/>
                <w:left w:val="none" w:sz="0" w:space="0" w:color="auto"/>
                <w:bottom w:val="none" w:sz="0" w:space="0" w:color="auto"/>
                <w:right w:val="none" w:sz="0" w:space="0" w:color="auto"/>
              </w:divBdr>
            </w:div>
            <w:div w:id="1764690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337">
      <w:marLeft w:val="0"/>
      <w:marRight w:val="0"/>
      <w:marTop w:val="0"/>
      <w:marBottom w:val="0"/>
      <w:divBdr>
        <w:top w:val="none" w:sz="0" w:space="0" w:color="auto"/>
        <w:left w:val="none" w:sz="0" w:space="0" w:color="auto"/>
        <w:bottom w:val="none" w:sz="0" w:space="0" w:color="auto"/>
        <w:right w:val="none" w:sz="0" w:space="0" w:color="auto"/>
      </w:divBdr>
      <w:divsChild>
        <w:div w:id="1764690512">
          <w:marLeft w:val="0"/>
          <w:marRight w:val="0"/>
          <w:marTop w:val="0"/>
          <w:marBottom w:val="0"/>
          <w:divBdr>
            <w:top w:val="none" w:sz="0" w:space="0" w:color="auto"/>
            <w:left w:val="none" w:sz="0" w:space="0" w:color="auto"/>
            <w:bottom w:val="none" w:sz="0" w:space="0" w:color="auto"/>
            <w:right w:val="none" w:sz="0" w:space="0" w:color="auto"/>
          </w:divBdr>
          <w:divsChild>
            <w:div w:id="1764689300">
              <w:marLeft w:val="0"/>
              <w:marRight w:val="0"/>
              <w:marTop w:val="0"/>
              <w:marBottom w:val="0"/>
              <w:divBdr>
                <w:top w:val="none" w:sz="0" w:space="0" w:color="auto"/>
                <w:left w:val="none" w:sz="0" w:space="0" w:color="auto"/>
                <w:bottom w:val="none" w:sz="0" w:space="0" w:color="auto"/>
                <w:right w:val="none" w:sz="0" w:space="0" w:color="auto"/>
              </w:divBdr>
            </w:div>
            <w:div w:id="1764689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338">
      <w:marLeft w:val="0"/>
      <w:marRight w:val="0"/>
      <w:marTop w:val="0"/>
      <w:marBottom w:val="0"/>
      <w:divBdr>
        <w:top w:val="none" w:sz="0" w:space="0" w:color="auto"/>
        <w:left w:val="none" w:sz="0" w:space="0" w:color="auto"/>
        <w:bottom w:val="none" w:sz="0" w:space="0" w:color="auto"/>
        <w:right w:val="none" w:sz="0" w:space="0" w:color="auto"/>
      </w:divBdr>
      <w:divsChild>
        <w:div w:id="1764689913">
          <w:marLeft w:val="0"/>
          <w:marRight w:val="0"/>
          <w:marTop w:val="0"/>
          <w:marBottom w:val="0"/>
          <w:divBdr>
            <w:top w:val="none" w:sz="0" w:space="0" w:color="auto"/>
            <w:left w:val="none" w:sz="0" w:space="0" w:color="auto"/>
            <w:bottom w:val="none" w:sz="0" w:space="0" w:color="auto"/>
            <w:right w:val="none" w:sz="0" w:space="0" w:color="auto"/>
          </w:divBdr>
          <w:divsChild>
            <w:div w:id="1764689060">
              <w:marLeft w:val="0"/>
              <w:marRight w:val="0"/>
              <w:marTop w:val="0"/>
              <w:marBottom w:val="0"/>
              <w:divBdr>
                <w:top w:val="none" w:sz="0" w:space="0" w:color="auto"/>
                <w:left w:val="none" w:sz="0" w:space="0" w:color="auto"/>
                <w:bottom w:val="none" w:sz="0" w:space="0" w:color="auto"/>
                <w:right w:val="none" w:sz="0" w:space="0" w:color="auto"/>
              </w:divBdr>
            </w:div>
            <w:div w:id="1764689120">
              <w:marLeft w:val="0"/>
              <w:marRight w:val="0"/>
              <w:marTop w:val="0"/>
              <w:marBottom w:val="0"/>
              <w:divBdr>
                <w:top w:val="none" w:sz="0" w:space="0" w:color="auto"/>
                <w:left w:val="none" w:sz="0" w:space="0" w:color="auto"/>
                <w:bottom w:val="none" w:sz="0" w:space="0" w:color="auto"/>
                <w:right w:val="none" w:sz="0" w:space="0" w:color="auto"/>
              </w:divBdr>
            </w:div>
            <w:div w:id="1764689425">
              <w:marLeft w:val="0"/>
              <w:marRight w:val="0"/>
              <w:marTop w:val="0"/>
              <w:marBottom w:val="0"/>
              <w:divBdr>
                <w:top w:val="none" w:sz="0" w:space="0" w:color="auto"/>
                <w:left w:val="none" w:sz="0" w:space="0" w:color="auto"/>
                <w:bottom w:val="none" w:sz="0" w:space="0" w:color="auto"/>
                <w:right w:val="none" w:sz="0" w:space="0" w:color="auto"/>
              </w:divBdr>
            </w:div>
            <w:div w:id="1764689585">
              <w:marLeft w:val="0"/>
              <w:marRight w:val="0"/>
              <w:marTop w:val="0"/>
              <w:marBottom w:val="0"/>
              <w:divBdr>
                <w:top w:val="none" w:sz="0" w:space="0" w:color="auto"/>
                <w:left w:val="none" w:sz="0" w:space="0" w:color="auto"/>
                <w:bottom w:val="none" w:sz="0" w:space="0" w:color="auto"/>
                <w:right w:val="none" w:sz="0" w:space="0" w:color="auto"/>
              </w:divBdr>
            </w:div>
            <w:div w:id="1764690007">
              <w:marLeft w:val="0"/>
              <w:marRight w:val="0"/>
              <w:marTop w:val="0"/>
              <w:marBottom w:val="0"/>
              <w:divBdr>
                <w:top w:val="none" w:sz="0" w:space="0" w:color="auto"/>
                <w:left w:val="none" w:sz="0" w:space="0" w:color="auto"/>
                <w:bottom w:val="none" w:sz="0" w:space="0" w:color="auto"/>
                <w:right w:val="none" w:sz="0" w:space="0" w:color="auto"/>
              </w:divBdr>
            </w:div>
            <w:div w:id="1764690147">
              <w:marLeft w:val="0"/>
              <w:marRight w:val="0"/>
              <w:marTop w:val="0"/>
              <w:marBottom w:val="0"/>
              <w:divBdr>
                <w:top w:val="none" w:sz="0" w:space="0" w:color="auto"/>
                <w:left w:val="none" w:sz="0" w:space="0" w:color="auto"/>
                <w:bottom w:val="none" w:sz="0" w:space="0" w:color="auto"/>
                <w:right w:val="none" w:sz="0" w:space="0" w:color="auto"/>
              </w:divBdr>
            </w:div>
            <w:div w:id="1764690173">
              <w:marLeft w:val="0"/>
              <w:marRight w:val="0"/>
              <w:marTop w:val="0"/>
              <w:marBottom w:val="0"/>
              <w:divBdr>
                <w:top w:val="none" w:sz="0" w:space="0" w:color="auto"/>
                <w:left w:val="none" w:sz="0" w:space="0" w:color="auto"/>
                <w:bottom w:val="none" w:sz="0" w:space="0" w:color="auto"/>
                <w:right w:val="none" w:sz="0" w:space="0" w:color="auto"/>
              </w:divBdr>
            </w:div>
            <w:div w:id="1764690206">
              <w:marLeft w:val="0"/>
              <w:marRight w:val="0"/>
              <w:marTop w:val="0"/>
              <w:marBottom w:val="0"/>
              <w:divBdr>
                <w:top w:val="none" w:sz="0" w:space="0" w:color="auto"/>
                <w:left w:val="none" w:sz="0" w:space="0" w:color="auto"/>
                <w:bottom w:val="none" w:sz="0" w:space="0" w:color="auto"/>
                <w:right w:val="none" w:sz="0" w:space="0" w:color="auto"/>
              </w:divBdr>
            </w:div>
            <w:div w:id="1764690273">
              <w:marLeft w:val="0"/>
              <w:marRight w:val="0"/>
              <w:marTop w:val="0"/>
              <w:marBottom w:val="0"/>
              <w:divBdr>
                <w:top w:val="none" w:sz="0" w:space="0" w:color="auto"/>
                <w:left w:val="none" w:sz="0" w:space="0" w:color="auto"/>
                <w:bottom w:val="none" w:sz="0" w:space="0" w:color="auto"/>
                <w:right w:val="none" w:sz="0" w:space="0" w:color="auto"/>
              </w:divBdr>
            </w:div>
            <w:div w:id="176469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339">
      <w:marLeft w:val="0"/>
      <w:marRight w:val="0"/>
      <w:marTop w:val="0"/>
      <w:marBottom w:val="0"/>
      <w:divBdr>
        <w:top w:val="none" w:sz="0" w:space="0" w:color="auto"/>
        <w:left w:val="none" w:sz="0" w:space="0" w:color="auto"/>
        <w:bottom w:val="none" w:sz="0" w:space="0" w:color="auto"/>
        <w:right w:val="none" w:sz="0" w:space="0" w:color="auto"/>
      </w:divBdr>
    </w:div>
    <w:div w:id="1764689341">
      <w:marLeft w:val="0"/>
      <w:marRight w:val="0"/>
      <w:marTop w:val="0"/>
      <w:marBottom w:val="0"/>
      <w:divBdr>
        <w:top w:val="none" w:sz="0" w:space="0" w:color="auto"/>
        <w:left w:val="none" w:sz="0" w:space="0" w:color="auto"/>
        <w:bottom w:val="none" w:sz="0" w:space="0" w:color="auto"/>
        <w:right w:val="none" w:sz="0" w:space="0" w:color="auto"/>
      </w:divBdr>
    </w:div>
    <w:div w:id="1764689346">
      <w:marLeft w:val="0"/>
      <w:marRight w:val="0"/>
      <w:marTop w:val="0"/>
      <w:marBottom w:val="0"/>
      <w:divBdr>
        <w:top w:val="none" w:sz="0" w:space="0" w:color="auto"/>
        <w:left w:val="none" w:sz="0" w:space="0" w:color="auto"/>
        <w:bottom w:val="none" w:sz="0" w:space="0" w:color="auto"/>
        <w:right w:val="none" w:sz="0" w:space="0" w:color="auto"/>
      </w:divBdr>
    </w:div>
    <w:div w:id="1764689347">
      <w:marLeft w:val="0"/>
      <w:marRight w:val="0"/>
      <w:marTop w:val="0"/>
      <w:marBottom w:val="0"/>
      <w:divBdr>
        <w:top w:val="none" w:sz="0" w:space="0" w:color="auto"/>
        <w:left w:val="none" w:sz="0" w:space="0" w:color="auto"/>
        <w:bottom w:val="none" w:sz="0" w:space="0" w:color="auto"/>
        <w:right w:val="none" w:sz="0" w:space="0" w:color="auto"/>
      </w:divBdr>
    </w:div>
    <w:div w:id="1764689350">
      <w:marLeft w:val="0"/>
      <w:marRight w:val="0"/>
      <w:marTop w:val="0"/>
      <w:marBottom w:val="0"/>
      <w:divBdr>
        <w:top w:val="none" w:sz="0" w:space="0" w:color="auto"/>
        <w:left w:val="none" w:sz="0" w:space="0" w:color="auto"/>
        <w:bottom w:val="none" w:sz="0" w:space="0" w:color="auto"/>
        <w:right w:val="none" w:sz="0" w:space="0" w:color="auto"/>
      </w:divBdr>
      <w:divsChild>
        <w:div w:id="1764690493">
          <w:marLeft w:val="0"/>
          <w:marRight w:val="0"/>
          <w:marTop w:val="0"/>
          <w:marBottom w:val="0"/>
          <w:divBdr>
            <w:top w:val="none" w:sz="0" w:space="0" w:color="auto"/>
            <w:left w:val="none" w:sz="0" w:space="0" w:color="auto"/>
            <w:bottom w:val="none" w:sz="0" w:space="0" w:color="auto"/>
            <w:right w:val="none" w:sz="0" w:space="0" w:color="auto"/>
          </w:divBdr>
        </w:div>
      </w:divsChild>
    </w:div>
    <w:div w:id="1764689352">
      <w:marLeft w:val="0"/>
      <w:marRight w:val="0"/>
      <w:marTop w:val="0"/>
      <w:marBottom w:val="0"/>
      <w:divBdr>
        <w:top w:val="none" w:sz="0" w:space="0" w:color="auto"/>
        <w:left w:val="none" w:sz="0" w:space="0" w:color="auto"/>
        <w:bottom w:val="none" w:sz="0" w:space="0" w:color="auto"/>
        <w:right w:val="none" w:sz="0" w:space="0" w:color="auto"/>
      </w:divBdr>
      <w:divsChild>
        <w:div w:id="1764690326">
          <w:marLeft w:val="0"/>
          <w:marRight w:val="0"/>
          <w:marTop w:val="0"/>
          <w:marBottom w:val="0"/>
          <w:divBdr>
            <w:top w:val="none" w:sz="0" w:space="0" w:color="auto"/>
            <w:left w:val="none" w:sz="0" w:space="0" w:color="auto"/>
            <w:bottom w:val="none" w:sz="0" w:space="0" w:color="auto"/>
            <w:right w:val="none" w:sz="0" w:space="0" w:color="auto"/>
          </w:divBdr>
        </w:div>
      </w:divsChild>
    </w:div>
    <w:div w:id="1764689355">
      <w:marLeft w:val="0"/>
      <w:marRight w:val="0"/>
      <w:marTop w:val="0"/>
      <w:marBottom w:val="0"/>
      <w:divBdr>
        <w:top w:val="none" w:sz="0" w:space="0" w:color="auto"/>
        <w:left w:val="none" w:sz="0" w:space="0" w:color="auto"/>
        <w:bottom w:val="none" w:sz="0" w:space="0" w:color="auto"/>
        <w:right w:val="none" w:sz="0" w:space="0" w:color="auto"/>
      </w:divBdr>
    </w:div>
    <w:div w:id="1764689357">
      <w:marLeft w:val="0"/>
      <w:marRight w:val="0"/>
      <w:marTop w:val="0"/>
      <w:marBottom w:val="0"/>
      <w:divBdr>
        <w:top w:val="none" w:sz="0" w:space="0" w:color="auto"/>
        <w:left w:val="none" w:sz="0" w:space="0" w:color="auto"/>
        <w:bottom w:val="none" w:sz="0" w:space="0" w:color="auto"/>
        <w:right w:val="none" w:sz="0" w:space="0" w:color="auto"/>
      </w:divBdr>
      <w:divsChild>
        <w:div w:id="1764690394">
          <w:marLeft w:val="0"/>
          <w:marRight w:val="0"/>
          <w:marTop w:val="0"/>
          <w:marBottom w:val="0"/>
          <w:divBdr>
            <w:top w:val="none" w:sz="0" w:space="0" w:color="auto"/>
            <w:left w:val="none" w:sz="0" w:space="0" w:color="auto"/>
            <w:bottom w:val="none" w:sz="0" w:space="0" w:color="auto"/>
            <w:right w:val="none" w:sz="0" w:space="0" w:color="auto"/>
          </w:divBdr>
        </w:div>
      </w:divsChild>
    </w:div>
    <w:div w:id="1764689359">
      <w:marLeft w:val="0"/>
      <w:marRight w:val="0"/>
      <w:marTop w:val="0"/>
      <w:marBottom w:val="0"/>
      <w:divBdr>
        <w:top w:val="none" w:sz="0" w:space="0" w:color="auto"/>
        <w:left w:val="none" w:sz="0" w:space="0" w:color="auto"/>
        <w:bottom w:val="none" w:sz="0" w:space="0" w:color="auto"/>
        <w:right w:val="none" w:sz="0" w:space="0" w:color="auto"/>
      </w:divBdr>
    </w:div>
    <w:div w:id="1764689361">
      <w:marLeft w:val="0"/>
      <w:marRight w:val="0"/>
      <w:marTop w:val="0"/>
      <w:marBottom w:val="0"/>
      <w:divBdr>
        <w:top w:val="none" w:sz="0" w:space="0" w:color="auto"/>
        <w:left w:val="none" w:sz="0" w:space="0" w:color="auto"/>
        <w:bottom w:val="none" w:sz="0" w:space="0" w:color="auto"/>
        <w:right w:val="none" w:sz="0" w:space="0" w:color="auto"/>
      </w:divBdr>
      <w:divsChild>
        <w:div w:id="1764689399">
          <w:marLeft w:val="0"/>
          <w:marRight w:val="0"/>
          <w:marTop w:val="0"/>
          <w:marBottom w:val="0"/>
          <w:divBdr>
            <w:top w:val="none" w:sz="0" w:space="0" w:color="auto"/>
            <w:left w:val="none" w:sz="0" w:space="0" w:color="auto"/>
            <w:bottom w:val="none" w:sz="0" w:space="0" w:color="auto"/>
            <w:right w:val="none" w:sz="0" w:space="0" w:color="auto"/>
          </w:divBdr>
        </w:div>
      </w:divsChild>
    </w:div>
    <w:div w:id="1764689362">
      <w:marLeft w:val="0"/>
      <w:marRight w:val="0"/>
      <w:marTop w:val="0"/>
      <w:marBottom w:val="0"/>
      <w:divBdr>
        <w:top w:val="none" w:sz="0" w:space="0" w:color="auto"/>
        <w:left w:val="none" w:sz="0" w:space="0" w:color="auto"/>
        <w:bottom w:val="none" w:sz="0" w:space="0" w:color="auto"/>
        <w:right w:val="none" w:sz="0" w:space="0" w:color="auto"/>
      </w:divBdr>
    </w:div>
    <w:div w:id="1764689367">
      <w:marLeft w:val="0"/>
      <w:marRight w:val="0"/>
      <w:marTop w:val="0"/>
      <w:marBottom w:val="0"/>
      <w:divBdr>
        <w:top w:val="none" w:sz="0" w:space="0" w:color="auto"/>
        <w:left w:val="none" w:sz="0" w:space="0" w:color="auto"/>
        <w:bottom w:val="none" w:sz="0" w:space="0" w:color="auto"/>
        <w:right w:val="none" w:sz="0" w:space="0" w:color="auto"/>
      </w:divBdr>
    </w:div>
    <w:div w:id="1764689368">
      <w:marLeft w:val="0"/>
      <w:marRight w:val="0"/>
      <w:marTop w:val="0"/>
      <w:marBottom w:val="0"/>
      <w:divBdr>
        <w:top w:val="none" w:sz="0" w:space="0" w:color="auto"/>
        <w:left w:val="none" w:sz="0" w:space="0" w:color="auto"/>
        <w:bottom w:val="none" w:sz="0" w:space="0" w:color="auto"/>
        <w:right w:val="none" w:sz="0" w:space="0" w:color="auto"/>
      </w:divBdr>
      <w:divsChild>
        <w:div w:id="1764690197">
          <w:marLeft w:val="0"/>
          <w:marRight w:val="0"/>
          <w:marTop w:val="0"/>
          <w:marBottom w:val="0"/>
          <w:divBdr>
            <w:top w:val="none" w:sz="0" w:space="0" w:color="auto"/>
            <w:left w:val="none" w:sz="0" w:space="0" w:color="auto"/>
            <w:bottom w:val="none" w:sz="0" w:space="0" w:color="auto"/>
            <w:right w:val="none" w:sz="0" w:space="0" w:color="auto"/>
          </w:divBdr>
          <w:divsChild>
            <w:div w:id="1764690006">
              <w:marLeft w:val="0"/>
              <w:marRight w:val="0"/>
              <w:marTop w:val="0"/>
              <w:marBottom w:val="0"/>
              <w:divBdr>
                <w:top w:val="none" w:sz="0" w:space="0" w:color="auto"/>
                <w:left w:val="none" w:sz="0" w:space="0" w:color="auto"/>
                <w:bottom w:val="none" w:sz="0" w:space="0" w:color="auto"/>
                <w:right w:val="none" w:sz="0" w:space="0" w:color="auto"/>
              </w:divBdr>
            </w:div>
            <w:div w:id="1764690297">
              <w:marLeft w:val="0"/>
              <w:marRight w:val="0"/>
              <w:marTop w:val="0"/>
              <w:marBottom w:val="0"/>
              <w:divBdr>
                <w:top w:val="none" w:sz="0" w:space="0" w:color="auto"/>
                <w:left w:val="none" w:sz="0" w:space="0" w:color="auto"/>
                <w:bottom w:val="none" w:sz="0" w:space="0" w:color="auto"/>
                <w:right w:val="none" w:sz="0" w:space="0" w:color="auto"/>
              </w:divBdr>
            </w:div>
            <w:div w:id="1764690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369">
      <w:marLeft w:val="0"/>
      <w:marRight w:val="0"/>
      <w:marTop w:val="0"/>
      <w:marBottom w:val="0"/>
      <w:divBdr>
        <w:top w:val="none" w:sz="0" w:space="0" w:color="auto"/>
        <w:left w:val="none" w:sz="0" w:space="0" w:color="auto"/>
        <w:bottom w:val="none" w:sz="0" w:space="0" w:color="auto"/>
        <w:right w:val="none" w:sz="0" w:space="0" w:color="auto"/>
      </w:divBdr>
      <w:divsChild>
        <w:div w:id="1764690174">
          <w:marLeft w:val="0"/>
          <w:marRight w:val="0"/>
          <w:marTop w:val="0"/>
          <w:marBottom w:val="0"/>
          <w:divBdr>
            <w:top w:val="none" w:sz="0" w:space="0" w:color="auto"/>
            <w:left w:val="none" w:sz="0" w:space="0" w:color="auto"/>
            <w:bottom w:val="none" w:sz="0" w:space="0" w:color="auto"/>
            <w:right w:val="none" w:sz="0" w:space="0" w:color="auto"/>
          </w:divBdr>
        </w:div>
      </w:divsChild>
    </w:div>
    <w:div w:id="1764689370">
      <w:marLeft w:val="0"/>
      <w:marRight w:val="0"/>
      <w:marTop w:val="0"/>
      <w:marBottom w:val="0"/>
      <w:divBdr>
        <w:top w:val="none" w:sz="0" w:space="0" w:color="auto"/>
        <w:left w:val="none" w:sz="0" w:space="0" w:color="auto"/>
        <w:bottom w:val="none" w:sz="0" w:space="0" w:color="auto"/>
        <w:right w:val="none" w:sz="0" w:space="0" w:color="auto"/>
      </w:divBdr>
    </w:div>
    <w:div w:id="1764689373">
      <w:marLeft w:val="0"/>
      <w:marRight w:val="0"/>
      <w:marTop w:val="0"/>
      <w:marBottom w:val="0"/>
      <w:divBdr>
        <w:top w:val="none" w:sz="0" w:space="0" w:color="auto"/>
        <w:left w:val="none" w:sz="0" w:space="0" w:color="auto"/>
        <w:bottom w:val="none" w:sz="0" w:space="0" w:color="auto"/>
        <w:right w:val="none" w:sz="0" w:space="0" w:color="auto"/>
      </w:divBdr>
      <w:divsChild>
        <w:div w:id="1764689566">
          <w:marLeft w:val="0"/>
          <w:marRight w:val="0"/>
          <w:marTop w:val="0"/>
          <w:marBottom w:val="0"/>
          <w:divBdr>
            <w:top w:val="none" w:sz="0" w:space="0" w:color="auto"/>
            <w:left w:val="none" w:sz="0" w:space="0" w:color="auto"/>
            <w:bottom w:val="none" w:sz="0" w:space="0" w:color="auto"/>
            <w:right w:val="none" w:sz="0" w:space="0" w:color="auto"/>
          </w:divBdr>
          <w:divsChild>
            <w:div w:id="1764689480">
              <w:marLeft w:val="0"/>
              <w:marRight w:val="0"/>
              <w:marTop w:val="0"/>
              <w:marBottom w:val="0"/>
              <w:divBdr>
                <w:top w:val="none" w:sz="0" w:space="0" w:color="auto"/>
                <w:left w:val="none" w:sz="0" w:space="0" w:color="auto"/>
                <w:bottom w:val="none" w:sz="0" w:space="0" w:color="auto"/>
                <w:right w:val="none" w:sz="0" w:space="0" w:color="auto"/>
              </w:divBdr>
            </w:div>
            <w:div w:id="1764689519">
              <w:marLeft w:val="0"/>
              <w:marRight w:val="0"/>
              <w:marTop w:val="0"/>
              <w:marBottom w:val="0"/>
              <w:divBdr>
                <w:top w:val="none" w:sz="0" w:space="0" w:color="auto"/>
                <w:left w:val="none" w:sz="0" w:space="0" w:color="auto"/>
                <w:bottom w:val="none" w:sz="0" w:space="0" w:color="auto"/>
                <w:right w:val="none" w:sz="0" w:space="0" w:color="auto"/>
              </w:divBdr>
            </w:div>
            <w:div w:id="1764690338">
              <w:marLeft w:val="0"/>
              <w:marRight w:val="0"/>
              <w:marTop w:val="0"/>
              <w:marBottom w:val="0"/>
              <w:divBdr>
                <w:top w:val="none" w:sz="0" w:space="0" w:color="auto"/>
                <w:left w:val="none" w:sz="0" w:space="0" w:color="auto"/>
                <w:bottom w:val="none" w:sz="0" w:space="0" w:color="auto"/>
                <w:right w:val="none" w:sz="0" w:space="0" w:color="auto"/>
              </w:divBdr>
            </w:div>
            <w:div w:id="1764690344">
              <w:marLeft w:val="0"/>
              <w:marRight w:val="0"/>
              <w:marTop w:val="0"/>
              <w:marBottom w:val="0"/>
              <w:divBdr>
                <w:top w:val="none" w:sz="0" w:space="0" w:color="auto"/>
                <w:left w:val="none" w:sz="0" w:space="0" w:color="auto"/>
                <w:bottom w:val="none" w:sz="0" w:space="0" w:color="auto"/>
                <w:right w:val="none" w:sz="0" w:space="0" w:color="auto"/>
              </w:divBdr>
            </w:div>
            <w:div w:id="176469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384">
      <w:marLeft w:val="0"/>
      <w:marRight w:val="0"/>
      <w:marTop w:val="0"/>
      <w:marBottom w:val="0"/>
      <w:divBdr>
        <w:top w:val="none" w:sz="0" w:space="0" w:color="auto"/>
        <w:left w:val="none" w:sz="0" w:space="0" w:color="auto"/>
        <w:bottom w:val="none" w:sz="0" w:space="0" w:color="auto"/>
        <w:right w:val="none" w:sz="0" w:space="0" w:color="auto"/>
      </w:divBdr>
    </w:div>
    <w:div w:id="1764689388">
      <w:marLeft w:val="0"/>
      <w:marRight w:val="0"/>
      <w:marTop w:val="0"/>
      <w:marBottom w:val="0"/>
      <w:divBdr>
        <w:top w:val="none" w:sz="0" w:space="0" w:color="auto"/>
        <w:left w:val="none" w:sz="0" w:space="0" w:color="auto"/>
        <w:bottom w:val="none" w:sz="0" w:space="0" w:color="auto"/>
        <w:right w:val="none" w:sz="0" w:space="0" w:color="auto"/>
      </w:divBdr>
      <w:divsChild>
        <w:div w:id="1764690127">
          <w:marLeft w:val="0"/>
          <w:marRight w:val="0"/>
          <w:marTop w:val="0"/>
          <w:marBottom w:val="0"/>
          <w:divBdr>
            <w:top w:val="none" w:sz="0" w:space="0" w:color="auto"/>
            <w:left w:val="none" w:sz="0" w:space="0" w:color="auto"/>
            <w:bottom w:val="none" w:sz="0" w:space="0" w:color="auto"/>
            <w:right w:val="none" w:sz="0" w:space="0" w:color="auto"/>
          </w:divBdr>
        </w:div>
      </w:divsChild>
    </w:div>
    <w:div w:id="1764689389">
      <w:marLeft w:val="0"/>
      <w:marRight w:val="0"/>
      <w:marTop w:val="0"/>
      <w:marBottom w:val="0"/>
      <w:divBdr>
        <w:top w:val="none" w:sz="0" w:space="0" w:color="auto"/>
        <w:left w:val="none" w:sz="0" w:space="0" w:color="auto"/>
        <w:bottom w:val="none" w:sz="0" w:space="0" w:color="auto"/>
        <w:right w:val="none" w:sz="0" w:space="0" w:color="auto"/>
      </w:divBdr>
    </w:div>
    <w:div w:id="1764689390">
      <w:marLeft w:val="0"/>
      <w:marRight w:val="0"/>
      <w:marTop w:val="0"/>
      <w:marBottom w:val="0"/>
      <w:divBdr>
        <w:top w:val="none" w:sz="0" w:space="0" w:color="auto"/>
        <w:left w:val="none" w:sz="0" w:space="0" w:color="auto"/>
        <w:bottom w:val="none" w:sz="0" w:space="0" w:color="auto"/>
        <w:right w:val="none" w:sz="0" w:space="0" w:color="auto"/>
      </w:divBdr>
      <w:divsChild>
        <w:div w:id="1764689218">
          <w:marLeft w:val="0"/>
          <w:marRight w:val="0"/>
          <w:marTop w:val="0"/>
          <w:marBottom w:val="0"/>
          <w:divBdr>
            <w:top w:val="none" w:sz="0" w:space="0" w:color="auto"/>
            <w:left w:val="none" w:sz="0" w:space="0" w:color="auto"/>
            <w:bottom w:val="none" w:sz="0" w:space="0" w:color="auto"/>
            <w:right w:val="none" w:sz="0" w:space="0" w:color="auto"/>
          </w:divBdr>
          <w:divsChild>
            <w:div w:id="1764689064">
              <w:marLeft w:val="0"/>
              <w:marRight w:val="0"/>
              <w:marTop w:val="0"/>
              <w:marBottom w:val="0"/>
              <w:divBdr>
                <w:top w:val="none" w:sz="0" w:space="0" w:color="auto"/>
                <w:left w:val="none" w:sz="0" w:space="0" w:color="auto"/>
                <w:bottom w:val="none" w:sz="0" w:space="0" w:color="auto"/>
                <w:right w:val="none" w:sz="0" w:space="0" w:color="auto"/>
              </w:divBdr>
            </w:div>
            <w:div w:id="1764689096">
              <w:marLeft w:val="0"/>
              <w:marRight w:val="0"/>
              <w:marTop w:val="0"/>
              <w:marBottom w:val="0"/>
              <w:divBdr>
                <w:top w:val="none" w:sz="0" w:space="0" w:color="auto"/>
                <w:left w:val="none" w:sz="0" w:space="0" w:color="auto"/>
                <w:bottom w:val="none" w:sz="0" w:space="0" w:color="auto"/>
                <w:right w:val="none" w:sz="0" w:space="0" w:color="auto"/>
              </w:divBdr>
            </w:div>
            <w:div w:id="1764689696">
              <w:marLeft w:val="0"/>
              <w:marRight w:val="0"/>
              <w:marTop w:val="0"/>
              <w:marBottom w:val="0"/>
              <w:divBdr>
                <w:top w:val="none" w:sz="0" w:space="0" w:color="auto"/>
                <w:left w:val="none" w:sz="0" w:space="0" w:color="auto"/>
                <w:bottom w:val="none" w:sz="0" w:space="0" w:color="auto"/>
                <w:right w:val="none" w:sz="0" w:space="0" w:color="auto"/>
              </w:divBdr>
            </w:div>
            <w:div w:id="1764689720">
              <w:marLeft w:val="0"/>
              <w:marRight w:val="0"/>
              <w:marTop w:val="0"/>
              <w:marBottom w:val="0"/>
              <w:divBdr>
                <w:top w:val="none" w:sz="0" w:space="0" w:color="auto"/>
                <w:left w:val="none" w:sz="0" w:space="0" w:color="auto"/>
                <w:bottom w:val="none" w:sz="0" w:space="0" w:color="auto"/>
                <w:right w:val="none" w:sz="0" w:space="0" w:color="auto"/>
              </w:divBdr>
            </w:div>
            <w:div w:id="1764690241">
              <w:marLeft w:val="0"/>
              <w:marRight w:val="0"/>
              <w:marTop w:val="0"/>
              <w:marBottom w:val="0"/>
              <w:divBdr>
                <w:top w:val="none" w:sz="0" w:space="0" w:color="auto"/>
                <w:left w:val="none" w:sz="0" w:space="0" w:color="auto"/>
                <w:bottom w:val="none" w:sz="0" w:space="0" w:color="auto"/>
                <w:right w:val="none" w:sz="0" w:space="0" w:color="auto"/>
              </w:divBdr>
            </w:div>
            <w:div w:id="1764690398">
              <w:marLeft w:val="0"/>
              <w:marRight w:val="0"/>
              <w:marTop w:val="0"/>
              <w:marBottom w:val="0"/>
              <w:divBdr>
                <w:top w:val="none" w:sz="0" w:space="0" w:color="auto"/>
                <w:left w:val="none" w:sz="0" w:space="0" w:color="auto"/>
                <w:bottom w:val="none" w:sz="0" w:space="0" w:color="auto"/>
                <w:right w:val="none" w:sz="0" w:space="0" w:color="auto"/>
              </w:divBdr>
            </w:div>
            <w:div w:id="1764690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392">
      <w:marLeft w:val="0"/>
      <w:marRight w:val="0"/>
      <w:marTop w:val="0"/>
      <w:marBottom w:val="0"/>
      <w:divBdr>
        <w:top w:val="none" w:sz="0" w:space="0" w:color="auto"/>
        <w:left w:val="none" w:sz="0" w:space="0" w:color="auto"/>
        <w:bottom w:val="none" w:sz="0" w:space="0" w:color="auto"/>
        <w:right w:val="none" w:sz="0" w:space="0" w:color="auto"/>
      </w:divBdr>
      <w:divsChild>
        <w:div w:id="1764689629">
          <w:marLeft w:val="0"/>
          <w:marRight w:val="0"/>
          <w:marTop w:val="0"/>
          <w:marBottom w:val="0"/>
          <w:divBdr>
            <w:top w:val="none" w:sz="0" w:space="0" w:color="auto"/>
            <w:left w:val="none" w:sz="0" w:space="0" w:color="auto"/>
            <w:bottom w:val="none" w:sz="0" w:space="0" w:color="auto"/>
            <w:right w:val="none" w:sz="0" w:space="0" w:color="auto"/>
          </w:divBdr>
          <w:divsChild>
            <w:div w:id="1764689122">
              <w:marLeft w:val="0"/>
              <w:marRight w:val="0"/>
              <w:marTop w:val="0"/>
              <w:marBottom w:val="0"/>
              <w:divBdr>
                <w:top w:val="none" w:sz="0" w:space="0" w:color="auto"/>
                <w:left w:val="none" w:sz="0" w:space="0" w:color="auto"/>
                <w:bottom w:val="none" w:sz="0" w:space="0" w:color="auto"/>
                <w:right w:val="none" w:sz="0" w:space="0" w:color="auto"/>
              </w:divBdr>
            </w:div>
            <w:div w:id="1764689235">
              <w:marLeft w:val="0"/>
              <w:marRight w:val="0"/>
              <w:marTop w:val="0"/>
              <w:marBottom w:val="0"/>
              <w:divBdr>
                <w:top w:val="none" w:sz="0" w:space="0" w:color="auto"/>
                <w:left w:val="none" w:sz="0" w:space="0" w:color="auto"/>
                <w:bottom w:val="none" w:sz="0" w:space="0" w:color="auto"/>
                <w:right w:val="none" w:sz="0" w:space="0" w:color="auto"/>
              </w:divBdr>
            </w:div>
            <w:div w:id="1764689398">
              <w:marLeft w:val="0"/>
              <w:marRight w:val="0"/>
              <w:marTop w:val="0"/>
              <w:marBottom w:val="0"/>
              <w:divBdr>
                <w:top w:val="none" w:sz="0" w:space="0" w:color="auto"/>
                <w:left w:val="none" w:sz="0" w:space="0" w:color="auto"/>
                <w:bottom w:val="none" w:sz="0" w:space="0" w:color="auto"/>
                <w:right w:val="none" w:sz="0" w:space="0" w:color="auto"/>
              </w:divBdr>
            </w:div>
            <w:div w:id="1764689723">
              <w:marLeft w:val="0"/>
              <w:marRight w:val="0"/>
              <w:marTop w:val="0"/>
              <w:marBottom w:val="0"/>
              <w:divBdr>
                <w:top w:val="none" w:sz="0" w:space="0" w:color="auto"/>
                <w:left w:val="none" w:sz="0" w:space="0" w:color="auto"/>
                <w:bottom w:val="none" w:sz="0" w:space="0" w:color="auto"/>
                <w:right w:val="none" w:sz="0" w:space="0" w:color="auto"/>
              </w:divBdr>
            </w:div>
            <w:div w:id="1764689981">
              <w:marLeft w:val="0"/>
              <w:marRight w:val="0"/>
              <w:marTop w:val="0"/>
              <w:marBottom w:val="0"/>
              <w:divBdr>
                <w:top w:val="none" w:sz="0" w:space="0" w:color="auto"/>
                <w:left w:val="none" w:sz="0" w:space="0" w:color="auto"/>
                <w:bottom w:val="none" w:sz="0" w:space="0" w:color="auto"/>
                <w:right w:val="none" w:sz="0" w:space="0" w:color="auto"/>
              </w:divBdr>
            </w:div>
            <w:div w:id="1764690073">
              <w:marLeft w:val="0"/>
              <w:marRight w:val="0"/>
              <w:marTop w:val="0"/>
              <w:marBottom w:val="0"/>
              <w:divBdr>
                <w:top w:val="none" w:sz="0" w:space="0" w:color="auto"/>
                <w:left w:val="none" w:sz="0" w:space="0" w:color="auto"/>
                <w:bottom w:val="none" w:sz="0" w:space="0" w:color="auto"/>
                <w:right w:val="none" w:sz="0" w:space="0" w:color="auto"/>
              </w:divBdr>
            </w:div>
            <w:div w:id="1764690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393">
      <w:marLeft w:val="0"/>
      <w:marRight w:val="0"/>
      <w:marTop w:val="0"/>
      <w:marBottom w:val="0"/>
      <w:divBdr>
        <w:top w:val="none" w:sz="0" w:space="0" w:color="auto"/>
        <w:left w:val="none" w:sz="0" w:space="0" w:color="auto"/>
        <w:bottom w:val="none" w:sz="0" w:space="0" w:color="auto"/>
        <w:right w:val="none" w:sz="0" w:space="0" w:color="auto"/>
      </w:divBdr>
      <w:divsChild>
        <w:div w:id="1764689622">
          <w:marLeft w:val="0"/>
          <w:marRight w:val="0"/>
          <w:marTop w:val="0"/>
          <w:marBottom w:val="0"/>
          <w:divBdr>
            <w:top w:val="none" w:sz="0" w:space="0" w:color="auto"/>
            <w:left w:val="none" w:sz="0" w:space="0" w:color="auto"/>
            <w:bottom w:val="none" w:sz="0" w:space="0" w:color="auto"/>
            <w:right w:val="none" w:sz="0" w:space="0" w:color="auto"/>
          </w:divBdr>
        </w:div>
      </w:divsChild>
    </w:div>
    <w:div w:id="1764689394">
      <w:marLeft w:val="0"/>
      <w:marRight w:val="0"/>
      <w:marTop w:val="0"/>
      <w:marBottom w:val="0"/>
      <w:divBdr>
        <w:top w:val="none" w:sz="0" w:space="0" w:color="auto"/>
        <w:left w:val="none" w:sz="0" w:space="0" w:color="auto"/>
        <w:bottom w:val="none" w:sz="0" w:space="0" w:color="auto"/>
        <w:right w:val="none" w:sz="0" w:space="0" w:color="auto"/>
      </w:divBdr>
      <w:divsChild>
        <w:div w:id="1764690121">
          <w:marLeft w:val="0"/>
          <w:marRight w:val="0"/>
          <w:marTop w:val="0"/>
          <w:marBottom w:val="0"/>
          <w:divBdr>
            <w:top w:val="none" w:sz="0" w:space="0" w:color="auto"/>
            <w:left w:val="none" w:sz="0" w:space="0" w:color="auto"/>
            <w:bottom w:val="none" w:sz="0" w:space="0" w:color="auto"/>
            <w:right w:val="none" w:sz="0" w:space="0" w:color="auto"/>
          </w:divBdr>
        </w:div>
      </w:divsChild>
    </w:div>
    <w:div w:id="1764689400">
      <w:marLeft w:val="0"/>
      <w:marRight w:val="0"/>
      <w:marTop w:val="0"/>
      <w:marBottom w:val="0"/>
      <w:divBdr>
        <w:top w:val="none" w:sz="0" w:space="0" w:color="auto"/>
        <w:left w:val="none" w:sz="0" w:space="0" w:color="auto"/>
        <w:bottom w:val="none" w:sz="0" w:space="0" w:color="auto"/>
        <w:right w:val="none" w:sz="0" w:space="0" w:color="auto"/>
      </w:divBdr>
      <w:divsChild>
        <w:div w:id="1764689165">
          <w:marLeft w:val="0"/>
          <w:marRight w:val="0"/>
          <w:marTop w:val="0"/>
          <w:marBottom w:val="0"/>
          <w:divBdr>
            <w:top w:val="none" w:sz="0" w:space="0" w:color="auto"/>
            <w:left w:val="none" w:sz="0" w:space="0" w:color="auto"/>
            <w:bottom w:val="none" w:sz="0" w:space="0" w:color="auto"/>
            <w:right w:val="none" w:sz="0" w:space="0" w:color="auto"/>
          </w:divBdr>
        </w:div>
      </w:divsChild>
    </w:div>
    <w:div w:id="1764689403">
      <w:marLeft w:val="0"/>
      <w:marRight w:val="0"/>
      <w:marTop w:val="0"/>
      <w:marBottom w:val="0"/>
      <w:divBdr>
        <w:top w:val="none" w:sz="0" w:space="0" w:color="auto"/>
        <w:left w:val="none" w:sz="0" w:space="0" w:color="auto"/>
        <w:bottom w:val="none" w:sz="0" w:space="0" w:color="auto"/>
        <w:right w:val="none" w:sz="0" w:space="0" w:color="auto"/>
      </w:divBdr>
    </w:div>
    <w:div w:id="1764689406">
      <w:marLeft w:val="0"/>
      <w:marRight w:val="0"/>
      <w:marTop w:val="0"/>
      <w:marBottom w:val="0"/>
      <w:divBdr>
        <w:top w:val="none" w:sz="0" w:space="0" w:color="auto"/>
        <w:left w:val="none" w:sz="0" w:space="0" w:color="auto"/>
        <w:bottom w:val="none" w:sz="0" w:space="0" w:color="auto"/>
        <w:right w:val="none" w:sz="0" w:space="0" w:color="auto"/>
      </w:divBdr>
      <w:divsChild>
        <w:div w:id="1764690370">
          <w:marLeft w:val="0"/>
          <w:marRight w:val="0"/>
          <w:marTop w:val="0"/>
          <w:marBottom w:val="0"/>
          <w:divBdr>
            <w:top w:val="none" w:sz="0" w:space="0" w:color="auto"/>
            <w:left w:val="none" w:sz="0" w:space="0" w:color="auto"/>
            <w:bottom w:val="none" w:sz="0" w:space="0" w:color="auto"/>
            <w:right w:val="none" w:sz="0" w:space="0" w:color="auto"/>
          </w:divBdr>
        </w:div>
      </w:divsChild>
    </w:div>
    <w:div w:id="1764689407">
      <w:marLeft w:val="0"/>
      <w:marRight w:val="0"/>
      <w:marTop w:val="0"/>
      <w:marBottom w:val="0"/>
      <w:divBdr>
        <w:top w:val="none" w:sz="0" w:space="0" w:color="auto"/>
        <w:left w:val="none" w:sz="0" w:space="0" w:color="auto"/>
        <w:bottom w:val="none" w:sz="0" w:space="0" w:color="auto"/>
        <w:right w:val="none" w:sz="0" w:space="0" w:color="auto"/>
      </w:divBdr>
    </w:div>
    <w:div w:id="1764689408">
      <w:marLeft w:val="0"/>
      <w:marRight w:val="0"/>
      <w:marTop w:val="0"/>
      <w:marBottom w:val="0"/>
      <w:divBdr>
        <w:top w:val="none" w:sz="0" w:space="0" w:color="auto"/>
        <w:left w:val="none" w:sz="0" w:space="0" w:color="auto"/>
        <w:bottom w:val="none" w:sz="0" w:space="0" w:color="auto"/>
        <w:right w:val="none" w:sz="0" w:space="0" w:color="auto"/>
      </w:divBdr>
      <w:divsChild>
        <w:div w:id="1764689334">
          <w:marLeft w:val="0"/>
          <w:marRight w:val="0"/>
          <w:marTop w:val="0"/>
          <w:marBottom w:val="0"/>
          <w:divBdr>
            <w:top w:val="none" w:sz="0" w:space="0" w:color="auto"/>
            <w:left w:val="none" w:sz="0" w:space="0" w:color="auto"/>
            <w:bottom w:val="none" w:sz="0" w:space="0" w:color="auto"/>
            <w:right w:val="none" w:sz="0" w:space="0" w:color="auto"/>
          </w:divBdr>
        </w:div>
      </w:divsChild>
    </w:div>
    <w:div w:id="1764689412">
      <w:marLeft w:val="0"/>
      <w:marRight w:val="0"/>
      <w:marTop w:val="0"/>
      <w:marBottom w:val="0"/>
      <w:divBdr>
        <w:top w:val="none" w:sz="0" w:space="0" w:color="auto"/>
        <w:left w:val="none" w:sz="0" w:space="0" w:color="auto"/>
        <w:bottom w:val="none" w:sz="0" w:space="0" w:color="auto"/>
        <w:right w:val="none" w:sz="0" w:space="0" w:color="auto"/>
      </w:divBdr>
      <w:divsChild>
        <w:div w:id="1764689088">
          <w:marLeft w:val="0"/>
          <w:marRight w:val="0"/>
          <w:marTop w:val="0"/>
          <w:marBottom w:val="0"/>
          <w:divBdr>
            <w:top w:val="none" w:sz="0" w:space="0" w:color="auto"/>
            <w:left w:val="none" w:sz="0" w:space="0" w:color="auto"/>
            <w:bottom w:val="none" w:sz="0" w:space="0" w:color="auto"/>
            <w:right w:val="none" w:sz="0" w:space="0" w:color="auto"/>
          </w:divBdr>
          <w:divsChild>
            <w:div w:id="1764689121">
              <w:marLeft w:val="0"/>
              <w:marRight w:val="0"/>
              <w:marTop w:val="0"/>
              <w:marBottom w:val="0"/>
              <w:divBdr>
                <w:top w:val="none" w:sz="0" w:space="0" w:color="auto"/>
                <w:left w:val="none" w:sz="0" w:space="0" w:color="auto"/>
                <w:bottom w:val="none" w:sz="0" w:space="0" w:color="auto"/>
                <w:right w:val="none" w:sz="0" w:space="0" w:color="auto"/>
              </w:divBdr>
            </w:div>
            <w:div w:id="1764690067">
              <w:marLeft w:val="0"/>
              <w:marRight w:val="0"/>
              <w:marTop w:val="0"/>
              <w:marBottom w:val="0"/>
              <w:divBdr>
                <w:top w:val="none" w:sz="0" w:space="0" w:color="auto"/>
                <w:left w:val="none" w:sz="0" w:space="0" w:color="auto"/>
                <w:bottom w:val="none" w:sz="0" w:space="0" w:color="auto"/>
                <w:right w:val="none" w:sz="0" w:space="0" w:color="auto"/>
              </w:divBdr>
            </w:div>
            <w:div w:id="1764690129">
              <w:marLeft w:val="0"/>
              <w:marRight w:val="0"/>
              <w:marTop w:val="0"/>
              <w:marBottom w:val="0"/>
              <w:divBdr>
                <w:top w:val="none" w:sz="0" w:space="0" w:color="auto"/>
                <w:left w:val="none" w:sz="0" w:space="0" w:color="auto"/>
                <w:bottom w:val="none" w:sz="0" w:space="0" w:color="auto"/>
                <w:right w:val="none" w:sz="0" w:space="0" w:color="auto"/>
              </w:divBdr>
            </w:div>
            <w:div w:id="1764690184">
              <w:marLeft w:val="0"/>
              <w:marRight w:val="0"/>
              <w:marTop w:val="0"/>
              <w:marBottom w:val="0"/>
              <w:divBdr>
                <w:top w:val="none" w:sz="0" w:space="0" w:color="auto"/>
                <w:left w:val="none" w:sz="0" w:space="0" w:color="auto"/>
                <w:bottom w:val="none" w:sz="0" w:space="0" w:color="auto"/>
                <w:right w:val="none" w:sz="0" w:space="0" w:color="auto"/>
              </w:divBdr>
            </w:div>
            <w:div w:id="1764690335">
              <w:marLeft w:val="0"/>
              <w:marRight w:val="0"/>
              <w:marTop w:val="0"/>
              <w:marBottom w:val="0"/>
              <w:divBdr>
                <w:top w:val="none" w:sz="0" w:space="0" w:color="auto"/>
                <w:left w:val="none" w:sz="0" w:space="0" w:color="auto"/>
                <w:bottom w:val="none" w:sz="0" w:space="0" w:color="auto"/>
                <w:right w:val="none" w:sz="0" w:space="0" w:color="auto"/>
              </w:divBdr>
            </w:div>
            <w:div w:id="1764690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414">
      <w:marLeft w:val="0"/>
      <w:marRight w:val="0"/>
      <w:marTop w:val="0"/>
      <w:marBottom w:val="0"/>
      <w:divBdr>
        <w:top w:val="none" w:sz="0" w:space="0" w:color="auto"/>
        <w:left w:val="none" w:sz="0" w:space="0" w:color="auto"/>
        <w:bottom w:val="none" w:sz="0" w:space="0" w:color="auto"/>
        <w:right w:val="none" w:sz="0" w:space="0" w:color="auto"/>
      </w:divBdr>
      <w:divsChild>
        <w:div w:id="1764689313">
          <w:marLeft w:val="965"/>
          <w:marRight w:val="0"/>
          <w:marTop w:val="96"/>
          <w:marBottom w:val="0"/>
          <w:divBdr>
            <w:top w:val="none" w:sz="0" w:space="0" w:color="auto"/>
            <w:left w:val="none" w:sz="0" w:space="0" w:color="auto"/>
            <w:bottom w:val="none" w:sz="0" w:space="0" w:color="auto"/>
            <w:right w:val="none" w:sz="0" w:space="0" w:color="auto"/>
          </w:divBdr>
        </w:div>
        <w:div w:id="1764690133">
          <w:marLeft w:val="965"/>
          <w:marRight w:val="0"/>
          <w:marTop w:val="96"/>
          <w:marBottom w:val="0"/>
          <w:divBdr>
            <w:top w:val="none" w:sz="0" w:space="0" w:color="auto"/>
            <w:left w:val="none" w:sz="0" w:space="0" w:color="auto"/>
            <w:bottom w:val="none" w:sz="0" w:space="0" w:color="auto"/>
            <w:right w:val="none" w:sz="0" w:space="0" w:color="auto"/>
          </w:divBdr>
        </w:div>
        <w:div w:id="1764690365">
          <w:marLeft w:val="965"/>
          <w:marRight w:val="0"/>
          <w:marTop w:val="96"/>
          <w:marBottom w:val="0"/>
          <w:divBdr>
            <w:top w:val="none" w:sz="0" w:space="0" w:color="auto"/>
            <w:left w:val="none" w:sz="0" w:space="0" w:color="auto"/>
            <w:bottom w:val="none" w:sz="0" w:space="0" w:color="auto"/>
            <w:right w:val="none" w:sz="0" w:space="0" w:color="auto"/>
          </w:divBdr>
        </w:div>
        <w:div w:id="1764690506">
          <w:marLeft w:val="965"/>
          <w:marRight w:val="0"/>
          <w:marTop w:val="96"/>
          <w:marBottom w:val="0"/>
          <w:divBdr>
            <w:top w:val="none" w:sz="0" w:space="0" w:color="auto"/>
            <w:left w:val="none" w:sz="0" w:space="0" w:color="auto"/>
            <w:bottom w:val="none" w:sz="0" w:space="0" w:color="auto"/>
            <w:right w:val="none" w:sz="0" w:space="0" w:color="auto"/>
          </w:divBdr>
        </w:div>
      </w:divsChild>
    </w:div>
    <w:div w:id="1764689416">
      <w:marLeft w:val="0"/>
      <w:marRight w:val="0"/>
      <w:marTop w:val="0"/>
      <w:marBottom w:val="0"/>
      <w:divBdr>
        <w:top w:val="none" w:sz="0" w:space="0" w:color="auto"/>
        <w:left w:val="none" w:sz="0" w:space="0" w:color="auto"/>
        <w:bottom w:val="none" w:sz="0" w:space="0" w:color="auto"/>
        <w:right w:val="none" w:sz="0" w:space="0" w:color="auto"/>
      </w:divBdr>
      <w:divsChild>
        <w:div w:id="1764689895">
          <w:marLeft w:val="0"/>
          <w:marRight w:val="0"/>
          <w:marTop w:val="0"/>
          <w:marBottom w:val="0"/>
          <w:divBdr>
            <w:top w:val="none" w:sz="0" w:space="0" w:color="auto"/>
            <w:left w:val="none" w:sz="0" w:space="0" w:color="auto"/>
            <w:bottom w:val="none" w:sz="0" w:space="0" w:color="auto"/>
            <w:right w:val="none" w:sz="0" w:space="0" w:color="auto"/>
          </w:divBdr>
          <w:divsChild>
            <w:div w:id="1764689266">
              <w:marLeft w:val="0"/>
              <w:marRight w:val="0"/>
              <w:marTop w:val="0"/>
              <w:marBottom w:val="0"/>
              <w:divBdr>
                <w:top w:val="none" w:sz="0" w:space="0" w:color="auto"/>
                <w:left w:val="none" w:sz="0" w:space="0" w:color="auto"/>
                <w:bottom w:val="none" w:sz="0" w:space="0" w:color="auto"/>
                <w:right w:val="none" w:sz="0" w:space="0" w:color="auto"/>
              </w:divBdr>
            </w:div>
            <w:div w:id="1764689565">
              <w:marLeft w:val="0"/>
              <w:marRight w:val="0"/>
              <w:marTop w:val="0"/>
              <w:marBottom w:val="0"/>
              <w:divBdr>
                <w:top w:val="none" w:sz="0" w:space="0" w:color="auto"/>
                <w:left w:val="none" w:sz="0" w:space="0" w:color="auto"/>
                <w:bottom w:val="none" w:sz="0" w:space="0" w:color="auto"/>
                <w:right w:val="none" w:sz="0" w:space="0" w:color="auto"/>
              </w:divBdr>
            </w:div>
            <w:div w:id="1764689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418">
      <w:marLeft w:val="0"/>
      <w:marRight w:val="0"/>
      <w:marTop w:val="0"/>
      <w:marBottom w:val="0"/>
      <w:divBdr>
        <w:top w:val="none" w:sz="0" w:space="0" w:color="auto"/>
        <w:left w:val="none" w:sz="0" w:space="0" w:color="auto"/>
        <w:bottom w:val="none" w:sz="0" w:space="0" w:color="auto"/>
        <w:right w:val="none" w:sz="0" w:space="0" w:color="auto"/>
      </w:divBdr>
      <w:divsChild>
        <w:div w:id="1764690432">
          <w:marLeft w:val="0"/>
          <w:marRight w:val="0"/>
          <w:marTop w:val="0"/>
          <w:marBottom w:val="0"/>
          <w:divBdr>
            <w:top w:val="none" w:sz="0" w:space="0" w:color="auto"/>
            <w:left w:val="none" w:sz="0" w:space="0" w:color="auto"/>
            <w:bottom w:val="none" w:sz="0" w:space="0" w:color="auto"/>
            <w:right w:val="none" w:sz="0" w:space="0" w:color="auto"/>
          </w:divBdr>
          <w:divsChild>
            <w:div w:id="1764689299">
              <w:marLeft w:val="0"/>
              <w:marRight w:val="0"/>
              <w:marTop w:val="0"/>
              <w:marBottom w:val="0"/>
              <w:divBdr>
                <w:top w:val="none" w:sz="0" w:space="0" w:color="auto"/>
                <w:left w:val="none" w:sz="0" w:space="0" w:color="auto"/>
                <w:bottom w:val="none" w:sz="0" w:space="0" w:color="auto"/>
                <w:right w:val="none" w:sz="0" w:space="0" w:color="auto"/>
              </w:divBdr>
            </w:div>
            <w:div w:id="1764689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426">
      <w:marLeft w:val="0"/>
      <w:marRight w:val="0"/>
      <w:marTop w:val="0"/>
      <w:marBottom w:val="0"/>
      <w:divBdr>
        <w:top w:val="none" w:sz="0" w:space="0" w:color="auto"/>
        <w:left w:val="none" w:sz="0" w:space="0" w:color="auto"/>
        <w:bottom w:val="none" w:sz="0" w:space="0" w:color="auto"/>
        <w:right w:val="none" w:sz="0" w:space="0" w:color="auto"/>
      </w:divBdr>
      <w:divsChild>
        <w:div w:id="1764689288">
          <w:marLeft w:val="0"/>
          <w:marRight w:val="0"/>
          <w:marTop w:val="0"/>
          <w:marBottom w:val="0"/>
          <w:divBdr>
            <w:top w:val="none" w:sz="0" w:space="0" w:color="auto"/>
            <w:left w:val="none" w:sz="0" w:space="0" w:color="auto"/>
            <w:bottom w:val="none" w:sz="0" w:space="0" w:color="auto"/>
            <w:right w:val="none" w:sz="0" w:space="0" w:color="auto"/>
          </w:divBdr>
        </w:div>
      </w:divsChild>
    </w:div>
    <w:div w:id="1764689429">
      <w:marLeft w:val="0"/>
      <w:marRight w:val="0"/>
      <w:marTop w:val="0"/>
      <w:marBottom w:val="0"/>
      <w:divBdr>
        <w:top w:val="none" w:sz="0" w:space="0" w:color="auto"/>
        <w:left w:val="none" w:sz="0" w:space="0" w:color="auto"/>
        <w:bottom w:val="none" w:sz="0" w:space="0" w:color="auto"/>
        <w:right w:val="none" w:sz="0" w:space="0" w:color="auto"/>
      </w:divBdr>
      <w:divsChild>
        <w:div w:id="1764690014">
          <w:marLeft w:val="0"/>
          <w:marRight w:val="0"/>
          <w:marTop w:val="0"/>
          <w:marBottom w:val="0"/>
          <w:divBdr>
            <w:top w:val="none" w:sz="0" w:space="0" w:color="auto"/>
            <w:left w:val="none" w:sz="0" w:space="0" w:color="auto"/>
            <w:bottom w:val="none" w:sz="0" w:space="0" w:color="auto"/>
            <w:right w:val="none" w:sz="0" w:space="0" w:color="auto"/>
          </w:divBdr>
        </w:div>
      </w:divsChild>
    </w:div>
    <w:div w:id="1764689430">
      <w:marLeft w:val="0"/>
      <w:marRight w:val="0"/>
      <w:marTop w:val="0"/>
      <w:marBottom w:val="0"/>
      <w:divBdr>
        <w:top w:val="none" w:sz="0" w:space="0" w:color="auto"/>
        <w:left w:val="none" w:sz="0" w:space="0" w:color="auto"/>
        <w:bottom w:val="none" w:sz="0" w:space="0" w:color="auto"/>
        <w:right w:val="none" w:sz="0" w:space="0" w:color="auto"/>
      </w:divBdr>
      <w:divsChild>
        <w:div w:id="1764689201">
          <w:marLeft w:val="0"/>
          <w:marRight w:val="0"/>
          <w:marTop w:val="0"/>
          <w:marBottom w:val="0"/>
          <w:divBdr>
            <w:top w:val="none" w:sz="0" w:space="0" w:color="auto"/>
            <w:left w:val="none" w:sz="0" w:space="0" w:color="auto"/>
            <w:bottom w:val="none" w:sz="0" w:space="0" w:color="auto"/>
            <w:right w:val="none" w:sz="0" w:space="0" w:color="auto"/>
          </w:divBdr>
        </w:div>
      </w:divsChild>
    </w:div>
    <w:div w:id="1764689431">
      <w:marLeft w:val="0"/>
      <w:marRight w:val="0"/>
      <w:marTop w:val="0"/>
      <w:marBottom w:val="0"/>
      <w:divBdr>
        <w:top w:val="none" w:sz="0" w:space="0" w:color="auto"/>
        <w:left w:val="none" w:sz="0" w:space="0" w:color="auto"/>
        <w:bottom w:val="none" w:sz="0" w:space="0" w:color="auto"/>
        <w:right w:val="none" w:sz="0" w:space="0" w:color="auto"/>
      </w:divBdr>
    </w:div>
    <w:div w:id="1764689432">
      <w:marLeft w:val="0"/>
      <w:marRight w:val="0"/>
      <w:marTop w:val="0"/>
      <w:marBottom w:val="0"/>
      <w:divBdr>
        <w:top w:val="none" w:sz="0" w:space="0" w:color="auto"/>
        <w:left w:val="none" w:sz="0" w:space="0" w:color="auto"/>
        <w:bottom w:val="none" w:sz="0" w:space="0" w:color="auto"/>
        <w:right w:val="none" w:sz="0" w:space="0" w:color="auto"/>
      </w:divBdr>
      <w:divsChild>
        <w:div w:id="1764689548">
          <w:marLeft w:val="0"/>
          <w:marRight w:val="0"/>
          <w:marTop w:val="0"/>
          <w:marBottom w:val="0"/>
          <w:divBdr>
            <w:top w:val="none" w:sz="0" w:space="0" w:color="auto"/>
            <w:left w:val="none" w:sz="0" w:space="0" w:color="auto"/>
            <w:bottom w:val="none" w:sz="0" w:space="0" w:color="auto"/>
            <w:right w:val="none" w:sz="0" w:space="0" w:color="auto"/>
          </w:divBdr>
        </w:div>
      </w:divsChild>
    </w:div>
    <w:div w:id="1764689435">
      <w:marLeft w:val="0"/>
      <w:marRight w:val="0"/>
      <w:marTop w:val="0"/>
      <w:marBottom w:val="0"/>
      <w:divBdr>
        <w:top w:val="none" w:sz="0" w:space="0" w:color="auto"/>
        <w:left w:val="none" w:sz="0" w:space="0" w:color="auto"/>
        <w:bottom w:val="none" w:sz="0" w:space="0" w:color="auto"/>
        <w:right w:val="none" w:sz="0" w:space="0" w:color="auto"/>
      </w:divBdr>
    </w:div>
    <w:div w:id="1764689437">
      <w:marLeft w:val="0"/>
      <w:marRight w:val="0"/>
      <w:marTop w:val="0"/>
      <w:marBottom w:val="0"/>
      <w:divBdr>
        <w:top w:val="none" w:sz="0" w:space="0" w:color="auto"/>
        <w:left w:val="none" w:sz="0" w:space="0" w:color="auto"/>
        <w:bottom w:val="none" w:sz="0" w:space="0" w:color="auto"/>
        <w:right w:val="none" w:sz="0" w:space="0" w:color="auto"/>
      </w:divBdr>
    </w:div>
    <w:div w:id="1764689441">
      <w:marLeft w:val="0"/>
      <w:marRight w:val="0"/>
      <w:marTop w:val="0"/>
      <w:marBottom w:val="0"/>
      <w:divBdr>
        <w:top w:val="none" w:sz="0" w:space="0" w:color="auto"/>
        <w:left w:val="none" w:sz="0" w:space="0" w:color="auto"/>
        <w:bottom w:val="none" w:sz="0" w:space="0" w:color="auto"/>
        <w:right w:val="none" w:sz="0" w:space="0" w:color="auto"/>
      </w:divBdr>
      <w:divsChild>
        <w:div w:id="1764690229">
          <w:marLeft w:val="0"/>
          <w:marRight w:val="0"/>
          <w:marTop w:val="0"/>
          <w:marBottom w:val="0"/>
          <w:divBdr>
            <w:top w:val="none" w:sz="0" w:space="0" w:color="auto"/>
            <w:left w:val="none" w:sz="0" w:space="0" w:color="auto"/>
            <w:bottom w:val="none" w:sz="0" w:space="0" w:color="auto"/>
            <w:right w:val="none" w:sz="0" w:space="0" w:color="auto"/>
          </w:divBdr>
        </w:div>
      </w:divsChild>
    </w:div>
    <w:div w:id="1764689442">
      <w:marLeft w:val="0"/>
      <w:marRight w:val="0"/>
      <w:marTop w:val="0"/>
      <w:marBottom w:val="0"/>
      <w:divBdr>
        <w:top w:val="none" w:sz="0" w:space="0" w:color="auto"/>
        <w:left w:val="none" w:sz="0" w:space="0" w:color="auto"/>
        <w:bottom w:val="none" w:sz="0" w:space="0" w:color="auto"/>
        <w:right w:val="none" w:sz="0" w:space="0" w:color="auto"/>
      </w:divBdr>
      <w:divsChild>
        <w:div w:id="1764690172">
          <w:marLeft w:val="0"/>
          <w:marRight w:val="0"/>
          <w:marTop w:val="0"/>
          <w:marBottom w:val="0"/>
          <w:divBdr>
            <w:top w:val="none" w:sz="0" w:space="0" w:color="auto"/>
            <w:left w:val="none" w:sz="0" w:space="0" w:color="auto"/>
            <w:bottom w:val="none" w:sz="0" w:space="0" w:color="auto"/>
            <w:right w:val="none" w:sz="0" w:space="0" w:color="auto"/>
          </w:divBdr>
          <w:divsChild>
            <w:div w:id="1764689137">
              <w:marLeft w:val="0"/>
              <w:marRight w:val="0"/>
              <w:marTop w:val="0"/>
              <w:marBottom w:val="0"/>
              <w:divBdr>
                <w:top w:val="none" w:sz="0" w:space="0" w:color="auto"/>
                <w:left w:val="none" w:sz="0" w:space="0" w:color="auto"/>
                <w:bottom w:val="none" w:sz="0" w:space="0" w:color="auto"/>
                <w:right w:val="none" w:sz="0" w:space="0" w:color="auto"/>
              </w:divBdr>
            </w:div>
            <w:div w:id="1764689549">
              <w:marLeft w:val="0"/>
              <w:marRight w:val="0"/>
              <w:marTop w:val="0"/>
              <w:marBottom w:val="0"/>
              <w:divBdr>
                <w:top w:val="none" w:sz="0" w:space="0" w:color="auto"/>
                <w:left w:val="none" w:sz="0" w:space="0" w:color="auto"/>
                <w:bottom w:val="none" w:sz="0" w:space="0" w:color="auto"/>
                <w:right w:val="none" w:sz="0" w:space="0" w:color="auto"/>
              </w:divBdr>
            </w:div>
            <w:div w:id="1764689715">
              <w:marLeft w:val="0"/>
              <w:marRight w:val="0"/>
              <w:marTop w:val="0"/>
              <w:marBottom w:val="0"/>
              <w:divBdr>
                <w:top w:val="none" w:sz="0" w:space="0" w:color="auto"/>
                <w:left w:val="none" w:sz="0" w:space="0" w:color="auto"/>
                <w:bottom w:val="none" w:sz="0" w:space="0" w:color="auto"/>
                <w:right w:val="none" w:sz="0" w:space="0" w:color="auto"/>
              </w:divBdr>
            </w:div>
            <w:div w:id="1764689931">
              <w:marLeft w:val="0"/>
              <w:marRight w:val="0"/>
              <w:marTop w:val="0"/>
              <w:marBottom w:val="0"/>
              <w:divBdr>
                <w:top w:val="none" w:sz="0" w:space="0" w:color="auto"/>
                <w:left w:val="none" w:sz="0" w:space="0" w:color="auto"/>
                <w:bottom w:val="none" w:sz="0" w:space="0" w:color="auto"/>
                <w:right w:val="none" w:sz="0" w:space="0" w:color="auto"/>
              </w:divBdr>
            </w:div>
            <w:div w:id="1764690101">
              <w:marLeft w:val="0"/>
              <w:marRight w:val="0"/>
              <w:marTop w:val="0"/>
              <w:marBottom w:val="0"/>
              <w:divBdr>
                <w:top w:val="none" w:sz="0" w:space="0" w:color="auto"/>
                <w:left w:val="none" w:sz="0" w:space="0" w:color="auto"/>
                <w:bottom w:val="none" w:sz="0" w:space="0" w:color="auto"/>
                <w:right w:val="none" w:sz="0" w:space="0" w:color="auto"/>
              </w:divBdr>
            </w:div>
            <w:div w:id="1764690157">
              <w:marLeft w:val="0"/>
              <w:marRight w:val="0"/>
              <w:marTop w:val="0"/>
              <w:marBottom w:val="0"/>
              <w:divBdr>
                <w:top w:val="none" w:sz="0" w:space="0" w:color="auto"/>
                <w:left w:val="none" w:sz="0" w:space="0" w:color="auto"/>
                <w:bottom w:val="none" w:sz="0" w:space="0" w:color="auto"/>
                <w:right w:val="none" w:sz="0" w:space="0" w:color="auto"/>
              </w:divBdr>
            </w:div>
            <w:div w:id="1764690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444">
      <w:marLeft w:val="0"/>
      <w:marRight w:val="0"/>
      <w:marTop w:val="0"/>
      <w:marBottom w:val="0"/>
      <w:divBdr>
        <w:top w:val="none" w:sz="0" w:space="0" w:color="auto"/>
        <w:left w:val="none" w:sz="0" w:space="0" w:color="auto"/>
        <w:bottom w:val="none" w:sz="0" w:space="0" w:color="auto"/>
        <w:right w:val="none" w:sz="0" w:space="0" w:color="auto"/>
      </w:divBdr>
      <w:divsChild>
        <w:div w:id="1764690412">
          <w:marLeft w:val="0"/>
          <w:marRight w:val="0"/>
          <w:marTop w:val="0"/>
          <w:marBottom w:val="0"/>
          <w:divBdr>
            <w:top w:val="none" w:sz="0" w:space="0" w:color="auto"/>
            <w:left w:val="none" w:sz="0" w:space="0" w:color="auto"/>
            <w:bottom w:val="none" w:sz="0" w:space="0" w:color="auto"/>
            <w:right w:val="none" w:sz="0" w:space="0" w:color="auto"/>
          </w:divBdr>
          <w:divsChild>
            <w:div w:id="1764689053">
              <w:marLeft w:val="0"/>
              <w:marRight w:val="0"/>
              <w:marTop w:val="0"/>
              <w:marBottom w:val="0"/>
              <w:divBdr>
                <w:top w:val="none" w:sz="0" w:space="0" w:color="auto"/>
                <w:left w:val="none" w:sz="0" w:space="0" w:color="auto"/>
                <w:bottom w:val="none" w:sz="0" w:space="0" w:color="auto"/>
                <w:right w:val="none" w:sz="0" w:space="0" w:color="auto"/>
              </w:divBdr>
            </w:div>
            <w:div w:id="1764689090">
              <w:marLeft w:val="0"/>
              <w:marRight w:val="0"/>
              <w:marTop w:val="0"/>
              <w:marBottom w:val="0"/>
              <w:divBdr>
                <w:top w:val="none" w:sz="0" w:space="0" w:color="auto"/>
                <w:left w:val="none" w:sz="0" w:space="0" w:color="auto"/>
                <w:bottom w:val="none" w:sz="0" w:space="0" w:color="auto"/>
                <w:right w:val="none" w:sz="0" w:space="0" w:color="auto"/>
              </w:divBdr>
            </w:div>
            <w:div w:id="1764689126">
              <w:marLeft w:val="0"/>
              <w:marRight w:val="0"/>
              <w:marTop w:val="0"/>
              <w:marBottom w:val="0"/>
              <w:divBdr>
                <w:top w:val="none" w:sz="0" w:space="0" w:color="auto"/>
                <w:left w:val="none" w:sz="0" w:space="0" w:color="auto"/>
                <w:bottom w:val="none" w:sz="0" w:space="0" w:color="auto"/>
                <w:right w:val="none" w:sz="0" w:space="0" w:color="auto"/>
              </w:divBdr>
            </w:div>
            <w:div w:id="1764689540">
              <w:marLeft w:val="0"/>
              <w:marRight w:val="0"/>
              <w:marTop w:val="0"/>
              <w:marBottom w:val="0"/>
              <w:divBdr>
                <w:top w:val="none" w:sz="0" w:space="0" w:color="auto"/>
                <w:left w:val="none" w:sz="0" w:space="0" w:color="auto"/>
                <w:bottom w:val="none" w:sz="0" w:space="0" w:color="auto"/>
                <w:right w:val="none" w:sz="0" w:space="0" w:color="auto"/>
              </w:divBdr>
            </w:div>
            <w:div w:id="1764689555">
              <w:marLeft w:val="0"/>
              <w:marRight w:val="0"/>
              <w:marTop w:val="0"/>
              <w:marBottom w:val="0"/>
              <w:divBdr>
                <w:top w:val="none" w:sz="0" w:space="0" w:color="auto"/>
                <w:left w:val="none" w:sz="0" w:space="0" w:color="auto"/>
                <w:bottom w:val="none" w:sz="0" w:space="0" w:color="auto"/>
                <w:right w:val="none" w:sz="0" w:space="0" w:color="auto"/>
              </w:divBdr>
            </w:div>
            <w:div w:id="1764689927">
              <w:marLeft w:val="0"/>
              <w:marRight w:val="0"/>
              <w:marTop w:val="0"/>
              <w:marBottom w:val="0"/>
              <w:divBdr>
                <w:top w:val="none" w:sz="0" w:space="0" w:color="auto"/>
                <w:left w:val="none" w:sz="0" w:space="0" w:color="auto"/>
                <w:bottom w:val="none" w:sz="0" w:space="0" w:color="auto"/>
                <w:right w:val="none" w:sz="0" w:space="0" w:color="auto"/>
              </w:divBdr>
            </w:div>
            <w:div w:id="1764690451">
              <w:marLeft w:val="0"/>
              <w:marRight w:val="0"/>
              <w:marTop w:val="0"/>
              <w:marBottom w:val="0"/>
              <w:divBdr>
                <w:top w:val="none" w:sz="0" w:space="0" w:color="auto"/>
                <w:left w:val="none" w:sz="0" w:space="0" w:color="auto"/>
                <w:bottom w:val="none" w:sz="0" w:space="0" w:color="auto"/>
                <w:right w:val="none" w:sz="0" w:space="0" w:color="auto"/>
              </w:divBdr>
            </w:div>
            <w:div w:id="1764690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445">
      <w:marLeft w:val="0"/>
      <w:marRight w:val="0"/>
      <w:marTop w:val="0"/>
      <w:marBottom w:val="0"/>
      <w:divBdr>
        <w:top w:val="none" w:sz="0" w:space="0" w:color="auto"/>
        <w:left w:val="none" w:sz="0" w:space="0" w:color="auto"/>
        <w:bottom w:val="none" w:sz="0" w:space="0" w:color="auto"/>
        <w:right w:val="none" w:sz="0" w:space="0" w:color="auto"/>
      </w:divBdr>
    </w:div>
    <w:div w:id="1764689454">
      <w:marLeft w:val="0"/>
      <w:marRight w:val="0"/>
      <w:marTop w:val="0"/>
      <w:marBottom w:val="0"/>
      <w:divBdr>
        <w:top w:val="none" w:sz="0" w:space="0" w:color="auto"/>
        <w:left w:val="none" w:sz="0" w:space="0" w:color="auto"/>
        <w:bottom w:val="none" w:sz="0" w:space="0" w:color="auto"/>
        <w:right w:val="none" w:sz="0" w:space="0" w:color="auto"/>
      </w:divBdr>
      <w:divsChild>
        <w:div w:id="1764689559">
          <w:marLeft w:val="0"/>
          <w:marRight w:val="0"/>
          <w:marTop w:val="0"/>
          <w:marBottom w:val="0"/>
          <w:divBdr>
            <w:top w:val="none" w:sz="0" w:space="0" w:color="auto"/>
            <w:left w:val="none" w:sz="0" w:space="0" w:color="auto"/>
            <w:bottom w:val="none" w:sz="0" w:space="0" w:color="auto"/>
            <w:right w:val="none" w:sz="0" w:space="0" w:color="auto"/>
          </w:divBdr>
        </w:div>
      </w:divsChild>
    </w:div>
    <w:div w:id="1764689455">
      <w:marLeft w:val="0"/>
      <w:marRight w:val="0"/>
      <w:marTop w:val="0"/>
      <w:marBottom w:val="0"/>
      <w:divBdr>
        <w:top w:val="none" w:sz="0" w:space="0" w:color="auto"/>
        <w:left w:val="none" w:sz="0" w:space="0" w:color="auto"/>
        <w:bottom w:val="none" w:sz="0" w:space="0" w:color="auto"/>
        <w:right w:val="none" w:sz="0" w:space="0" w:color="auto"/>
      </w:divBdr>
    </w:div>
    <w:div w:id="1764689457">
      <w:marLeft w:val="0"/>
      <w:marRight w:val="0"/>
      <w:marTop w:val="0"/>
      <w:marBottom w:val="0"/>
      <w:divBdr>
        <w:top w:val="none" w:sz="0" w:space="0" w:color="auto"/>
        <w:left w:val="none" w:sz="0" w:space="0" w:color="auto"/>
        <w:bottom w:val="none" w:sz="0" w:space="0" w:color="auto"/>
        <w:right w:val="none" w:sz="0" w:space="0" w:color="auto"/>
      </w:divBdr>
    </w:div>
    <w:div w:id="1764689459">
      <w:marLeft w:val="0"/>
      <w:marRight w:val="0"/>
      <w:marTop w:val="0"/>
      <w:marBottom w:val="0"/>
      <w:divBdr>
        <w:top w:val="none" w:sz="0" w:space="0" w:color="auto"/>
        <w:left w:val="none" w:sz="0" w:space="0" w:color="auto"/>
        <w:bottom w:val="none" w:sz="0" w:space="0" w:color="auto"/>
        <w:right w:val="none" w:sz="0" w:space="0" w:color="auto"/>
      </w:divBdr>
      <w:divsChild>
        <w:div w:id="1764690588">
          <w:marLeft w:val="0"/>
          <w:marRight w:val="0"/>
          <w:marTop w:val="0"/>
          <w:marBottom w:val="0"/>
          <w:divBdr>
            <w:top w:val="none" w:sz="0" w:space="0" w:color="auto"/>
            <w:left w:val="none" w:sz="0" w:space="0" w:color="auto"/>
            <w:bottom w:val="none" w:sz="0" w:space="0" w:color="auto"/>
            <w:right w:val="none" w:sz="0" w:space="0" w:color="auto"/>
          </w:divBdr>
        </w:div>
      </w:divsChild>
    </w:div>
    <w:div w:id="1764689460">
      <w:marLeft w:val="0"/>
      <w:marRight w:val="0"/>
      <w:marTop w:val="0"/>
      <w:marBottom w:val="0"/>
      <w:divBdr>
        <w:top w:val="none" w:sz="0" w:space="0" w:color="auto"/>
        <w:left w:val="none" w:sz="0" w:space="0" w:color="auto"/>
        <w:bottom w:val="none" w:sz="0" w:space="0" w:color="auto"/>
        <w:right w:val="none" w:sz="0" w:space="0" w:color="auto"/>
      </w:divBdr>
      <w:divsChild>
        <w:div w:id="1764690352">
          <w:marLeft w:val="0"/>
          <w:marRight w:val="0"/>
          <w:marTop w:val="0"/>
          <w:marBottom w:val="0"/>
          <w:divBdr>
            <w:top w:val="none" w:sz="0" w:space="0" w:color="auto"/>
            <w:left w:val="none" w:sz="0" w:space="0" w:color="auto"/>
            <w:bottom w:val="none" w:sz="0" w:space="0" w:color="auto"/>
            <w:right w:val="none" w:sz="0" w:space="0" w:color="auto"/>
          </w:divBdr>
        </w:div>
      </w:divsChild>
    </w:div>
    <w:div w:id="1764689464">
      <w:marLeft w:val="0"/>
      <w:marRight w:val="0"/>
      <w:marTop w:val="0"/>
      <w:marBottom w:val="0"/>
      <w:divBdr>
        <w:top w:val="none" w:sz="0" w:space="0" w:color="auto"/>
        <w:left w:val="none" w:sz="0" w:space="0" w:color="auto"/>
        <w:bottom w:val="none" w:sz="0" w:space="0" w:color="auto"/>
        <w:right w:val="none" w:sz="0" w:space="0" w:color="auto"/>
      </w:divBdr>
    </w:div>
    <w:div w:id="1764689465">
      <w:marLeft w:val="0"/>
      <w:marRight w:val="0"/>
      <w:marTop w:val="0"/>
      <w:marBottom w:val="0"/>
      <w:divBdr>
        <w:top w:val="none" w:sz="0" w:space="0" w:color="auto"/>
        <w:left w:val="none" w:sz="0" w:space="0" w:color="auto"/>
        <w:bottom w:val="none" w:sz="0" w:space="0" w:color="auto"/>
        <w:right w:val="none" w:sz="0" w:space="0" w:color="auto"/>
      </w:divBdr>
    </w:div>
    <w:div w:id="1764689466">
      <w:marLeft w:val="0"/>
      <w:marRight w:val="0"/>
      <w:marTop w:val="0"/>
      <w:marBottom w:val="0"/>
      <w:divBdr>
        <w:top w:val="none" w:sz="0" w:space="0" w:color="auto"/>
        <w:left w:val="none" w:sz="0" w:space="0" w:color="auto"/>
        <w:bottom w:val="none" w:sz="0" w:space="0" w:color="auto"/>
        <w:right w:val="none" w:sz="0" w:space="0" w:color="auto"/>
      </w:divBdr>
      <w:divsChild>
        <w:div w:id="1764690537">
          <w:marLeft w:val="0"/>
          <w:marRight w:val="0"/>
          <w:marTop w:val="0"/>
          <w:marBottom w:val="0"/>
          <w:divBdr>
            <w:top w:val="none" w:sz="0" w:space="0" w:color="auto"/>
            <w:left w:val="none" w:sz="0" w:space="0" w:color="auto"/>
            <w:bottom w:val="none" w:sz="0" w:space="0" w:color="auto"/>
            <w:right w:val="none" w:sz="0" w:space="0" w:color="auto"/>
          </w:divBdr>
        </w:div>
      </w:divsChild>
    </w:div>
    <w:div w:id="1764689467">
      <w:marLeft w:val="0"/>
      <w:marRight w:val="0"/>
      <w:marTop w:val="0"/>
      <w:marBottom w:val="0"/>
      <w:divBdr>
        <w:top w:val="none" w:sz="0" w:space="0" w:color="auto"/>
        <w:left w:val="none" w:sz="0" w:space="0" w:color="auto"/>
        <w:bottom w:val="none" w:sz="0" w:space="0" w:color="auto"/>
        <w:right w:val="none" w:sz="0" w:space="0" w:color="auto"/>
      </w:divBdr>
      <w:divsChild>
        <w:div w:id="1764690323">
          <w:marLeft w:val="0"/>
          <w:marRight w:val="0"/>
          <w:marTop w:val="0"/>
          <w:marBottom w:val="0"/>
          <w:divBdr>
            <w:top w:val="none" w:sz="0" w:space="0" w:color="auto"/>
            <w:left w:val="none" w:sz="0" w:space="0" w:color="auto"/>
            <w:bottom w:val="none" w:sz="0" w:space="0" w:color="auto"/>
            <w:right w:val="none" w:sz="0" w:space="0" w:color="auto"/>
          </w:divBdr>
          <w:divsChild>
            <w:div w:id="1764689970">
              <w:marLeft w:val="0"/>
              <w:marRight w:val="0"/>
              <w:marTop w:val="0"/>
              <w:marBottom w:val="0"/>
              <w:divBdr>
                <w:top w:val="none" w:sz="0" w:space="0" w:color="auto"/>
                <w:left w:val="none" w:sz="0" w:space="0" w:color="auto"/>
                <w:bottom w:val="none" w:sz="0" w:space="0" w:color="auto"/>
                <w:right w:val="none" w:sz="0" w:space="0" w:color="auto"/>
              </w:divBdr>
            </w:div>
            <w:div w:id="1764689984">
              <w:marLeft w:val="0"/>
              <w:marRight w:val="0"/>
              <w:marTop w:val="0"/>
              <w:marBottom w:val="0"/>
              <w:divBdr>
                <w:top w:val="none" w:sz="0" w:space="0" w:color="auto"/>
                <w:left w:val="none" w:sz="0" w:space="0" w:color="auto"/>
                <w:bottom w:val="none" w:sz="0" w:space="0" w:color="auto"/>
                <w:right w:val="none" w:sz="0" w:space="0" w:color="auto"/>
              </w:divBdr>
            </w:div>
            <w:div w:id="1764690031">
              <w:marLeft w:val="0"/>
              <w:marRight w:val="0"/>
              <w:marTop w:val="0"/>
              <w:marBottom w:val="0"/>
              <w:divBdr>
                <w:top w:val="none" w:sz="0" w:space="0" w:color="auto"/>
                <w:left w:val="none" w:sz="0" w:space="0" w:color="auto"/>
                <w:bottom w:val="none" w:sz="0" w:space="0" w:color="auto"/>
                <w:right w:val="none" w:sz="0" w:space="0" w:color="auto"/>
              </w:divBdr>
            </w:div>
            <w:div w:id="1764690468">
              <w:marLeft w:val="0"/>
              <w:marRight w:val="0"/>
              <w:marTop w:val="0"/>
              <w:marBottom w:val="0"/>
              <w:divBdr>
                <w:top w:val="none" w:sz="0" w:space="0" w:color="auto"/>
                <w:left w:val="none" w:sz="0" w:space="0" w:color="auto"/>
                <w:bottom w:val="none" w:sz="0" w:space="0" w:color="auto"/>
                <w:right w:val="none" w:sz="0" w:space="0" w:color="auto"/>
              </w:divBdr>
            </w:div>
            <w:div w:id="1764690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469">
      <w:marLeft w:val="0"/>
      <w:marRight w:val="0"/>
      <w:marTop w:val="0"/>
      <w:marBottom w:val="0"/>
      <w:divBdr>
        <w:top w:val="none" w:sz="0" w:space="0" w:color="auto"/>
        <w:left w:val="none" w:sz="0" w:space="0" w:color="auto"/>
        <w:bottom w:val="none" w:sz="0" w:space="0" w:color="auto"/>
        <w:right w:val="none" w:sz="0" w:space="0" w:color="auto"/>
      </w:divBdr>
    </w:div>
    <w:div w:id="1764689472">
      <w:marLeft w:val="0"/>
      <w:marRight w:val="0"/>
      <w:marTop w:val="0"/>
      <w:marBottom w:val="0"/>
      <w:divBdr>
        <w:top w:val="none" w:sz="0" w:space="0" w:color="auto"/>
        <w:left w:val="none" w:sz="0" w:space="0" w:color="auto"/>
        <w:bottom w:val="none" w:sz="0" w:space="0" w:color="auto"/>
        <w:right w:val="none" w:sz="0" w:space="0" w:color="auto"/>
      </w:divBdr>
    </w:div>
    <w:div w:id="1764689474">
      <w:marLeft w:val="0"/>
      <w:marRight w:val="0"/>
      <w:marTop w:val="0"/>
      <w:marBottom w:val="0"/>
      <w:divBdr>
        <w:top w:val="none" w:sz="0" w:space="0" w:color="auto"/>
        <w:left w:val="none" w:sz="0" w:space="0" w:color="auto"/>
        <w:bottom w:val="none" w:sz="0" w:space="0" w:color="auto"/>
        <w:right w:val="none" w:sz="0" w:space="0" w:color="auto"/>
      </w:divBdr>
      <w:divsChild>
        <w:div w:id="1764690312">
          <w:marLeft w:val="0"/>
          <w:marRight w:val="0"/>
          <w:marTop w:val="0"/>
          <w:marBottom w:val="0"/>
          <w:divBdr>
            <w:top w:val="none" w:sz="0" w:space="0" w:color="auto"/>
            <w:left w:val="none" w:sz="0" w:space="0" w:color="auto"/>
            <w:bottom w:val="none" w:sz="0" w:space="0" w:color="auto"/>
            <w:right w:val="none" w:sz="0" w:space="0" w:color="auto"/>
          </w:divBdr>
          <w:divsChild>
            <w:div w:id="1764689421">
              <w:marLeft w:val="0"/>
              <w:marRight w:val="0"/>
              <w:marTop w:val="0"/>
              <w:marBottom w:val="0"/>
              <w:divBdr>
                <w:top w:val="none" w:sz="0" w:space="0" w:color="auto"/>
                <w:left w:val="none" w:sz="0" w:space="0" w:color="auto"/>
                <w:bottom w:val="none" w:sz="0" w:space="0" w:color="auto"/>
                <w:right w:val="none" w:sz="0" w:space="0" w:color="auto"/>
              </w:divBdr>
            </w:div>
            <w:div w:id="1764689875">
              <w:marLeft w:val="0"/>
              <w:marRight w:val="0"/>
              <w:marTop w:val="0"/>
              <w:marBottom w:val="0"/>
              <w:divBdr>
                <w:top w:val="none" w:sz="0" w:space="0" w:color="auto"/>
                <w:left w:val="none" w:sz="0" w:space="0" w:color="auto"/>
                <w:bottom w:val="none" w:sz="0" w:space="0" w:color="auto"/>
                <w:right w:val="none" w:sz="0" w:space="0" w:color="auto"/>
              </w:divBdr>
            </w:div>
            <w:div w:id="1764689894">
              <w:marLeft w:val="0"/>
              <w:marRight w:val="0"/>
              <w:marTop w:val="0"/>
              <w:marBottom w:val="0"/>
              <w:divBdr>
                <w:top w:val="none" w:sz="0" w:space="0" w:color="auto"/>
                <w:left w:val="none" w:sz="0" w:space="0" w:color="auto"/>
                <w:bottom w:val="none" w:sz="0" w:space="0" w:color="auto"/>
                <w:right w:val="none" w:sz="0" w:space="0" w:color="auto"/>
              </w:divBdr>
            </w:div>
            <w:div w:id="1764690227">
              <w:marLeft w:val="0"/>
              <w:marRight w:val="0"/>
              <w:marTop w:val="0"/>
              <w:marBottom w:val="0"/>
              <w:divBdr>
                <w:top w:val="none" w:sz="0" w:space="0" w:color="auto"/>
                <w:left w:val="none" w:sz="0" w:space="0" w:color="auto"/>
                <w:bottom w:val="none" w:sz="0" w:space="0" w:color="auto"/>
                <w:right w:val="none" w:sz="0" w:space="0" w:color="auto"/>
              </w:divBdr>
            </w:div>
            <w:div w:id="1764690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481">
      <w:marLeft w:val="0"/>
      <w:marRight w:val="0"/>
      <w:marTop w:val="0"/>
      <w:marBottom w:val="0"/>
      <w:divBdr>
        <w:top w:val="none" w:sz="0" w:space="0" w:color="auto"/>
        <w:left w:val="none" w:sz="0" w:space="0" w:color="auto"/>
        <w:bottom w:val="none" w:sz="0" w:space="0" w:color="auto"/>
        <w:right w:val="none" w:sz="0" w:space="0" w:color="auto"/>
      </w:divBdr>
    </w:div>
    <w:div w:id="1764689486">
      <w:marLeft w:val="0"/>
      <w:marRight w:val="0"/>
      <w:marTop w:val="0"/>
      <w:marBottom w:val="0"/>
      <w:divBdr>
        <w:top w:val="none" w:sz="0" w:space="0" w:color="auto"/>
        <w:left w:val="none" w:sz="0" w:space="0" w:color="auto"/>
        <w:bottom w:val="none" w:sz="0" w:space="0" w:color="auto"/>
        <w:right w:val="none" w:sz="0" w:space="0" w:color="auto"/>
      </w:divBdr>
      <w:divsChild>
        <w:div w:id="1764689796">
          <w:marLeft w:val="0"/>
          <w:marRight w:val="0"/>
          <w:marTop w:val="0"/>
          <w:marBottom w:val="0"/>
          <w:divBdr>
            <w:top w:val="none" w:sz="0" w:space="0" w:color="auto"/>
            <w:left w:val="none" w:sz="0" w:space="0" w:color="auto"/>
            <w:bottom w:val="none" w:sz="0" w:space="0" w:color="auto"/>
            <w:right w:val="none" w:sz="0" w:space="0" w:color="auto"/>
          </w:divBdr>
        </w:div>
      </w:divsChild>
    </w:div>
    <w:div w:id="1764689487">
      <w:marLeft w:val="0"/>
      <w:marRight w:val="0"/>
      <w:marTop w:val="0"/>
      <w:marBottom w:val="0"/>
      <w:divBdr>
        <w:top w:val="none" w:sz="0" w:space="0" w:color="auto"/>
        <w:left w:val="none" w:sz="0" w:space="0" w:color="auto"/>
        <w:bottom w:val="none" w:sz="0" w:space="0" w:color="auto"/>
        <w:right w:val="none" w:sz="0" w:space="0" w:color="auto"/>
      </w:divBdr>
      <w:divsChild>
        <w:div w:id="1764690259">
          <w:marLeft w:val="0"/>
          <w:marRight w:val="0"/>
          <w:marTop w:val="0"/>
          <w:marBottom w:val="0"/>
          <w:divBdr>
            <w:top w:val="none" w:sz="0" w:space="0" w:color="auto"/>
            <w:left w:val="none" w:sz="0" w:space="0" w:color="auto"/>
            <w:bottom w:val="none" w:sz="0" w:space="0" w:color="auto"/>
            <w:right w:val="none" w:sz="0" w:space="0" w:color="auto"/>
          </w:divBdr>
        </w:div>
      </w:divsChild>
    </w:div>
    <w:div w:id="1764689493">
      <w:marLeft w:val="0"/>
      <w:marRight w:val="0"/>
      <w:marTop w:val="0"/>
      <w:marBottom w:val="0"/>
      <w:divBdr>
        <w:top w:val="none" w:sz="0" w:space="0" w:color="auto"/>
        <w:left w:val="none" w:sz="0" w:space="0" w:color="auto"/>
        <w:bottom w:val="none" w:sz="0" w:space="0" w:color="auto"/>
        <w:right w:val="none" w:sz="0" w:space="0" w:color="auto"/>
      </w:divBdr>
    </w:div>
    <w:div w:id="1764689494">
      <w:marLeft w:val="0"/>
      <w:marRight w:val="0"/>
      <w:marTop w:val="0"/>
      <w:marBottom w:val="0"/>
      <w:divBdr>
        <w:top w:val="none" w:sz="0" w:space="0" w:color="auto"/>
        <w:left w:val="none" w:sz="0" w:space="0" w:color="auto"/>
        <w:bottom w:val="none" w:sz="0" w:space="0" w:color="auto"/>
        <w:right w:val="none" w:sz="0" w:space="0" w:color="auto"/>
      </w:divBdr>
    </w:div>
    <w:div w:id="1764689495">
      <w:marLeft w:val="0"/>
      <w:marRight w:val="0"/>
      <w:marTop w:val="0"/>
      <w:marBottom w:val="0"/>
      <w:divBdr>
        <w:top w:val="none" w:sz="0" w:space="0" w:color="auto"/>
        <w:left w:val="none" w:sz="0" w:space="0" w:color="auto"/>
        <w:bottom w:val="none" w:sz="0" w:space="0" w:color="auto"/>
        <w:right w:val="none" w:sz="0" w:space="0" w:color="auto"/>
      </w:divBdr>
      <w:divsChild>
        <w:div w:id="1764690375">
          <w:marLeft w:val="0"/>
          <w:marRight w:val="0"/>
          <w:marTop w:val="0"/>
          <w:marBottom w:val="0"/>
          <w:divBdr>
            <w:top w:val="none" w:sz="0" w:space="0" w:color="auto"/>
            <w:left w:val="none" w:sz="0" w:space="0" w:color="auto"/>
            <w:bottom w:val="none" w:sz="0" w:space="0" w:color="auto"/>
            <w:right w:val="none" w:sz="0" w:space="0" w:color="auto"/>
          </w:divBdr>
        </w:div>
      </w:divsChild>
    </w:div>
    <w:div w:id="1764689500">
      <w:marLeft w:val="0"/>
      <w:marRight w:val="0"/>
      <w:marTop w:val="0"/>
      <w:marBottom w:val="0"/>
      <w:divBdr>
        <w:top w:val="none" w:sz="0" w:space="0" w:color="auto"/>
        <w:left w:val="none" w:sz="0" w:space="0" w:color="auto"/>
        <w:bottom w:val="none" w:sz="0" w:space="0" w:color="auto"/>
        <w:right w:val="none" w:sz="0" w:space="0" w:color="auto"/>
      </w:divBdr>
    </w:div>
    <w:div w:id="1764689501">
      <w:marLeft w:val="0"/>
      <w:marRight w:val="0"/>
      <w:marTop w:val="0"/>
      <w:marBottom w:val="0"/>
      <w:divBdr>
        <w:top w:val="none" w:sz="0" w:space="0" w:color="auto"/>
        <w:left w:val="none" w:sz="0" w:space="0" w:color="auto"/>
        <w:bottom w:val="none" w:sz="0" w:space="0" w:color="auto"/>
        <w:right w:val="none" w:sz="0" w:space="0" w:color="auto"/>
      </w:divBdr>
    </w:div>
    <w:div w:id="1764689502">
      <w:marLeft w:val="0"/>
      <w:marRight w:val="0"/>
      <w:marTop w:val="0"/>
      <w:marBottom w:val="0"/>
      <w:divBdr>
        <w:top w:val="none" w:sz="0" w:space="0" w:color="auto"/>
        <w:left w:val="none" w:sz="0" w:space="0" w:color="auto"/>
        <w:bottom w:val="none" w:sz="0" w:space="0" w:color="auto"/>
        <w:right w:val="none" w:sz="0" w:space="0" w:color="auto"/>
      </w:divBdr>
      <w:divsChild>
        <w:div w:id="1764690505">
          <w:marLeft w:val="0"/>
          <w:marRight w:val="0"/>
          <w:marTop w:val="0"/>
          <w:marBottom w:val="0"/>
          <w:divBdr>
            <w:top w:val="none" w:sz="0" w:space="0" w:color="auto"/>
            <w:left w:val="none" w:sz="0" w:space="0" w:color="auto"/>
            <w:bottom w:val="none" w:sz="0" w:space="0" w:color="auto"/>
            <w:right w:val="none" w:sz="0" w:space="0" w:color="auto"/>
          </w:divBdr>
          <w:divsChild>
            <w:div w:id="1764689232">
              <w:marLeft w:val="0"/>
              <w:marRight w:val="0"/>
              <w:marTop w:val="0"/>
              <w:marBottom w:val="0"/>
              <w:divBdr>
                <w:top w:val="none" w:sz="0" w:space="0" w:color="auto"/>
                <w:left w:val="none" w:sz="0" w:space="0" w:color="auto"/>
                <w:bottom w:val="none" w:sz="0" w:space="0" w:color="auto"/>
                <w:right w:val="none" w:sz="0" w:space="0" w:color="auto"/>
              </w:divBdr>
            </w:div>
            <w:div w:id="1764689922">
              <w:marLeft w:val="0"/>
              <w:marRight w:val="0"/>
              <w:marTop w:val="0"/>
              <w:marBottom w:val="0"/>
              <w:divBdr>
                <w:top w:val="none" w:sz="0" w:space="0" w:color="auto"/>
                <w:left w:val="none" w:sz="0" w:space="0" w:color="auto"/>
                <w:bottom w:val="none" w:sz="0" w:space="0" w:color="auto"/>
                <w:right w:val="none" w:sz="0" w:space="0" w:color="auto"/>
              </w:divBdr>
            </w:div>
            <w:div w:id="1764689988">
              <w:marLeft w:val="0"/>
              <w:marRight w:val="0"/>
              <w:marTop w:val="0"/>
              <w:marBottom w:val="0"/>
              <w:divBdr>
                <w:top w:val="none" w:sz="0" w:space="0" w:color="auto"/>
                <w:left w:val="none" w:sz="0" w:space="0" w:color="auto"/>
                <w:bottom w:val="none" w:sz="0" w:space="0" w:color="auto"/>
                <w:right w:val="none" w:sz="0" w:space="0" w:color="auto"/>
              </w:divBdr>
            </w:div>
            <w:div w:id="1764690293">
              <w:marLeft w:val="0"/>
              <w:marRight w:val="0"/>
              <w:marTop w:val="0"/>
              <w:marBottom w:val="0"/>
              <w:divBdr>
                <w:top w:val="none" w:sz="0" w:space="0" w:color="auto"/>
                <w:left w:val="none" w:sz="0" w:space="0" w:color="auto"/>
                <w:bottom w:val="none" w:sz="0" w:space="0" w:color="auto"/>
                <w:right w:val="none" w:sz="0" w:space="0" w:color="auto"/>
              </w:divBdr>
            </w:div>
            <w:div w:id="1764690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504">
      <w:marLeft w:val="0"/>
      <w:marRight w:val="0"/>
      <w:marTop w:val="0"/>
      <w:marBottom w:val="0"/>
      <w:divBdr>
        <w:top w:val="none" w:sz="0" w:space="0" w:color="auto"/>
        <w:left w:val="none" w:sz="0" w:space="0" w:color="auto"/>
        <w:bottom w:val="none" w:sz="0" w:space="0" w:color="auto"/>
        <w:right w:val="none" w:sz="0" w:space="0" w:color="auto"/>
      </w:divBdr>
    </w:div>
    <w:div w:id="1764689505">
      <w:marLeft w:val="0"/>
      <w:marRight w:val="0"/>
      <w:marTop w:val="0"/>
      <w:marBottom w:val="0"/>
      <w:divBdr>
        <w:top w:val="none" w:sz="0" w:space="0" w:color="auto"/>
        <w:left w:val="none" w:sz="0" w:space="0" w:color="auto"/>
        <w:bottom w:val="none" w:sz="0" w:space="0" w:color="auto"/>
        <w:right w:val="none" w:sz="0" w:space="0" w:color="auto"/>
      </w:divBdr>
    </w:div>
    <w:div w:id="1764689510">
      <w:marLeft w:val="0"/>
      <w:marRight w:val="0"/>
      <w:marTop w:val="0"/>
      <w:marBottom w:val="0"/>
      <w:divBdr>
        <w:top w:val="none" w:sz="0" w:space="0" w:color="auto"/>
        <w:left w:val="none" w:sz="0" w:space="0" w:color="auto"/>
        <w:bottom w:val="none" w:sz="0" w:space="0" w:color="auto"/>
        <w:right w:val="none" w:sz="0" w:space="0" w:color="auto"/>
      </w:divBdr>
    </w:div>
    <w:div w:id="1764689511">
      <w:marLeft w:val="0"/>
      <w:marRight w:val="0"/>
      <w:marTop w:val="0"/>
      <w:marBottom w:val="0"/>
      <w:divBdr>
        <w:top w:val="none" w:sz="0" w:space="0" w:color="auto"/>
        <w:left w:val="none" w:sz="0" w:space="0" w:color="auto"/>
        <w:bottom w:val="none" w:sz="0" w:space="0" w:color="auto"/>
        <w:right w:val="none" w:sz="0" w:space="0" w:color="auto"/>
      </w:divBdr>
      <w:divsChild>
        <w:div w:id="1764690425">
          <w:marLeft w:val="0"/>
          <w:marRight w:val="0"/>
          <w:marTop w:val="0"/>
          <w:marBottom w:val="0"/>
          <w:divBdr>
            <w:top w:val="none" w:sz="0" w:space="0" w:color="auto"/>
            <w:left w:val="none" w:sz="0" w:space="0" w:color="auto"/>
            <w:bottom w:val="none" w:sz="0" w:space="0" w:color="auto"/>
            <w:right w:val="none" w:sz="0" w:space="0" w:color="auto"/>
          </w:divBdr>
        </w:div>
      </w:divsChild>
    </w:div>
    <w:div w:id="1764689513">
      <w:marLeft w:val="0"/>
      <w:marRight w:val="0"/>
      <w:marTop w:val="0"/>
      <w:marBottom w:val="0"/>
      <w:divBdr>
        <w:top w:val="none" w:sz="0" w:space="0" w:color="auto"/>
        <w:left w:val="none" w:sz="0" w:space="0" w:color="auto"/>
        <w:bottom w:val="none" w:sz="0" w:space="0" w:color="auto"/>
        <w:right w:val="none" w:sz="0" w:space="0" w:color="auto"/>
      </w:divBdr>
      <w:divsChild>
        <w:div w:id="1764689160">
          <w:marLeft w:val="0"/>
          <w:marRight w:val="0"/>
          <w:marTop w:val="0"/>
          <w:marBottom w:val="0"/>
          <w:divBdr>
            <w:top w:val="none" w:sz="0" w:space="0" w:color="auto"/>
            <w:left w:val="none" w:sz="0" w:space="0" w:color="auto"/>
            <w:bottom w:val="none" w:sz="0" w:space="0" w:color="auto"/>
            <w:right w:val="none" w:sz="0" w:space="0" w:color="auto"/>
          </w:divBdr>
        </w:div>
      </w:divsChild>
    </w:div>
    <w:div w:id="1764689516">
      <w:marLeft w:val="0"/>
      <w:marRight w:val="0"/>
      <w:marTop w:val="0"/>
      <w:marBottom w:val="0"/>
      <w:divBdr>
        <w:top w:val="none" w:sz="0" w:space="0" w:color="auto"/>
        <w:left w:val="none" w:sz="0" w:space="0" w:color="auto"/>
        <w:bottom w:val="none" w:sz="0" w:space="0" w:color="auto"/>
        <w:right w:val="none" w:sz="0" w:space="0" w:color="auto"/>
      </w:divBdr>
    </w:div>
    <w:div w:id="1764689517">
      <w:marLeft w:val="0"/>
      <w:marRight w:val="0"/>
      <w:marTop w:val="0"/>
      <w:marBottom w:val="0"/>
      <w:divBdr>
        <w:top w:val="none" w:sz="0" w:space="0" w:color="auto"/>
        <w:left w:val="none" w:sz="0" w:space="0" w:color="auto"/>
        <w:bottom w:val="none" w:sz="0" w:space="0" w:color="auto"/>
        <w:right w:val="none" w:sz="0" w:space="0" w:color="auto"/>
      </w:divBdr>
    </w:div>
    <w:div w:id="1764689520">
      <w:marLeft w:val="0"/>
      <w:marRight w:val="0"/>
      <w:marTop w:val="0"/>
      <w:marBottom w:val="0"/>
      <w:divBdr>
        <w:top w:val="none" w:sz="0" w:space="0" w:color="auto"/>
        <w:left w:val="none" w:sz="0" w:space="0" w:color="auto"/>
        <w:bottom w:val="none" w:sz="0" w:space="0" w:color="auto"/>
        <w:right w:val="none" w:sz="0" w:space="0" w:color="auto"/>
      </w:divBdr>
    </w:div>
    <w:div w:id="1764689521">
      <w:marLeft w:val="0"/>
      <w:marRight w:val="0"/>
      <w:marTop w:val="0"/>
      <w:marBottom w:val="0"/>
      <w:divBdr>
        <w:top w:val="none" w:sz="0" w:space="0" w:color="auto"/>
        <w:left w:val="none" w:sz="0" w:space="0" w:color="auto"/>
        <w:bottom w:val="none" w:sz="0" w:space="0" w:color="auto"/>
        <w:right w:val="none" w:sz="0" w:space="0" w:color="auto"/>
      </w:divBdr>
      <w:divsChild>
        <w:div w:id="1764689634">
          <w:marLeft w:val="0"/>
          <w:marRight w:val="0"/>
          <w:marTop w:val="0"/>
          <w:marBottom w:val="0"/>
          <w:divBdr>
            <w:top w:val="none" w:sz="0" w:space="0" w:color="auto"/>
            <w:left w:val="none" w:sz="0" w:space="0" w:color="auto"/>
            <w:bottom w:val="none" w:sz="0" w:space="0" w:color="auto"/>
            <w:right w:val="none" w:sz="0" w:space="0" w:color="auto"/>
          </w:divBdr>
        </w:div>
      </w:divsChild>
    </w:div>
    <w:div w:id="1764689524">
      <w:marLeft w:val="0"/>
      <w:marRight w:val="0"/>
      <w:marTop w:val="0"/>
      <w:marBottom w:val="0"/>
      <w:divBdr>
        <w:top w:val="none" w:sz="0" w:space="0" w:color="auto"/>
        <w:left w:val="none" w:sz="0" w:space="0" w:color="auto"/>
        <w:bottom w:val="none" w:sz="0" w:space="0" w:color="auto"/>
        <w:right w:val="none" w:sz="0" w:space="0" w:color="auto"/>
      </w:divBdr>
    </w:div>
    <w:div w:id="1764689526">
      <w:marLeft w:val="0"/>
      <w:marRight w:val="0"/>
      <w:marTop w:val="0"/>
      <w:marBottom w:val="0"/>
      <w:divBdr>
        <w:top w:val="none" w:sz="0" w:space="0" w:color="auto"/>
        <w:left w:val="none" w:sz="0" w:space="0" w:color="auto"/>
        <w:bottom w:val="none" w:sz="0" w:space="0" w:color="auto"/>
        <w:right w:val="none" w:sz="0" w:space="0" w:color="auto"/>
      </w:divBdr>
      <w:divsChild>
        <w:div w:id="1764689899">
          <w:marLeft w:val="0"/>
          <w:marRight w:val="0"/>
          <w:marTop w:val="0"/>
          <w:marBottom w:val="0"/>
          <w:divBdr>
            <w:top w:val="none" w:sz="0" w:space="0" w:color="auto"/>
            <w:left w:val="none" w:sz="0" w:space="0" w:color="auto"/>
            <w:bottom w:val="none" w:sz="0" w:space="0" w:color="auto"/>
            <w:right w:val="none" w:sz="0" w:space="0" w:color="auto"/>
          </w:divBdr>
          <w:divsChild>
            <w:div w:id="1764690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527">
      <w:marLeft w:val="0"/>
      <w:marRight w:val="0"/>
      <w:marTop w:val="0"/>
      <w:marBottom w:val="0"/>
      <w:divBdr>
        <w:top w:val="none" w:sz="0" w:space="0" w:color="auto"/>
        <w:left w:val="none" w:sz="0" w:space="0" w:color="auto"/>
        <w:bottom w:val="none" w:sz="0" w:space="0" w:color="auto"/>
        <w:right w:val="none" w:sz="0" w:space="0" w:color="auto"/>
      </w:divBdr>
    </w:div>
    <w:div w:id="1764689533">
      <w:marLeft w:val="0"/>
      <w:marRight w:val="0"/>
      <w:marTop w:val="0"/>
      <w:marBottom w:val="0"/>
      <w:divBdr>
        <w:top w:val="none" w:sz="0" w:space="0" w:color="auto"/>
        <w:left w:val="none" w:sz="0" w:space="0" w:color="auto"/>
        <w:bottom w:val="none" w:sz="0" w:space="0" w:color="auto"/>
        <w:right w:val="none" w:sz="0" w:space="0" w:color="auto"/>
      </w:divBdr>
      <w:divsChild>
        <w:div w:id="1764689419">
          <w:marLeft w:val="0"/>
          <w:marRight w:val="0"/>
          <w:marTop w:val="0"/>
          <w:marBottom w:val="0"/>
          <w:divBdr>
            <w:top w:val="none" w:sz="0" w:space="0" w:color="auto"/>
            <w:left w:val="none" w:sz="0" w:space="0" w:color="auto"/>
            <w:bottom w:val="none" w:sz="0" w:space="0" w:color="auto"/>
            <w:right w:val="none" w:sz="0" w:space="0" w:color="auto"/>
          </w:divBdr>
        </w:div>
      </w:divsChild>
    </w:div>
    <w:div w:id="1764689535">
      <w:marLeft w:val="0"/>
      <w:marRight w:val="0"/>
      <w:marTop w:val="0"/>
      <w:marBottom w:val="0"/>
      <w:divBdr>
        <w:top w:val="none" w:sz="0" w:space="0" w:color="auto"/>
        <w:left w:val="none" w:sz="0" w:space="0" w:color="auto"/>
        <w:bottom w:val="none" w:sz="0" w:space="0" w:color="auto"/>
        <w:right w:val="none" w:sz="0" w:space="0" w:color="auto"/>
      </w:divBdr>
      <w:divsChild>
        <w:div w:id="1764690561">
          <w:marLeft w:val="0"/>
          <w:marRight w:val="0"/>
          <w:marTop w:val="0"/>
          <w:marBottom w:val="0"/>
          <w:divBdr>
            <w:top w:val="none" w:sz="0" w:space="0" w:color="auto"/>
            <w:left w:val="none" w:sz="0" w:space="0" w:color="auto"/>
            <w:bottom w:val="none" w:sz="0" w:space="0" w:color="auto"/>
            <w:right w:val="none" w:sz="0" w:space="0" w:color="auto"/>
          </w:divBdr>
        </w:div>
      </w:divsChild>
    </w:div>
    <w:div w:id="1764689538">
      <w:marLeft w:val="0"/>
      <w:marRight w:val="0"/>
      <w:marTop w:val="0"/>
      <w:marBottom w:val="0"/>
      <w:divBdr>
        <w:top w:val="none" w:sz="0" w:space="0" w:color="auto"/>
        <w:left w:val="none" w:sz="0" w:space="0" w:color="auto"/>
        <w:bottom w:val="none" w:sz="0" w:space="0" w:color="auto"/>
        <w:right w:val="none" w:sz="0" w:space="0" w:color="auto"/>
      </w:divBdr>
      <w:divsChild>
        <w:div w:id="1764689579">
          <w:marLeft w:val="0"/>
          <w:marRight w:val="0"/>
          <w:marTop w:val="0"/>
          <w:marBottom w:val="0"/>
          <w:divBdr>
            <w:top w:val="none" w:sz="0" w:space="0" w:color="auto"/>
            <w:left w:val="none" w:sz="0" w:space="0" w:color="auto"/>
            <w:bottom w:val="none" w:sz="0" w:space="0" w:color="auto"/>
            <w:right w:val="none" w:sz="0" w:space="0" w:color="auto"/>
          </w:divBdr>
          <w:divsChild>
            <w:div w:id="1764689114">
              <w:marLeft w:val="0"/>
              <w:marRight w:val="0"/>
              <w:marTop w:val="0"/>
              <w:marBottom w:val="0"/>
              <w:divBdr>
                <w:top w:val="none" w:sz="0" w:space="0" w:color="auto"/>
                <w:left w:val="none" w:sz="0" w:space="0" w:color="auto"/>
                <w:bottom w:val="none" w:sz="0" w:space="0" w:color="auto"/>
                <w:right w:val="none" w:sz="0" w:space="0" w:color="auto"/>
              </w:divBdr>
            </w:div>
            <w:div w:id="1764689409">
              <w:marLeft w:val="0"/>
              <w:marRight w:val="0"/>
              <w:marTop w:val="0"/>
              <w:marBottom w:val="0"/>
              <w:divBdr>
                <w:top w:val="none" w:sz="0" w:space="0" w:color="auto"/>
                <w:left w:val="none" w:sz="0" w:space="0" w:color="auto"/>
                <w:bottom w:val="none" w:sz="0" w:space="0" w:color="auto"/>
                <w:right w:val="none" w:sz="0" w:space="0" w:color="auto"/>
              </w:divBdr>
            </w:div>
            <w:div w:id="1764689804">
              <w:marLeft w:val="0"/>
              <w:marRight w:val="0"/>
              <w:marTop w:val="0"/>
              <w:marBottom w:val="0"/>
              <w:divBdr>
                <w:top w:val="none" w:sz="0" w:space="0" w:color="auto"/>
                <w:left w:val="none" w:sz="0" w:space="0" w:color="auto"/>
                <w:bottom w:val="none" w:sz="0" w:space="0" w:color="auto"/>
                <w:right w:val="none" w:sz="0" w:space="0" w:color="auto"/>
              </w:divBdr>
            </w:div>
            <w:div w:id="1764690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541">
      <w:marLeft w:val="0"/>
      <w:marRight w:val="0"/>
      <w:marTop w:val="0"/>
      <w:marBottom w:val="0"/>
      <w:divBdr>
        <w:top w:val="none" w:sz="0" w:space="0" w:color="auto"/>
        <w:left w:val="none" w:sz="0" w:space="0" w:color="auto"/>
        <w:bottom w:val="none" w:sz="0" w:space="0" w:color="auto"/>
        <w:right w:val="none" w:sz="0" w:space="0" w:color="auto"/>
      </w:divBdr>
      <w:divsChild>
        <w:div w:id="1764690167">
          <w:marLeft w:val="0"/>
          <w:marRight w:val="0"/>
          <w:marTop w:val="0"/>
          <w:marBottom w:val="0"/>
          <w:divBdr>
            <w:top w:val="none" w:sz="0" w:space="0" w:color="auto"/>
            <w:left w:val="none" w:sz="0" w:space="0" w:color="auto"/>
            <w:bottom w:val="none" w:sz="0" w:space="0" w:color="auto"/>
            <w:right w:val="none" w:sz="0" w:space="0" w:color="auto"/>
          </w:divBdr>
          <w:divsChild>
            <w:div w:id="1764689283">
              <w:marLeft w:val="0"/>
              <w:marRight w:val="0"/>
              <w:marTop w:val="0"/>
              <w:marBottom w:val="0"/>
              <w:divBdr>
                <w:top w:val="none" w:sz="0" w:space="0" w:color="auto"/>
                <w:left w:val="none" w:sz="0" w:space="0" w:color="auto"/>
                <w:bottom w:val="none" w:sz="0" w:space="0" w:color="auto"/>
                <w:right w:val="none" w:sz="0" w:space="0" w:color="auto"/>
              </w:divBdr>
            </w:div>
            <w:div w:id="1764689364">
              <w:marLeft w:val="0"/>
              <w:marRight w:val="0"/>
              <w:marTop w:val="0"/>
              <w:marBottom w:val="0"/>
              <w:divBdr>
                <w:top w:val="none" w:sz="0" w:space="0" w:color="auto"/>
                <w:left w:val="none" w:sz="0" w:space="0" w:color="auto"/>
                <w:bottom w:val="none" w:sz="0" w:space="0" w:color="auto"/>
                <w:right w:val="none" w:sz="0" w:space="0" w:color="auto"/>
              </w:divBdr>
            </w:div>
            <w:div w:id="1764690275">
              <w:marLeft w:val="0"/>
              <w:marRight w:val="0"/>
              <w:marTop w:val="0"/>
              <w:marBottom w:val="0"/>
              <w:divBdr>
                <w:top w:val="none" w:sz="0" w:space="0" w:color="auto"/>
                <w:left w:val="none" w:sz="0" w:space="0" w:color="auto"/>
                <w:bottom w:val="none" w:sz="0" w:space="0" w:color="auto"/>
                <w:right w:val="none" w:sz="0" w:space="0" w:color="auto"/>
              </w:divBdr>
            </w:div>
            <w:div w:id="1764690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547">
      <w:marLeft w:val="0"/>
      <w:marRight w:val="0"/>
      <w:marTop w:val="0"/>
      <w:marBottom w:val="0"/>
      <w:divBdr>
        <w:top w:val="none" w:sz="0" w:space="0" w:color="auto"/>
        <w:left w:val="none" w:sz="0" w:space="0" w:color="auto"/>
        <w:bottom w:val="none" w:sz="0" w:space="0" w:color="auto"/>
        <w:right w:val="none" w:sz="0" w:space="0" w:color="auto"/>
      </w:divBdr>
      <w:divsChild>
        <w:div w:id="1764689115">
          <w:marLeft w:val="0"/>
          <w:marRight w:val="0"/>
          <w:marTop w:val="0"/>
          <w:marBottom w:val="0"/>
          <w:divBdr>
            <w:top w:val="none" w:sz="0" w:space="0" w:color="auto"/>
            <w:left w:val="none" w:sz="0" w:space="0" w:color="auto"/>
            <w:bottom w:val="none" w:sz="0" w:space="0" w:color="auto"/>
            <w:right w:val="none" w:sz="0" w:space="0" w:color="auto"/>
          </w:divBdr>
        </w:div>
      </w:divsChild>
    </w:div>
    <w:div w:id="1764689550">
      <w:marLeft w:val="0"/>
      <w:marRight w:val="0"/>
      <w:marTop w:val="0"/>
      <w:marBottom w:val="0"/>
      <w:divBdr>
        <w:top w:val="none" w:sz="0" w:space="0" w:color="auto"/>
        <w:left w:val="none" w:sz="0" w:space="0" w:color="auto"/>
        <w:bottom w:val="none" w:sz="0" w:space="0" w:color="auto"/>
        <w:right w:val="none" w:sz="0" w:space="0" w:color="auto"/>
      </w:divBdr>
    </w:div>
    <w:div w:id="1764689561">
      <w:marLeft w:val="0"/>
      <w:marRight w:val="0"/>
      <w:marTop w:val="0"/>
      <w:marBottom w:val="0"/>
      <w:divBdr>
        <w:top w:val="none" w:sz="0" w:space="0" w:color="auto"/>
        <w:left w:val="none" w:sz="0" w:space="0" w:color="auto"/>
        <w:bottom w:val="none" w:sz="0" w:space="0" w:color="auto"/>
        <w:right w:val="none" w:sz="0" w:space="0" w:color="auto"/>
      </w:divBdr>
    </w:div>
    <w:div w:id="1764689567">
      <w:marLeft w:val="0"/>
      <w:marRight w:val="0"/>
      <w:marTop w:val="0"/>
      <w:marBottom w:val="0"/>
      <w:divBdr>
        <w:top w:val="none" w:sz="0" w:space="0" w:color="auto"/>
        <w:left w:val="none" w:sz="0" w:space="0" w:color="auto"/>
        <w:bottom w:val="none" w:sz="0" w:space="0" w:color="auto"/>
        <w:right w:val="none" w:sz="0" w:space="0" w:color="auto"/>
      </w:divBdr>
    </w:div>
    <w:div w:id="1764689568">
      <w:marLeft w:val="0"/>
      <w:marRight w:val="0"/>
      <w:marTop w:val="0"/>
      <w:marBottom w:val="0"/>
      <w:divBdr>
        <w:top w:val="none" w:sz="0" w:space="0" w:color="auto"/>
        <w:left w:val="none" w:sz="0" w:space="0" w:color="auto"/>
        <w:bottom w:val="none" w:sz="0" w:space="0" w:color="auto"/>
        <w:right w:val="none" w:sz="0" w:space="0" w:color="auto"/>
      </w:divBdr>
      <w:divsChild>
        <w:div w:id="1764689818">
          <w:marLeft w:val="0"/>
          <w:marRight w:val="0"/>
          <w:marTop w:val="0"/>
          <w:marBottom w:val="0"/>
          <w:divBdr>
            <w:top w:val="none" w:sz="0" w:space="0" w:color="auto"/>
            <w:left w:val="none" w:sz="0" w:space="0" w:color="auto"/>
            <w:bottom w:val="none" w:sz="0" w:space="0" w:color="auto"/>
            <w:right w:val="none" w:sz="0" w:space="0" w:color="auto"/>
          </w:divBdr>
          <w:divsChild>
            <w:div w:id="1764689051">
              <w:marLeft w:val="0"/>
              <w:marRight w:val="0"/>
              <w:marTop w:val="0"/>
              <w:marBottom w:val="0"/>
              <w:divBdr>
                <w:top w:val="none" w:sz="0" w:space="0" w:color="auto"/>
                <w:left w:val="none" w:sz="0" w:space="0" w:color="auto"/>
                <w:bottom w:val="none" w:sz="0" w:space="0" w:color="auto"/>
                <w:right w:val="none" w:sz="0" w:space="0" w:color="auto"/>
              </w:divBdr>
            </w:div>
            <w:div w:id="1764689054">
              <w:marLeft w:val="0"/>
              <w:marRight w:val="0"/>
              <w:marTop w:val="0"/>
              <w:marBottom w:val="0"/>
              <w:divBdr>
                <w:top w:val="none" w:sz="0" w:space="0" w:color="auto"/>
                <w:left w:val="none" w:sz="0" w:space="0" w:color="auto"/>
                <w:bottom w:val="none" w:sz="0" w:space="0" w:color="auto"/>
                <w:right w:val="none" w:sz="0" w:space="0" w:color="auto"/>
              </w:divBdr>
            </w:div>
            <w:div w:id="1764689162">
              <w:marLeft w:val="0"/>
              <w:marRight w:val="0"/>
              <w:marTop w:val="0"/>
              <w:marBottom w:val="0"/>
              <w:divBdr>
                <w:top w:val="none" w:sz="0" w:space="0" w:color="auto"/>
                <w:left w:val="none" w:sz="0" w:space="0" w:color="auto"/>
                <w:bottom w:val="none" w:sz="0" w:space="0" w:color="auto"/>
                <w:right w:val="none" w:sz="0" w:space="0" w:color="auto"/>
              </w:divBdr>
            </w:div>
            <w:div w:id="1764690269">
              <w:marLeft w:val="0"/>
              <w:marRight w:val="0"/>
              <w:marTop w:val="0"/>
              <w:marBottom w:val="0"/>
              <w:divBdr>
                <w:top w:val="none" w:sz="0" w:space="0" w:color="auto"/>
                <w:left w:val="none" w:sz="0" w:space="0" w:color="auto"/>
                <w:bottom w:val="none" w:sz="0" w:space="0" w:color="auto"/>
                <w:right w:val="none" w:sz="0" w:space="0" w:color="auto"/>
              </w:divBdr>
            </w:div>
            <w:div w:id="1764690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569">
      <w:marLeft w:val="0"/>
      <w:marRight w:val="0"/>
      <w:marTop w:val="0"/>
      <w:marBottom w:val="0"/>
      <w:divBdr>
        <w:top w:val="none" w:sz="0" w:space="0" w:color="auto"/>
        <w:left w:val="none" w:sz="0" w:space="0" w:color="auto"/>
        <w:bottom w:val="none" w:sz="0" w:space="0" w:color="auto"/>
        <w:right w:val="none" w:sz="0" w:space="0" w:color="auto"/>
      </w:divBdr>
    </w:div>
    <w:div w:id="1764689570">
      <w:marLeft w:val="0"/>
      <w:marRight w:val="0"/>
      <w:marTop w:val="0"/>
      <w:marBottom w:val="0"/>
      <w:divBdr>
        <w:top w:val="none" w:sz="0" w:space="0" w:color="auto"/>
        <w:left w:val="none" w:sz="0" w:space="0" w:color="auto"/>
        <w:bottom w:val="none" w:sz="0" w:space="0" w:color="auto"/>
        <w:right w:val="none" w:sz="0" w:space="0" w:color="auto"/>
      </w:divBdr>
    </w:div>
    <w:div w:id="1764689573">
      <w:marLeft w:val="0"/>
      <w:marRight w:val="0"/>
      <w:marTop w:val="0"/>
      <w:marBottom w:val="0"/>
      <w:divBdr>
        <w:top w:val="none" w:sz="0" w:space="0" w:color="auto"/>
        <w:left w:val="none" w:sz="0" w:space="0" w:color="auto"/>
        <w:bottom w:val="none" w:sz="0" w:space="0" w:color="auto"/>
        <w:right w:val="none" w:sz="0" w:space="0" w:color="auto"/>
      </w:divBdr>
      <w:divsChild>
        <w:div w:id="1764689892">
          <w:marLeft w:val="0"/>
          <w:marRight w:val="0"/>
          <w:marTop w:val="0"/>
          <w:marBottom w:val="0"/>
          <w:divBdr>
            <w:top w:val="none" w:sz="0" w:space="0" w:color="auto"/>
            <w:left w:val="none" w:sz="0" w:space="0" w:color="auto"/>
            <w:bottom w:val="none" w:sz="0" w:space="0" w:color="auto"/>
            <w:right w:val="none" w:sz="0" w:space="0" w:color="auto"/>
          </w:divBdr>
          <w:divsChild>
            <w:div w:id="1764689149">
              <w:marLeft w:val="0"/>
              <w:marRight w:val="0"/>
              <w:marTop w:val="0"/>
              <w:marBottom w:val="0"/>
              <w:divBdr>
                <w:top w:val="none" w:sz="0" w:space="0" w:color="auto"/>
                <w:left w:val="none" w:sz="0" w:space="0" w:color="auto"/>
                <w:bottom w:val="none" w:sz="0" w:space="0" w:color="auto"/>
                <w:right w:val="none" w:sz="0" w:space="0" w:color="auto"/>
              </w:divBdr>
            </w:div>
            <w:div w:id="1764689342">
              <w:marLeft w:val="0"/>
              <w:marRight w:val="0"/>
              <w:marTop w:val="0"/>
              <w:marBottom w:val="0"/>
              <w:divBdr>
                <w:top w:val="none" w:sz="0" w:space="0" w:color="auto"/>
                <w:left w:val="none" w:sz="0" w:space="0" w:color="auto"/>
                <w:bottom w:val="none" w:sz="0" w:space="0" w:color="auto"/>
                <w:right w:val="none" w:sz="0" w:space="0" w:color="auto"/>
              </w:divBdr>
            </w:div>
            <w:div w:id="1764689382">
              <w:marLeft w:val="0"/>
              <w:marRight w:val="0"/>
              <w:marTop w:val="0"/>
              <w:marBottom w:val="0"/>
              <w:divBdr>
                <w:top w:val="none" w:sz="0" w:space="0" w:color="auto"/>
                <w:left w:val="none" w:sz="0" w:space="0" w:color="auto"/>
                <w:bottom w:val="none" w:sz="0" w:space="0" w:color="auto"/>
                <w:right w:val="none" w:sz="0" w:space="0" w:color="auto"/>
              </w:divBdr>
            </w:div>
            <w:div w:id="1764690257">
              <w:marLeft w:val="0"/>
              <w:marRight w:val="0"/>
              <w:marTop w:val="0"/>
              <w:marBottom w:val="0"/>
              <w:divBdr>
                <w:top w:val="none" w:sz="0" w:space="0" w:color="auto"/>
                <w:left w:val="none" w:sz="0" w:space="0" w:color="auto"/>
                <w:bottom w:val="none" w:sz="0" w:space="0" w:color="auto"/>
                <w:right w:val="none" w:sz="0" w:space="0" w:color="auto"/>
              </w:divBdr>
            </w:div>
            <w:div w:id="1764690380">
              <w:marLeft w:val="0"/>
              <w:marRight w:val="0"/>
              <w:marTop w:val="0"/>
              <w:marBottom w:val="0"/>
              <w:divBdr>
                <w:top w:val="none" w:sz="0" w:space="0" w:color="auto"/>
                <w:left w:val="none" w:sz="0" w:space="0" w:color="auto"/>
                <w:bottom w:val="none" w:sz="0" w:space="0" w:color="auto"/>
                <w:right w:val="none" w:sz="0" w:space="0" w:color="auto"/>
              </w:divBdr>
            </w:div>
            <w:div w:id="176469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576">
      <w:marLeft w:val="0"/>
      <w:marRight w:val="0"/>
      <w:marTop w:val="0"/>
      <w:marBottom w:val="0"/>
      <w:divBdr>
        <w:top w:val="none" w:sz="0" w:space="0" w:color="auto"/>
        <w:left w:val="none" w:sz="0" w:space="0" w:color="auto"/>
        <w:bottom w:val="none" w:sz="0" w:space="0" w:color="auto"/>
        <w:right w:val="none" w:sz="0" w:space="0" w:color="auto"/>
      </w:divBdr>
      <w:divsChild>
        <w:div w:id="1764689602">
          <w:marLeft w:val="0"/>
          <w:marRight w:val="0"/>
          <w:marTop w:val="0"/>
          <w:marBottom w:val="0"/>
          <w:divBdr>
            <w:top w:val="none" w:sz="0" w:space="0" w:color="auto"/>
            <w:left w:val="none" w:sz="0" w:space="0" w:color="auto"/>
            <w:bottom w:val="none" w:sz="0" w:space="0" w:color="auto"/>
            <w:right w:val="none" w:sz="0" w:space="0" w:color="auto"/>
          </w:divBdr>
          <w:divsChild>
            <w:div w:id="1764689052">
              <w:marLeft w:val="0"/>
              <w:marRight w:val="0"/>
              <w:marTop w:val="0"/>
              <w:marBottom w:val="0"/>
              <w:divBdr>
                <w:top w:val="none" w:sz="0" w:space="0" w:color="auto"/>
                <w:left w:val="none" w:sz="0" w:space="0" w:color="auto"/>
                <w:bottom w:val="none" w:sz="0" w:space="0" w:color="auto"/>
                <w:right w:val="none" w:sz="0" w:space="0" w:color="auto"/>
              </w:divBdr>
            </w:div>
            <w:div w:id="1764689358">
              <w:marLeft w:val="0"/>
              <w:marRight w:val="0"/>
              <w:marTop w:val="0"/>
              <w:marBottom w:val="0"/>
              <w:divBdr>
                <w:top w:val="none" w:sz="0" w:space="0" w:color="auto"/>
                <w:left w:val="none" w:sz="0" w:space="0" w:color="auto"/>
                <w:bottom w:val="none" w:sz="0" w:space="0" w:color="auto"/>
                <w:right w:val="none" w:sz="0" w:space="0" w:color="auto"/>
              </w:divBdr>
            </w:div>
            <w:div w:id="1764689461">
              <w:marLeft w:val="0"/>
              <w:marRight w:val="0"/>
              <w:marTop w:val="0"/>
              <w:marBottom w:val="0"/>
              <w:divBdr>
                <w:top w:val="none" w:sz="0" w:space="0" w:color="auto"/>
                <w:left w:val="none" w:sz="0" w:space="0" w:color="auto"/>
                <w:bottom w:val="none" w:sz="0" w:space="0" w:color="auto"/>
                <w:right w:val="none" w:sz="0" w:space="0" w:color="auto"/>
              </w:divBdr>
            </w:div>
            <w:div w:id="1764689484">
              <w:marLeft w:val="0"/>
              <w:marRight w:val="0"/>
              <w:marTop w:val="0"/>
              <w:marBottom w:val="0"/>
              <w:divBdr>
                <w:top w:val="none" w:sz="0" w:space="0" w:color="auto"/>
                <w:left w:val="none" w:sz="0" w:space="0" w:color="auto"/>
                <w:bottom w:val="none" w:sz="0" w:space="0" w:color="auto"/>
                <w:right w:val="none" w:sz="0" w:space="0" w:color="auto"/>
              </w:divBdr>
            </w:div>
            <w:div w:id="1764689531">
              <w:marLeft w:val="0"/>
              <w:marRight w:val="0"/>
              <w:marTop w:val="0"/>
              <w:marBottom w:val="0"/>
              <w:divBdr>
                <w:top w:val="none" w:sz="0" w:space="0" w:color="auto"/>
                <w:left w:val="none" w:sz="0" w:space="0" w:color="auto"/>
                <w:bottom w:val="none" w:sz="0" w:space="0" w:color="auto"/>
                <w:right w:val="none" w:sz="0" w:space="0" w:color="auto"/>
              </w:divBdr>
            </w:div>
            <w:div w:id="1764689654">
              <w:marLeft w:val="0"/>
              <w:marRight w:val="0"/>
              <w:marTop w:val="0"/>
              <w:marBottom w:val="0"/>
              <w:divBdr>
                <w:top w:val="none" w:sz="0" w:space="0" w:color="auto"/>
                <w:left w:val="none" w:sz="0" w:space="0" w:color="auto"/>
                <w:bottom w:val="none" w:sz="0" w:space="0" w:color="auto"/>
                <w:right w:val="none" w:sz="0" w:space="0" w:color="auto"/>
              </w:divBdr>
            </w:div>
            <w:div w:id="1764689670">
              <w:marLeft w:val="0"/>
              <w:marRight w:val="0"/>
              <w:marTop w:val="0"/>
              <w:marBottom w:val="0"/>
              <w:divBdr>
                <w:top w:val="none" w:sz="0" w:space="0" w:color="auto"/>
                <w:left w:val="none" w:sz="0" w:space="0" w:color="auto"/>
                <w:bottom w:val="none" w:sz="0" w:space="0" w:color="auto"/>
                <w:right w:val="none" w:sz="0" w:space="0" w:color="auto"/>
              </w:divBdr>
            </w:div>
            <w:div w:id="1764690137">
              <w:marLeft w:val="0"/>
              <w:marRight w:val="0"/>
              <w:marTop w:val="0"/>
              <w:marBottom w:val="0"/>
              <w:divBdr>
                <w:top w:val="none" w:sz="0" w:space="0" w:color="auto"/>
                <w:left w:val="none" w:sz="0" w:space="0" w:color="auto"/>
                <w:bottom w:val="none" w:sz="0" w:space="0" w:color="auto"/>
                <w:right w:val="none" w:sz="0" w:space="0" w:color="auto"/>
              </w:divBdr>
            </w:div>
            <w:div w:id="1764690346">
              <w:marLeft w:val="0"/>
              <w:marRight w:val="0"/>
              <w:marTop w:val="0"/>
              <w:marBottom w:val="0"/>
              <w:divBdr>
                <w:top w:val="none" w:sz="0" w:space="0" w:color="auto"/>
                <w:left w:val="none" w:sz="0" w:space="0" w:color="auto"/>
                <w:bottom w:val="none" w:sz="0" w:space="0" w:color="auto"/>
                <w:right w:val="none" w:sz="0" w:space="0" w:color="auto"/>
              </w:divBdr>
            </w:div>
            <w:div w:id="1764690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578">
      <w:marLeft w:val="0"/>
      <w:marRight w:val="0"/>
      <w:marTop w:val="0"/>
      <w:marBottom w:val="0"/>
      <w:divBdr>
        <w:top w:val="none" w:sz="0" w:space="0" w:color="auto"/>
        <w:left w:val="none" w:sz="0" w:space="0" w:color="auto"/>
        <w:bottom w:val="none" w:sz="0" w:space="0" w:color="auto"/>
        <w:right w:val="none" w:sz="0" w:space="0" w:color="auto"/>
      </w:divBdr>
    </w:div>
    <w:div w:id="1764689580">
      <w:marLeft w:val="0"/>
      <w:marRight w:val="0"/>
      <w:marTop w:val="0"/>
      <w:marBottom w:val="0"/>
      <w:divBdr>
        <w:top w:val="none" w:sz="0" w:space="0" w:color="auto"/>
        <w:left w:val="none" w:sz="0" w:space="0" w:color="auto"/>
        <w:bottom w:val="none" w:sz="0" w:space="0" w:color="auto"/>
        <w:right w:val="none" w:sz="0" w:space="0" w:color="auto"/>
      </w:divBdr>
    </w:div>
    <w:div w:id="1764689581">
      <w:marLeft w:val="0"/>
      <w:marRight w:val="0"/>
      <w:marTop w:val="0"/>
      <w:marBottom w:val="0"/>
      <w:divBdr>
        <w:top w:val="none" w:sz="0" w:space="0" w:color="auto"/>
        <w:left w:val="none" w:sz="0" w:space="0" w:color="auto"/>
        <w:bottom w:val="none" w:sz="0" w:space="0" w:color="auto"/>
        <w:right w:val="none" w:sz="0" w:space="0" w:color="auto"/>
      </w:divBdr>
    </w:div>
    <w:div w:id="1764689584">
      <w:marLeft w:val="0"/>
      <w:marRight w:val="0"/>
      <w:marTop w:val="0"/>
      <w:marBottom w:val="0"/>
      <w:divBdr>
        <w:top w:val="none" w:sz="0" w:space="0" w:color="auto"/>
        <w:left w:val="none" w:sz="0" w:space="0" w:color="auto"/>
        <w:bottom w:val="none" w:sz="0" w:space="0" w:color="auto"/>
        <w:right w:val="none" w:sz="0" w:space="0" w:color="auto"/>
      </w:divBdr>
    </w:div>
    <w:div w:id="1764689586">
      <w:marLeft w:val="0"/>
      <w:marRight w:val="0"/>
      <w:marTop w:val="0"/>
      <w:marBottom w:val="0"/>
      <w:divBdr>
        <w:top w:val="none" w:sz="0" w:space="0" w:color="auto"/>
        <w:left w:val="none" w:sz="0" w:space="0" w:color="auto"/>
        <w:bottom w:val="none" w:sz="0" w:space="0" w:color="auto"/>
        <w:right w:val="none" w:sz="0" w:space="0" w:color="auto"/>
      </w:divBdr>
    </w:div>
    <w:div w:id="1764689589">
      <w:marLeft w:val="0"/>
      <w:marRight w:val="0"/>
      <w:marTop w:val="0"/>
      <w:marBottom w:val="0"/>
      <w:divBdr>
        <w:top w:val="none" w:sz="0" w:space="0" w:color="auto"/>
        <w:left w:val="none" w:sz="0" w:space="0" w:color="auto"/>
        <w:bottom w:val="none" w:sz="0" w:space="0" w:color="auto"/>
        <w:right w:val="none" w:sz="0" w:space="0" w:color="auto"/>
      </w:divBdr>
    </w:div>
    <w:div w:id="1764689593">
      <w:marLeft w:val="0"/>
      <w:marRight w:val="0"/>
      <w:marTop w:val="0"/>
      <w:marBottom w:val="0"/>
      <w:divBdr>
        <w:top w:val="none" w:sz="0" w:space="0" w:color="auto"/>
        <w:left w:val="none" w:sz="0" w:space="0" w:color="auto"/>
        <w:bottom w:val="none" w:sz="0" w:space="0" w:color="auto"/>
        <w:right w:val="none" w:sz="0" w:space="0" w:color="auto"/>
      </w:divBdr>
      <w:divsChild>
        <w:div w:id="1764689627">
          <w:marLeft w:val="0"/>
          <w:marRight w:val="0"/>
          <w:marTop w:val="0"/>
          <w:marBottom w:val="0"/>
          <w:divBdr>
            <w:top w:val="none" w:sz="0" w:space="0" w:color="auto"/>
            <w:left w:val="none" w:sz="0" w:space="0" w:color="auto"/>
            <w:bottom w:val="none" w:sz="0" w:space="0" w:color="auto"/>
            <w:right w:val="none" w:sz="0" w:space="0" w:color="auto"/>
          </w:divBdr>
          <w:divsChild>
            <w:div w:id="1764689374">
              <w:marLeft w:val="0"/>
              <w:marRight w:val="0"/>
              <w:marTop w:val="0"/>
              <w:marBottom w:val="0"/>
              <w:divBdr>
                <w:top w:val="none" w:sz="0" w:space="0" w:color="auto"/>
                <w:left w:val="none" w:sz="0" w:space="0" w:color="auto"/>
                <w:bottom w:val="none" w:sz="0" w:space="0" w:color="auto"/>
                <w:right w:val="none" w:sz="0" w:space="0" w:color="auto"/>
              </w:divBdr>
            </w:div>
            <w:div w:id="1764689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594">
      <w:marLeft w:val="0"/>
      <w:marRight w:val="0"/>
      <w:marTop w:val="0"/>
      <w:marBottom w:val="0"/>
      <w:divBdr>
        <w:top w:val="none" w:sz="0" w:space="0" w:color="auto"/>
        <w:left w:val="none" w:sz="0" w:space="0" w:color="auto"/>
        <w:bottom w:val="none" w:sz="0" w:space="0" w:color="auto"/>
        <w:right w:val="none" w:sz="0" w:space="0" w:color="auto"/>
      </w:divBdr>
    </w:div>
    <w:div w:id="1764689595">
      <w:marLeft w:val="0"/>
      <w:marRight w:val="0"/>
      <w:marTop w:val="0"/>
      <w:marBottom w:val="0"/>
      <w:divBdr>
        <w:top w:val="none" w:sz="0" w:space="0" w:color="auto"/>
        <w:left w:val="none" w:sz="0" w:space="0" w:color="auto"/>
        <w:bottom w:val="none" w:sz="0" w:space="0" w:color="auto"/>
        <w:right w:val="none" w:sz="0" w:space="0" w:color="auto"/>
      </w:divBdr>
      <w:divsChild>
        <w:div w:id="1764690487">
          <w:marLeft w:val="0"/>
          <w:marRight w:val="0"/>
          <w:marTop w:val="0"/>
          <w:marBottom w:val="0"/>
          <w:divBdr>
            <w:top w:val="none" w:sz="0" w:space="0" w:color="auto"/>
            <w:left w:val="none" w:sz="0" w:space="0" w:color="auto"/>
            <w:bottom w:val="none" w:sz="0" w:space="0" w:color="auto"/>
            <w:right w:val="none" w:sz="0" w:space="0" w:color="auto"/>
          </w:divBdr>
        </w:div>
      </w:divsChild>
    </w:div>
    <w:div w:id="1764689596">
      <w:marLeft w:val="0"/>
      <w:marRight w:val="0"/>
      <w:marTop w:val="0"/>
      <w:marBottom w:val="0"/>
      <w:divBdr>
        <w:top w:val="none" w:sz="0" w:space="0" w:color="auto"/>
        <w:left w:val="none" w:sz="0" w:space="0" w:color="auto"/>
        <w:bottom w:val="none" w:sz="0" w:space="0" w:color="auto"/>
        <w:right w:val="none" w:sz="0" w:space="0" w:color="auto"/>
      </w:divBdr>
    </w:div>
    <w:div w:id="1764689599">
      <w:marLeft w:val="0"/>
      <w:marRight w:val="0"/>
      <w:marTop w:val="0"/>
      <w:marBottom w:val="0"/>
      <w:divBdr>
        <w:top w:val="none" w:sz="0" w:space="0" w:color="auto"/>
        <w:left w:val="none" w:sz="0" w:space="0" w:color="auto"/>
        <w:bottom w:val="none" w:sz="0" w:space="0" w:color="auto"/>
        <w:right w:val="none" w:sz="0" w:space="0" w:color="auto"/>
      </w:divBdr>
    </w:div>
    <w:div w:id="1764689601">
      <w:marLeft w:val="0"/>
      <w:marRight w:val="0"/>
      <w:marTop w:val="0"/>
      <w:marBottom w:val="0"/>
      <w:divBdr>
        <w:top w:val="none" w:sz="0" w:space="0" w:color="auto"/>
        <w:left w:val="none" w:sz="0" w:space="0" w:color="auto"/>
        <w:bottom w:val="none" w:sz="0" w:space="0" w:color="auto"/>
        <w:right w:val="none" w:sz="0" w:space="0" w:color="auto"/>
      </w:divBdr>
      <w:divsChild>
        <w:div w:id="1764689490">
          <w:marLeft w:val="0"/>
          <w:marRight w:val="0"/>
          <w:marTop w:val="0"/>
          <w:marBottom w:val="0"/>
          <w:divBdr>
            <w:top w:val="none" w:sz="0" w:space="0" w:color="auto"/>
            <w:left w:val="none" w:sz="0" w:space="0" w:color="auto"/>
            <w:bottom w:val="none" w:sz="0" w:space="0" w:color="auto"/>
            <w:right w:val="none" w:sz="0" w:space="0" w:color="auto"/>
          </w:divBdr>
        </w:div>
      </w:divsChild>
    </w:div>
    <w:div w:id="1764689603">
      <w:marLeft w:val="0"/>
      <w:marRight w:val="0"/>
      <w:marTop w:val="0"/>
      <w:marBottom w:val="0"/>
      <w:divBdr>
        <w:top w:val="none" w:sz="0" w:space="0" w:color="auto"/>
        <w:left w:val="none" w:sz="0" w:space="0" w:color="auto"/>
        <w:bottom w:val="none" w:sz="0" w:space="0" w:color="auto"/>
        <w:right w:val="none" w:sz="0" w:space="0" w:color="auto"/>
      </w:divBdr>
    </w:div>
    <w:div w:id="1764689607">
      <w:marLeft w:val="0"/>
      <w:marRight w:val="0"/>
      <w:marTop w:val="0"/>
      <w:marBottom w:val="0"/>
      <w:divBdr>
        <w:top w:val="none" w:sz="0" w:space="0" w:color="auto"/>
        <w:left w:val="none" w:sz="0" w:space="0" w:color="auto"/>
        <w:bottom w:val="none" w:sz="0" w:space="0" w:color="auto"/>
        <w:right w:val="none" w:sz="0" w:space="0" w:color="auto"/>
      </w:divBdr>
    </w:div>
    <w:div w:id="1764689613">
      <w:marLeft w:val="0"/>
      <w:marRight w:val="0"/>
      <w:marTop w:val="0"/>
      <w:marBottom w:val="0"/>
      <w:divBdr>
        <w:top w:val="none" w:sz="0" w:space="0" w:color="auto"/>
        <w:left w:val="none" w:sz="0" w:space="0" w:color="auto"/>
        <w:bottom w:val="none" w:sz="0" w:space="0" w:color="auto"/>
        <w:right w:val="none" w:sz="0" w:space="0" w:color="auto"/>
      </w:divBdr>
    </w:div>
    <w:div w:id="1764689617">
      <w:marLeft w:val="0"/>
      <w:marRight w:val="0"/>
      <w:marTop w:val="0"/>
      <w:marBottom w:val="0"/>
      <w:divBdr>
        <w:top w:val="none" w:sz="0" w:space="0" w:color="auto"/>
        <w:left w:val="none" w:sz="0" w:space="0" w:color="auto"/>
        <w:bottom w:val="none" w:sz="0" w:space="0" w:color="auto"/>
        <w:right w:val="none" w:sz="0" w:space="0" w:color="auto"/>
      </w:divBdr>
    </w:div>
    <w:div w:id="1764689619">
      <w:marLeft w:val="0"/>
      <w:marRight w:val="0"/>
      <w:marTop w:val="0"/>
      <w:marBottom w:val="0"/>
      <w:divBdr>
        <w:top w:val="none" w:sz="0" w:space="0" w:color="auto"/>
        <w:left w:val="none" w:sz="0" w:space="0" w:color="auto"/>
        <w:bottom w:val="none" w:sz="0" w:space="0" w:color="auto"/>
        <w:right w:val="none" w:sz="0" w:space="0" w:color="auto"/>
      </w:divBdr>
      <w:divsChild>
        <w:div w:id="1764690529">
          <w:marLeft w:val="0"/>
          <w:marRight w:val="0"/>
          <w:marTop w:val="0"/>
          <w:marBottom w:val="0"/>
          <w:divBdr>
            <w:top w:val="none" w:sz="0" w:space="0" w:color="auto"/>
            <w:left w:val="none" w:sz="0" w:space="0" w:color="auto"/>
            <w:bottom w:val="none" w:sz="0" w:space="0" w:color="auto"/>
            <w:right w:val="none" w:sz="0" w:space="0" w:color="auto"/>
          </w:divBdr>
        </w:div>
      </w:divsChild>
    </w:div>
    <w:div w:id="1764689621">
      <w:marLeft w:val="0"/>
      <w:marRight w:val="0"/>
      <w:marTop w:val="0"/>
      <w:marBottom w:val="0"/>
      <w:divBdr>
        <w:top w:val="none" w:sz="0" w:space="0" w:color="auto"/>
        <w:left w:val="none" w:sz="0" w:space="0" w:color="auto"/>
        <w:bottom w:val="none" w:sz="0" w:space="0" w:color="auto"/>
        <w:right w:val="none" w:sz="0" w:space="0" w:color="auto"/>
      </w:divBdr>
      <w:divsChild>
        <w:div w:id="1764690047">
          <w:marLeft w:val="0"/>
          <w:marRight w:val="0"/>
          <w:marTop w:val="0"/>
          <w:marBottom w:val="0"/>
          <w:divBdr>
            <w:top w:val="none" w:sz="0" w:space="0" w:color="auto"/>
            <w:left w:val="none" w:sz="0" w:space="0" w:color="auto"/>
            <w:bottom w:val="none" w:sz="0" w:space="0" w:color="auto"/>
            <w:right w:val="none" w:sz="0" w:space="0" w:color="auto"/>
          </w:divBdr>
          <w:divsChild>
            <w:div w:id="1764689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623">
      <w:marLeft w:val="0"/>
      <w:marRight w:val="0"/>
      <w:marTop w:val="0"/>
      <w:marBottom w:val="0"/>
      <w:divBdr>
        <w:top w:val="none" w:sz="0" w:space="0" w:color="auto"/>
        <w:left w:val="none" w:sz="0" w:space="0" w:color="auto"/>
        <w:bottom w:val="none" w:sz="0" w:space="0" w:color="auto"/>
        <w:right w:val="none" w:sz="0" w:space="0" w:color="auto"/>
      </w:divBdr>
      <w:divsChild>
        <w:div w:id="1764689227">
          <w:marLeft w:val="0"/>
          <w:marRight w:val="0"/>
          <w:marTop w:val="0"/>
          <w:marBottom w:val="0"/>
          <w:divBdr>
            <w:top w:val="none" w:sz="0" w:space="0" w:color="auto"/>
            <w:left w:val="none" w:sz="0" w:space="0" w:color="auto"/>
            <w:bottom w:val="none" w:sz="0" w:space="0" w:color="auto"/>
            <w:right w:val="none" w:sz="0" w:space="0" w:color="auto"/>
          </w:divBdr>
          <w:divsChild>
            <w:div w:id="1764689071">
              <w:marLeft w:val="0"/>
              <w:marRight w:val="0"/>
              <w:marTop w:val="0"/>
              <w:marBottom w:val="0"/>
              <w:divBdr>
                <w:top w:val="none" w:sz="0" w:space="0" w:color="auto"/>
                <w:left w:val="none" w:sz="0" w:space="0" w:color="auto"/>
                <w:bottom w:val="none" w:sz="0" w:space="0" w:color="auto"/>
                <w:right w:val="none" w:sz="0" w:space="0" w:color="auto"/>
              </w:divBdr>
            </w:div>
            <w:div w:id="1764689458">
              <w:marLeft w:val="0"/>
              <w:marRight w:val="0"/>
              <w:marTop w:val="0"/>
              <w:marBottom w:val="0"/>
              <w:divBdr>
                <w:top w:val="none" w:sz="0" w:space="0" w:color="auto"/>
                <w:left w:val="none" w:sz="0" w:space="0" w:color="auto"/>
                <w:bottom w:val="none" w:sz="0" w:space="0" w:color="auto"/>
                <w:right w:val="none" w:sz="0" w:space="0" w:color="auto"/>
              </w:divBdr>
            </w:div>
            <w:div w:id="1764689951">
              <w:marLeft w:val="0"/>
              <w:marRight w:val="0"/>
              <w:marTop w:val="0"/>
              <w:marBottom w:val="0"/>
              <w:divBdr>
                <w:top w:val="none" w:sz="0" w:space="0" w:color="auto"/>
                <w:left w:val="none" w:sz="0" w:space="0" w:color="auto"/>
                <w:bottom w:val="none" w:sz="0" w:space="0" w:color="auto"/>
                <w:right w:val="none" w:sz="0" w:space="0" w:color="auto"/>
              </w:divBdr>
            </w:div>
            <w:div w:id="1764690091">
              <w:marLeft w:val="0"/>
              <w:marRight w:val="0"/>
              <w:marTop w:val="0"/>
              <w:marBottom w:val="0"/>
              <w:divBdr>
                <w:top w:val="none" w:sz="0" w:space="0" w:color="auto"/>
                <w:left w:val="none" w:sz="0" w:space="0" w:color="auto"/>
                <w:bottom w:val="none" w:sz="0" w:space="0" w:color="auto"/>
                <w:right w:val="none" w:sz="0" w:space="0" w:color="auto"/>
              </w:divBdr>
            </w:div>
            <w:div w:id="1764690194">
              <w:marLeft w:val="0"/>
              <w:marRight w:val="0"/>
              <w:marTop w:val="0"/>
              <w:marBottom w:val="0"/>
              <w:divBdr>
                <w:top w:val="none" w:sz="0" w:space="0" w:color="auto"/>
                <w:left w:val="none" w:sz="0" w:space="0" w:color="auto"/>
                <w:bottom w:val="none" w:sz="0" w:space="0" w:color="auto"/>
                <w:right w:val="none" w:sz="0" w:space="0" w:color="auto"/>
              </w:divBdr>
            </w:div>
            <w:div w:id="1764690266">
              <w:marLeft w:val="0"/>
              <w:marRight w:val="0"/>
              <w:marTop w:val="0"/>
              <w:marBottom w:val="0"/>
              <w:divBdr>
                <w:top w:val="none" w:sz="0" w:space="0" w:color="auto"/>
                <w:left w:val="none" w:sz="0" w:space="0" w:color="auto"/>
                <w:bottom w:val="none" w:sz="0" w:space="0" w:color="auto"/>
                <w:right w:val="none" w:sz="0" w:space="0" w:color="auto"/>
              </w:divBdr>
            </w:div>
            <w:div w:id="1764690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625">
      <w:marLeft w:val="0"/>
      <w:marRight w:val="0"/>
      <w:marTop w:val="0"/>
      <w:marBottom w:val="0"/>
      <w:divBdr>
        <w:top w:val="none" w:sz="0" w:space="0" w:color="auto"/>
        <w:left w:val="none" w:sz="0" w:space="0" w:color="auto"/>
        <w:bottom w:val="none" w:sz="0" w:space="0" w:color="auto"/>
        <w:right w:val="none" w:sz="0" w:space="0" w:color="auto"/>
      </w:divBdr>
    </w:div>
    <w:div w:id="1764689630">
      <w:marLeft w:val="0"/>
      <w:marRight w:val="0"/>
      <w:marTop w:val="0"/>
      <w:marBottom w:val="0"/>
      <w:divBdr>
        <w:top w:val="none" w:sz="0" w:space="0" w:color="auto"/>
        <w:left w:val="none" w:sz="0" w:space="0" w:color="auto"/>
        <w:bottom w:val="none" w:sz="0" w:space="0" w:color="auto"/>
        <w:right w:val="none" w:sz="0" w:space="0" w:color="auto"/>
      </w:divBdr>
    </w:div>
    <w:div w:id="1764689633">
      <w:marLeft w:val="0"/>
      <w:marRight w:val="0"/>
      <w:marTop w:val="0"/>
      <w:marBottom w:val="0"/>
      <w:divBdr>
        <w:top w:val="none" w:sz="0" w:space="0" w:color="auto"/>
        <w:left w:val="none" w:sz="0" w:space="0" w:color="auto"/>
        <w:bottom w:val="none" w:sz="0" w:space="0" w:color="auto"/>
        <w:right w:val="none" w:sz="0" w:space="0" w:color="auto"/>
      </w:divBdr>
      <w:divsChild>
        <w:div w:id="1764690319">
          <w:marLeft w:val="0"/>
          <w:marRight w:val="0"/>
          <w:marTop w:val="0"/>
          <w:marBottom w:val="0"/>
          <w:divBdr>
            <w:top w:val="none" w:sz="0" w:space="0" w:color="auto"/>
            <w:left w:val="none" w:sz="0" w:space="0" w:color="auto"/>
            <w:bottom w:val="none" w:sz="0" w:space="0" w:color="auto"/>
            <w:right w:val="none" w:sz="0" w:space="0" w:color="auto"/>
          </w:divBdr>
        </w:div>
      </w:divsChild>
    </w:div>
    <w:div w:id="1764689635">
      <w:marLeft w:val="0"/>
      <w:marRight w:val="0"/>
      <w:marTop w:val="0"/>
      <w:marBottom w:val="0"/>
      <w:divBdr>
        <w:top w:val="none" w:sz="0" w:space="0" w:color="auto"/>
        <w:left w:val="none" w:sz="0" w:space="0" w:color="auto"/>
        <w:bottom w:val="none" w:sz="0" w:space="0" w:color="auto"/>
        <w:right w:val="none" w:sz="0" w:space="0" w:color="auto"/>
      </w:divBdr>
    </w:div>
    <w:div w:id="1764689636">
      <w:marLeft w:val="0"/>
      <w:marRight w:val="0"/>
      <w:marTop w:val="0"/>
      <w:marBottom w:val="0"/>
      <w:divBdr>
        <w:top w:val="none" w:sz="0" w:space="0" w:color="auto"/>
        <w:left w:val="none" w:sz="0" w:space="0" w:color="auto"/>
        <w:bottom w:val="none" w:sz="0" w:space="0" w:color="auto"/>
        <w:right w:val="none" w:sz="0" w:space="0" w:color="auto"/>
      </w:divBdr>
      <w:divsChild>
        <w:div w:id="1764689888">
          <w:marLeft w:val="0"/>
          <w:marRight w:val="0"/>
          <w:marTop w:val="0"/>
          <w:marBottom w:val="0"/>
          <w:divBdr>
            <w:top w:val="none" w:sz="0" w:space="0" w:color="auto"/>
            <w:left w:val="none" w:sz="0" w:space="0" w:color="auto"/>
            <w:bottom w:val="none" w:sz="0" w:space="0" w:color="auto"/>
            <w:right w:val="none" w:sz="0" w:space="0" w:color="auto"/>
          </w:divBdr>
          <w:divsChild>
            <w:div w:id="1764689253">
              <w:marLeft w:val="0"/>
              <w:marRight w:val="0"/>
              <w:marTop w:val="0"/>
              <w:marBottom w:val="0"/>
              <w:divBdr>
                <w:top w:val="none" w:sz="0" w:space="0" w:color="auto"/>
                <w:left w:val="none" w:sz="0" w:space="0" w:color="auto"/>
                <w:bottom w:val="none" w:sz="0" w:space="0" w:color="auto"/>
                <w:right w:val="none" w:sz="0" w:space="0" w:color="auto"/>
              </w:divBdr>
            </w:div>
            <w:div w:id="1764690240">
              <w:marLeft w:val="0"/>
              <w:marRight w:val="0"/>
              <w:marTop w:val="0"/>
              <w:marBottom w:val="0"/>
              <w:divBdr>
                <w:top w:val="none" w:sz="0" w:space="0" w:color="auto"/>
                <w:left w:val="none" w:sz="0" w:space="0" w:color="auto"/>
                <w:bottom w:val="none" w:sz="0" w:space="0" w:color="auto"/>
                <w:right w:val="none" w:sz="0" w:space="0" w:color="auto"/>
              </w:divBdr>
            </w:div>
            <w:div w:id="1764690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640">
      <w:marLeft w:val="0"/>
      <w:marRight w:val="0"/>
      <w:marTop w:val="0"/>
      <w:marBottom w:val="0"/>
      <w:divBdr>
        <w:top w:val="none" w:sz="0" w:space="0" w:color="auto"/>
        <w:left w:val="none" w:sz="0" w:space="0" w:color="auto"/>
        <w:bottom w:val="none" w:sz="0" w:space="0" w:color="auto"/>
        <w:right w:val="none" w:sz="0" w:space="0" w:color="auto"/>
      </w:divBdr>
    </w:div>
    <w:div w:id="1764689641">
      <w:marLeft w:val="0"/>
      <w:marRight w:val="0"/>
      <w:marTop w:val="0"/>
      <w:marBottom w:val="0"/>
      <w:divBdr>
        <w:top w:val="none" w:sz="0" w:space="0" w:color="auto"/>
        <w:left w:val="none" w:sz="0" w:space="0" w:color="auto"/>
        <w:bottom w:val="none" w:sz="0" w:space="0" w:color="auto"/>
        <w:right w:val="none" w:sz="0" w:space="0" w:color="auto"/>
      </w:divBdr>
      <w:divsChild>
        <w:div w:id="1764690145">
          <w:marLeft w:val="0"/>
          <w:marRight w:val="0"/>
          <w:marTop w:val="0"/>
          <w:marBottom w:val="0"/>
          <w:divBdr>
            <w:top w:val="none" w:sz="0" w:space="0" w:color="auto"/>
            <w:left w:val="none" w:sz="0" w:space="0" w:color="auto"/>
            <w:bottom w:val="none" w:sz="0" w:space="0" w:color="auto"/>
            <w:right w:val="none" w:sz="0" w:space="0" w:color="auto"/>
          </w:divBdr>
        </w:div>
      </w:divsChild>
    </w:div>
    <w:div w:id="1764689642">
      <w:marLeft w:val="0"/>
      <w:marRight w:val="0"/>
      <w:marTop w:val="0"/>
      <w:marBottom w:val="0"/>
      <w:divBdr>
        <w:top w:val="none" w:sz="0" w:space="0" w:color="auto"/>
        <w:left w:val="none" w:sz="0" w:space="0" w:color="auto"/>
        <w:bottom w:val="none" w:sz="0" w:space="0" w:color="auto"/>
        <w:right w:val="none" w:sz="0" w:space="0" w:color="auto"/>
      </w:divBdr>
    </w:div>
    <w:div w:id="1764689643">
      <w:marLeft w:val="0"/>
      <w:marRight w:val="0"/>
      <w:marTop w:val="0"/>
      <w:marBottom w:val="0"/>
      <w:divBdr>
        <w:top w:val="none" w:sz="0" w:space="0" w:color="auto"/>
        <w:left w:val="none" w:sz="0" w:space="0" w:color="auto"/>
        <w:bottom w:val="none" w:sz="0" w:space="0" w:color="auto"/>
        <w:right w:val="none" w:sz="0" w:space="0" w:color="auto"/>
      </w:divBdr>
      <w:divsChild>
        <w:div w:id="1764690314">
          <w:marLeft w:val="0"/>
          <w:marRight w:val="0"/>
          <w:marTop w:val="0"/>
          <w:marBottom w:val="0"/>
          <w:divBdr>
            <w:top w:val="none" w:sz="0" w:space="0" w:color="auto"/>
            <w:left w:val="none" w:sz="0" w:space="0" w:color="auto"/>
            <w:bottom w:val="none" w:sz="0" w:space="0" w:color="auto"/>
            <w:right w:val="none" w:sz="0" w:space="0" w:color="auto"/>
          </w:divBdr>
          <w:divsChild>
            <w:div w:id="1764689689">
              <w:marLeft w:val="0"/>
              <w:marRight w:val="0"/>
              <w:marTop w:val="0"/>
              <w:marBottom w:val="0"/>
              <w:divBdr>
                <w:top w:val="none" w:sz="0" w:space="0" w:color="auto"/>
                <w:left w:val="none" w:sz="0" w:space="0" w:color="auto"/>
                <w:bottom w:val="none" w:sz="0" w:space="0" w:color="auto"/>
                <w:right w:val="none" w:sz="0" w:space="0" w:color="auto"/>
              </w:divBdr>
            </w:div>
            <w:div w:id="1764689763">
              <w:marLeft w:val="0"/>
              <w:marRight w:val="0"/>
              <w:marTop w:val="0"/>
              <w:marBottom w:val="0"/>
              <w:divBdr>
                <w:top w:val="none" w:sz="0" w:space="0" w:color="auto"/>
                <w:left w:val="none" w:sz="0" w:space="0" w:color="auto"/>
                <w:bottom w:val="none" w:sz="0" w:space="0" w:color="auto"/>
                <w:right w:val="none" w:sz="0" w:space="0" w:color="auto"/>
              </w:divBdr>
            </w:div>
            <w:div w:id="1764690414">
              <w:marLeft w:val="0"/>
              <w:marRight w:val="0"/>
              <w:marTop w:val="0"/>
              <w:marBottom w:val="0"/>
              <w:divBdr>
                <w:top w:val="none" w:sz="0" w:space="0" w:color="auto"/>
                <w:left w:val="none" w:sz="0" w:space="0" w:color="auto"/>
                <w:bottom w:val="none" w:sz="0" w:space="0" w:color="auto"/>
                <w:right w:val="none" w:sz="0" w:space="0" w:color="auto"/>
              </w:divBdr>
            </w:div>
            <w:div w:id="1764690525">
              <w:marLeft w:val="0"/>
              <w:marRight w:val="0"/>
              <w:marTop w:val="0"/>
              <w:marBottom w:val="0"/>
              <w:divBdr>
                <w:top w:val="none" w:sz="0" w:space="0" w:color="auto"/>
                <w:left w:val="none" w:sz="0" w:space="0" w:color="auto"/>
                <w:bottom w:val="none" w:sz="0" w:space="0" w:color="auto"/>
                <w:right w:val="none" w:sz="0" w:space="0" w:color="auto"/>
              </w:divBdr>
            </w:div>
            <w:div w:id="1764690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649">
      <w:marLeft w:val="0"/>
      <w:marRight w:val="0"/>
      <w:marTop w:val="0"/>
      <w:marBottom w:val="0"/>
      <w:divBdr>
        <w:top w:val="none" w:sz="0" w:space="0" w:color="auto"/>
        <w:left w:val="none" w:sz="0" w:space="0" w:color="auto"/>
        <w:bottom w:val="none" w:sz="0" w:space="0" w:color="auto"/>
        <w:right w:val="none" w:sz="0" w:space="0" w:color="auto"/>
      </w:divBdr>
    </w:div>
    <w:div w:id="1764689650">
      <w:marLeft w:val="0"/>
      <w:marRight w:val="0"/>
      <w:marTop w:val="0"/>
      <w:marBottom w:val="0"/>
      <w:divBdr>
        <w:top w:val="none" w:sz="0" w:space="0" w:color="auto"/>
        <w:left w:val="none" w:sz="0" w:space="0" w:color="auto"/>
        <w:bottom w:val="none" w:sz="0" w:space="0" w:color="auto"/>
        <w:right w:val="none" w:sz="0" w:space="0" w:color="auto"/>
      </w:divBdr>
    </w:div>
    <w:div w:id="1764689652">
      <w:marLeft w:val="0"/>
      <w:marRight w:val="0"/>
      <w:marTop w:val="0"/>
      <w:marBottom w:val="0"/>
      <w:divBdr>
        <w:top w:val="none" w:sz="0" w:space="0" w:color="auto"/>
        <w:left w:val="none" w:sz="0" w:space="0" w:color="auto"/>
        <w:bottom w:val="none" w:sz="0" w:space="0" w:color="auto"/>
        <w:right w:val="none" w:sz="0" w:space="0" w:color="auto"/>
      </w:divBdr>
    </w:div>
    <w:div w:id="1764689655">
      <w:marLeft w:val="0"/>
      <w:marRight w:val="0"/>
      <w:marTop w:val="0"/>
      <w:marBottom w:val="0"/>
      <w:divBdr>
        <w:top w:val="none" w:sz="0" w:space="0" w:color="auto"/>
        <w:left w:val="none" w:sz="0" w:space="0" w:color="auto"/>
        <w:bottom w:val="none" w:sz="0" w:space="0" w:color="auto"/>
        <w:right w:val="none" w:sz="0" w:space="0" w:color="auto"/>
      </w:divBdr>
      <w:divsChild>
        <w:div w:id="1764689542">
          <w:marLeft w:val="0"/>
          <w:marRight w:val="0"/>
          <w:marTop w:val="0"/>
          <w:marBottom w:val="0"/>
          <w:divBdr>
            <w:top w:val="none" w:sz="0" w:space="0" w:color="auto"/>
            <w:left w:val="none" w:sz="0" w:space="0" w:color="auto"/>
            <w:bottom w:val="none" w:sz="0" w:space="0" w:color="auto"/>
            <w:right w:val="none" w:sz="0" w:space="0" w:color="auto"/>
          </w:divBdr>
          <w:divsChild>
            <w:div w:id="1764689340">
              <w:marLeft w:val="0"/>
              <w:marRight w:val="0"/>
              <w:marTop w:val="0"/>
              <w:marBottom w:val="0"/>
              <w:divBdr>
                <w:top w:val="none" w:sz="0" w:space="0" w:color="auto"/>
                <w:left w:val="none" w:sz="0" w:space="0" w:color="auto"/>
                <w:bottom w:val="none" w:sz="0" w:space="0" w:color="auto"/>
                <w:right w:val="none" w:sz="0" w:space="0" w:color="auto"/>
              </w:divBdr>
            </w:div>
            <w:div w:id="1764689349">
              <w:marLeft w:val="0"/>
              <w:marRight w:val="0"/>
              <w:marTop w:val="0"/>
              <w:marBottom w:val="0"/>
              <w:divBdr>
                <w:top w:val="none" w:sz="0" w:space="0" w:color="auto"/>
                <w:left w:val="none" w:sz="0" w:space="0" w:color="auto"/>
                <w:bottom w:val="none" w:sz="0" w:space="0" w:color="auto"/>
                <w:right w:val="none" w:sz="0" w:space="0" w:color="auto"/>
              </w:divBdr>
            </w:div>
            <w:div w:id="1764689729">
              <w:marLeft w:val="0"/>
              <w:marRight w:val="0"/>
              <w:marTop w:val="0"/>
              <w:marBottom w:val="0"/>
              <w:divBdr>
                <w:top w:val="none" w:sz="0" w:space="0" w:color="auto"/>
                <w:left w:val="none" w:sz="0" w:space="0" w:color="auto"/>
                <w:bottom w:val="none" w:sz="0" w:space="0" w:color="auto"/>
                <w:right w:val="none" w:sz="0" w:space="0" w:color="auto"/>
              </w:divBdr>
            </w:div>
            <w:div w:id="1764689734">
              <w:marLeft w:val="0"/>
              <w:marRight w:val="0"/>
              <w:marTop w:val="0"/>
              <w:marBottom w:val="0"/>
              <w:divBdr>
                <w:top w:val="none" w:sz="0" w:space="0" w:color="auto"/>
                <w:left w:val="none" w:sz="0" w:space="0" w:color="auto"/>
                <w:bottom w:val="none" w:sz="0" w:space="0" w:color="auto"/>
                <w:right w:val="none" w:sz="0" w:space="0" w:color="auto"/>
              </w:divBdr>
            </w:div>
            <w:div w:id="1764689966">
              <w:marLeft w:val="0"/>
              <w:marRight w:val="0"/>
              <w:marTop w:val="0"/>
              <w:marBottom w:val="0"/>
              <w:divBdr>
                <w:top w:val="none" w:sz="0" w:space="0" w:color="auto"/>
                <w:left w:val="none" w:sz="0" w:space="0" w:color="auto"/>
                <w:bottom w:val="none" w:sz="0" w:space="0" w:color="auto"/>
                <w:right w:val="none" w:sz="0" w:space="0" w:color="auto"/>
              </w:divBdr>
            </w:div>
            <w:div w:id="1764690177">
              <w:marLeft w:val="0"/>
              <w:marRight w:val="0"/>
              <w:marTop w:val="0"/>
              <w:marBottom w:val="0"/>
              <w:divBdr>
                <w:top w:val="none" w:sz="0" w:space="0" w:color="auto"/>
                <w:left w:val="none" w:sz="0" w:space="0" w:color="auto"/>
                <w:bottom w:val="none" w:sz="0" w:space="0" w:color="auto"/>
                <w:right w:val="none" w:sz="0" w:space="0" w:color="auto"/>
              </w:divBdr>
            </w:div>
            <w:div w:id="1764690251">
              <w:marLeft w:val="0"/>
              <w:marRight w:val="0"/>
              <w:marTop w:val="0"/>
              <w:marBottom w:val="0"/>
              <w:divBdr>
                <w:top w:val="none" w:sz="0" w:space="0" w:color="auto"/>
                <w:left w:val="none" w:sz="0" w:space="0" w:color="auto"/>
                <w:bottom w:val="none" w:sz="0" w:space="0" w:color="auto"/>
                <w:right w:val="none" w:sz="0" w:space="0" w:color="auto"/>
              </w:divBdr>
            </w:div>
            <w:div w:id="1764690339">
              <w:marLeft w:val="0"/>
              <w:marRight w:val="0"/>
              <w:marTop w:val="0"/>
              <w:marBottom w:val="0"/>
              <w:divBdr>
                <w:top w:val="none" w:sz="0" w:space="0" w:color="auto"/>
                <w:left w:val="none" w:sz="0" w:space="0" w:color="auto"/>
                <w:bottom w:val="none" w:sz="0" w:space="0" w:color="auto"/>
                <w:right w:val="none" w:sz="0" w:space="0" w:color="auto"/>
              </w:divBdr>
            </w:div>
            <w:div w:id="1764690434">
              <w:marLeft w:val="0"/>
              <w:marRight w:val="0"/>
              <w:marTop w:val="0"/>
              <w:marBottom w:val="0"/>
              <w:divBdr>
                <w:top w:val="none" w:sz="0" w:space="0" w:color="auto"/>
                <w:left w:val="none" w:sz="0" w:space="0" w:color="auto"/>
                <w:bottom w:val="none" w:sz="0" w:space="0" w:color="auto"/>
                <w:right w:val="none" w:sz="0" w:space="0" w:color="auto"/>
              </w:divBdr>
            </w:div>
            <w:div w:id="1764690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656">
      <w:marLeft w:val="0"/>
      <w:marRight w:val="0"/>
      <w:marTop w:val="0"/>
      <w:marBottom w:val="0"/>
      <w:divBdr>
        <w:top w:val="none" w:sz="0" w:space="0" w:color="auto"/>
        <w:left w:val="none" w:sz="0" w:space="0" w:color="auto"/>
        <w:bottom w:val="none" w:sz="0" w:space="0" w:color="auto"/>
        <w:right w:val="none" w:sz="0" w:space="0" w:color="auto"/>
      </w:divBdr>
      <w:divsChild>
        <w:div w:id="1764689375">
          <w:marLeft w:val="0"/>
          <w:marRight w:val="0"/>
          <w:marTop w:val="0"/>
          <w:marBottom w:val="0"/>
          <w:divBdr>
            <w:top w:val="none" w:sz="0" w:space="0" w:color="auto"/>
            <w:left w:val="none" w:sz="0" w:space="0" w:color="auto"/>
            <w:bottom w:val="none" w:sz="0" w:space="0" w:color="auto"/>
            <w:right w:val="none" w:sz="0" w:space="0" w:color="auto"/>
          </w:divBdr>
        </w:div>
      </w:divsChild>
    </w:div>
    <w:div w:id="1764689657">
      <w:marLeft w:val="0"/>
      <w:marRight w:val="0"/>
      <w:marTop w:val="0"/>
      <w:marBottom w:val="0"/>
      <w:divBdr>
        <w:top w:val="none" w:sz="0" w:space="0" w:color="auto"/>
        <w:left w:val="none" w:sz="0" w:space="0" w:color="auto"/>
        <w:bottom w:val="none" w:sz="0" w:space="0" w:color="auto"/>
        <w:right w:val="none" w:sz="0" w:space="0" w:color="auto"/>
      </w:divBdr>
    </w:div>
    <w:div w:id="1764689658">
      <w:marLeft w:val="0"/>
      <w:marRight w:val="0"/>
      <w:marTop w:val="0"/>
      <w:marBottom w:val="0"/>
      <w:divBdr>
        <w:top w:val="none" w:sz="0" w:space="0" w:color="auto"/>
        <w:left w:val="none" w:sz="0" w:space="0" w:color="auto"/>
        <w:bottom w:val="none" w:sz="0" w:space="0" w:color="auto"/>
        <w:right w:val="none" w:sz="0" w:space="0" w:color="auto"/>
      </w:divBdr>
    </w:div>
    <w:div w:id="1764689660">
      <w:marLeft w:val="0"/>
      <w:marRight w:val="0"/>
      <w:marTop w:val="0"/>
      <w:marBottom w:val="0"/>
      <w:divBdr>
        <w:top w:val="none" w:sz="0" w:space="0" w:color="auto"/>
        <w:left w:val="none" w:sz="0" w:space="0" w:color="auto"/>
        <w:bottom w:val="none" w:sz="0" w:space="0" w:color="auto"/>
        <w:right w:val="none" w:sz="0" w:space="0" w:color="auto"/>
      </w:divBdr>
    </w:div>
    <w:div w:id="1764689662">
      <w:marLeft w:val="0"/>
      <w:marRight w:val="0"/>
      <w:marTop w:val="0"/>
      <w:marBottom w:val="0"/>
      <w:divBdr>
        <w:top w:val="none" w:sz="0" w:space="0" w:color="auto"/>
        <w:left w:val="none" w:sz="0" w:space="0" w:color="auto"/>
        <w:bottom w:val="none" w:sz="0" w:space="0" w:color="auto"/>
        <w:right w:val="none" w:sz="0" w:space="0" w:color="auto"/>
      </w:divBdr>
      <w:divsChild>
        <w:div w:id="1764690351">
          <w:marLeft w:val="0"/>
          <w:marRight w:val="0"/>
          <w:marTop w:val="0"/>
          <w:marBottom w:val="0"/>
          <w:divBdr>
            <w:top w:val="none" w:sz="0" w:space="0" w:color="auto"/>
            <w:left w:val="none" w:sz="0" w:space="0" w:color="auto"/>
            <w:bottom w:val="none" w:sz="0" w:space="0" w:color="auto"/>
            <w:right w:val="none" w:sz="0" w:space="0" w:color="auto"/>
          </w:divBdr>
        </w:div>
      </w:divsChild>
    </w:div>
    <w:div w:id="1764689665">
      <w:marLeft w:val="0"/>
      <w:marRight w:val="0"/>
      <w:marTop w:val="0"/>
      <w:marBottom w:val="0"/>
      <w:divBdr>
        <w:top w:val="none" w:sz="0" w:space="0" w:color="auto"/>
        <w:left w:val="none" w:sz="0" w:space="0" w:color="auto"/>
        <w:bottom w:val="none" w:sz="0" w:space="0" w:color="auto"/>
        <w:right w:val="none" w:sz="0" w:space="0" w:color="auto"/>
      </w:divBdr>
      <w:divsChild>
        <w:div w:id="1764689590">
          <w:marLeft w:val="0"/>
          <w:marRight w:val="0"/>
          <w:marTop w:val="0"/>
          <w:marBottom w:val="0"/>
          <w:divBdr>
            <w:top w:val="none" w:sz="0" w:space="0" w:color="auto"/>
            <w:left w:val="none" w:sz="0" w:space="0" w:color="auto"/>
            <w:bottom w:val="none" w:sz="0" w:space="0" w:color="auto"/>
            <w:right w:val="none" w:sz="0" w:space="0" w:color="auto"/>
          </w:divBdr>
          <w:divsChild>
            <w:div w:id="1764689164">
              <w:marLeft w:val="0"/>
              <w:marRight w:val="0"/>
              <w:marTop w:val="0"/>
              <w:marBottom w:val="0"/>
              <w:divBdr>
                <w:top w:val="none" w:sz="0" w:space="0" w:color="auto"/>
                <w:left w:val="none" w:sz="0" w:space="0" w:color="auto"/>
                <w:bottom w:val="none" w:sz="0" w:space="0" w:color="auto"/>
                <w:right w:val="none" w:sz="0" w:space="0" w:color="auto"/>
              </w:divBdr>
            </w:div>
            <w:div w:id="1764689213">
              <w:marLeft w:val="0"/>
              <w:marRight w:val="0"/>
              <w:marTop w:val="0"/>
              <w:marBottom w:val="0"/>
              <w:divBdr>
                <w:top w:val="none" w:sz="0" w:space="0" w:color="auto"/>
                <w:left w:val="none" w:sz="0" w:space="0" w:color="auto"/>
                <w:bottom w:val="none" w:sz="0" w:space="0" w:color="auto"/>
                <w:right w:val="none" w:sz="0" w:space="0" w:color="auto"/>
              </w:divBdr>
            </w:div>
            <w:div w:id="1764689708">
              <w:marLeft w:val="0"/>
              <w:marRight w:val="0"/>
              <w:marTop w:val="0"/>
              <w:marBottom w:val="0"/>
              <w:divBdr>
                <w:top w:val="none" w:sz="0" w:space="0" w:color="auto"/>
                <w:left w:val="none" w:sz="0" w:space="0" w:color="auto"/>
                <w:bottom w:val="none" w:sz="0" w:space="0" w:color="auto"/>
                <w:right w:val="none" w:sz="0" w:space="0" w:color="auto"/>
              </w:divBdr>
            </w:div>
            <w:div w:id="1764689868">
              <w:marLeft w:val="0"/>
              <w:marRight w:val="0"/>
              <w:marTop w:val="0"/>
              <w:marBottom w:val="0"/>
              <w:divBdr>
                <w:top w:val="none" w:sz="0" w:space="0" w:color="auto"/>
                <w:left w:val="none" w:sz="0" w:space="0" w:color="auto"/>
                <w:bottom w:val="none" w:sz="0" w:space="0" w:color="auto"/>
                <w:right w:val="none" w:sz="0" w:space="0" w:color="auto"/>
              </w:divBdr>
            </w:div>
            <w:div w:id="1764690082">
              <w:marLeft w:val="0"/>
              <w:marRight w:val="0"/>
              <w:marTop w:val="0"/>
              <w:marBottom w:val="0"/>
              <w:divBdr>
                <w:top w:val="none" w:sz="0" w:space="0" w:color="auto"/>
                <w:left w:val="none" w:sz="0" w:space="0" w:color="auto"/>
                <w:bottom w:val="none" w:sz="0" w:space="0" w:color="auto"/>
                <w:right w:val="none" w:sz="0" w:space="0" w:color="auto"/>
              </w:divBdr>
            </w:div>
            <w:div w:id="1764690196">
              <w:marLeft w:val="0"/>
              <w:marRight w:val="0"/>
              <w:marTop w:val="0"/>
              <w:marBottom w:val="0"/>
              <w:divBdr>
                <w:top w:val="none" w:sz="0" w:space="0" w:color="auto"/>
                <w:left w:val="none" w:sz="0" w:space="0" w:color="auto"/>
                <w:bottom w:val="none" w:sz="0" w:space="0" w:color="auto"/>
                <w:right w:val="none" w:sz="0" w:space="0" w:color="auto"/>
              </w:divBdr>
            </w:div>
            <w:div w:id="1764690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666">
      <w:marLeft w:val="0"/>
      <w:marRight w:val="0"/>
      <w:marTop w:val="0"/>
      <w:marBottom w:val="0"/>
      <w:divBdr>
        <w:top w:val="none" w:sz="0" w:space="0" w:color="auto"/>
        <w:left w:val="none" w:sz="0" w:space="0" w:color="auto"/>
        <w:bottom w:val="none" w:sz="0" w:space="0" w:color="auto"/>
        <w:right w:val="none" w:sz="0" w:space="0" w:color="auto"/>
      </w:divBdr>
      <w:divsChild>
        <w:div w:id="1764689128">
          <w:marLeft w:val="0"/>
          <w:marRight w:val="0"/>
          <w:marTop w:val="0"/>
          <w:marBottom w:val="0"/>
          <w:divBdr>
            <w:top w:val="none" w:sz="0" w:space="0" w:color="auto"/>
            <w:left w:val="none" w:sz="0" w:space="0" w:color="auto"/>
            <w:bottom w:val="none" w:sz="0" w:space="0" w:color="auto"/>
            <w:right w:val="none" w:sz="0" w:space="0" w:color="auto"/>
          </w:divBdr>
        </w:div>
        <w:div w:id="1764689376">
          <w:marLeft w:val="0"/>
          <w:marRight w:val="0"/>
          <w:marTop w:val="0"/>
          <w:marBottom w:val="0"/>
          <w:divBdr>
            <w:top w:val="none" w:sz="0" w:space="0" w:color="auto"/>
            <w:left w:val="none" w:sz="0" w:space="0" w:color="auto"/>
            <w:bottom w:val="none" w:sz="0" w:space="0" w:color="auto"/>
            <w:right w:val="none" w:sz="0" w:space="0" w:color="auto"/>
          </w:divBdr>
        </w:div>
        <w:div w:id="1764689379">
          <w:marLeft w:val="0"/>
          <w:marRight w:val="0"/>
          <w:marTop w:val="0"/>
          <w:marBottom w:val="0"/>
          <w:divBdr>
            <w:top w:val="none" w:sz="0" w:space="0" w:color="auto"/>
            <w:left w:val="none" w:sz="0" w:space="0" w:color="auto"/>
            <w:bottom w:val="none" w:sz="0" w:space="0" w:color="auto"/>
            <w:right w:val="none" w:sz="0" w:space="0" w:color="auto"/>
          </w:divBdr>
        </w:div>
        <w:div w:id="1764689980">
          <w:marLeft w:val="0"/>
          <w:marRight w:val="0"/>
          <w:marTop w:val="0"/>
          <w:marBottom w:val="0"/>
          <w:divBdr>
            <w:top w:val="none" w:sz="0" w:space="0" w:color="auto"/>
            <w:left w:val="none" w:sz="0" w:space="0" w:color="auto"/>
            <w:bottom w:val="none" w:sz="0" w:space="0" w:color="auto"/>
            <w:right w:val="none" w:sz="0" w:space="0" w:color="auto"/>
          </w:divBdr>
        </w:div>
        <w:div w:id="1764690557">
          <w:marLeft w:val="0"/>
          <w:marRight w:val="0"/>
          <w:marTop w:val="0"/>
          <w:marBottom w:val="0"/>
          <w:divBdr>
            <w:top w:val="none" w:sz="0" w:space="0" w:color="auto"/>
            <w:left w:val="none" w:sz="0" w:space="0" w:color="auto"/>
            <w:bottom w:val="none" w:sz="0" w:space="0" w:color="auto"/>
            <w:right w:val="none" w:sz="0" w:space="0" w:color="auto"/>
          </w:divBdr>
        </w:div>
      </w:divsChild>
    </w:div>
    <w:div w:id="1764689667">
      <w:marLeft w:val="0"/>
      <w:marRight w:val="0"/>
      <w:marTop w:val="0"/>
      <w:marBottom w:val="0"/>
      <w:divBdr>
        <w:top w:val="none" w:sz="0" w:space="0" w:color="auto"/>
        <w:left w:val="none" w:sz="0" w:space="0" w:color="auto"/>
        <w:bottom w:val="none" w:sz="0" w:space="0" w:color="auto"/>
        <w:right w:val="none" w:sz="0" w:space="0" w:color="auto"/>
      </w:divBdr>
      <w:divsChild>
        <w:div w:id="1764690358">
          <w:marLeft w:val="0"/>
          <w:marRight w:val="0"/>
          <w:marTop w:val="0"/>
          <w:marBottom w:val="0"/>
          <w:divBdr>
            <w:top w:val="none" w:sz="0" w:space="0" w:color="auto"/>
            <w:left w:val="none" w:sz="0" w:space="0" w:color="auto"/>
            <w:bottom w:val="none" w:sz="0" w:space="0" w:color="auto"/>
            <w:right w:val="none" w:sz="0" w:space="0" w:color="auto"/>
          </w:divBdr>
          <w:divsChild>
            <w:div w:id="1764689496">
              <w:marLeft w:val="0"/>
              <w:marRight w:val="0"/>
              <w:marTop w:val="0"/>
              <w:marBottom w:val="0"/>
              <w:divBdr>
                <w:top w:val="none" w:sz="0" w:space="0" w:color="auto"/>
                <w:left w:val="none" w:sz="0" w:space="0" w:color="auto"/>
                <w:bottom w:val="none" w:sz="0" w:space="0" w:color="auto"/>
                <w:right w:val="none" w:sz="0" w:space="0" w:color="auto"/>
              </w:divBdr>
            </w:div>
            <w:div w:id="1764689592">
              <w:marLeft w:val="0"/>
              <w:marRight w:val="0"/>
              <w:marTop w:val="0"/>
              <w:marBottom w:val="0"/>
              <w:divBdr>
                <w:top w:val="none" w:sz="0" w:space="0" w:color="auto"/>
                <w:left w:val="none" w:sz="0" w:space="0" w:color="auto"/>
                <w:bottom w:val="none" w:sz="0" w:space="0" w:color="auto"/>
                <w:right w:val="none" w:sz="0" w:space="0" w:color="auto"/>
              </w:divBdr>
            </w:div>
            <w:div w:id="1764689648">
              <w:marLeft w:val="0"/>
              <w:marRight w:val="0"/>
              <w:marTop w:val="0"/>
              <w:marBottom w:val="0"/>
              <w:divBdr>
                <w:top w:val="none" w:sz="0" w:space="0" w:color="auto"/>
                <w:left w:val="none" w:sz="0" w:space="0" w:color="auto"/>
                <w:bottom w:val="none" w:sz="0" w:space="0" w:color="auto"/>
                <w:right w:val="none" w:sz="0" w:space="0" w:color="auto"/>
              </w:divBdr>
            </w:div>
            <w:div w:id="1764689860">
              <w:marLeft w:val="0"/>
              <w:marRight w:val="0"/>
              <w:marTop w:val="0"/>
              <w:marBottom w:val="0"/>
              <w:divBdr>
                <w:top w:val="none" w:sz="0" w:space="0" w:color="auto"/>
                <w:left w:val="none" w:sz="0" w:space="0" w:color="auto"/>
                <w:bottom w:val="none" w:sz="0" w:space="0" w:color="auto"/>
                <w:right w:val="none" w:sz="0" w:space="0" w:color="auto"/>
              </w:divBdr>
            </w:div>
            <w:div w:id="1764690159">
              <w:marLeft w:val="0"/>
              <w:marRight w:val="0"/>
              <w:marTop w:val="0"/>
              <w:marBottom w:val="0"/>
              <w:divBdr>
                <w:top w:val="none" w:sz="0" w:space="0" w:color="auto"/>
                <w:left w:val="none" w:sz="0" w:space="0" w:color="auto"/>
                <w:bottom w:val="none" w:sz="0" w:space="0" w:color="auto"/>
                <w:right w:val="none" w:sz="0" w:space="0" w:color="auto"/>
              </w:divBdr>
            </w:div>
            <w:div w:id="1764690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673">
      <w:marLeft w:val="0"/>
      <w:marRight w:val="0"/>
      <w:marTop w:val="0"/>
      <w:marBottom w:val="0"/>
      <w:divBdr>
        <w:top w:val="none" w:sz="0" w:space="0" w:color="auto"/>
        <w:left w:val="none" w:sz="0" w:space="0" w:color="auto"/>
        <w:bottom w:val="none" w:sz="0" w:space="0" w:color="auto"/>
        <w:right w:val="none" w:sz="0" w:space="0" w:color="auto"/>
      </w:divBdr>
      <w:divsChild>
        <w:div w:id="1764689491">
          <w:marLeft w:val="0"/>
          <w:marRight w:val="0"/>
          <w:marTop w:val="0"/>
          <w:marBottom w:val="0"/>
          <w:divBdr>
            <w:top w:val="none" w:sz="0" w:space="0" w:color="auto"/>
            <w:left w:val="none" w:sz="0" w:space="0" w:color="auto"/>
            <w:bottom w:val="none" w:sz="0" w:space="0" w:color="auto"/>
            <w:right w:val="none" w:sz="0" w:space="0" w:color="auto"/>
          </w:divBdr>
        </w:div>
      </w:divsChild>
    </w:div>
    <w:div w:id="1764689675">
      <w:marLeft w:val="0"/>
      <w:marRight w:val="0"/>
      <w:marTop w:val="0"/>
      <w:marBottom w:val="0"/>
      <w:divBdr>
        <w:top w:val="none" w:sz="0" w:space="0" w:color="auto"/>
        <w:left w:val="none" w:sz="0" w:space="0" w:color="auto"/>
        <w:bottom w:val="none" w:sz="0" w:space="0" w:color="auto"/>
        <w:right w:val="none" w:sz="0" w:space="0" w:color="auto"/>
      </w:divBdr>
    </w:div>
    <w:div w:id="1764689680">
      <w:marLeft w:val="0"/>
      <w:marRight w:val="0"/>
      <w:marTop w:val="0"/>
      <w:marBottom w:val="0"/>
      <w:divBdr>
        <w:top w:val="none" w:sz="0" w:space="0" w:color="auto"/>
        <w:left w:val="none" w:sz="0" w:space="0" w:color="auto"/>
        <w:bottom w:val="none" w:sz="0" w:space="0" w:color="auto"/>
        <w:right w:val="none" w:sz="0" w:space="0" w:color="auto"/>
      </w:divBdr>
    </w:div>
    <w:div w:id="1764689681">
      <w:marLeft w:val="0"/>
      <w:marRight w:val="0"/>
      <w:marTop w:val="0"/>
      <w:marBottom w:val="0"/>
      <w:divBdr>
        <w:top w:val="none" w:sz="0" w:space="0" w:color="auto"/>
        <w:left w:val="none" w:sz="0" w:space="0" w:color="auto"/>
        <w:bottom w:val="none" w:sz="0" w:space="0" w:color="auto"/>
        <w:right w:val="none" w:sz="0" w:space="0" w:color="auto"/>
      </w:divBdr>
      <w:divsChild>
        <w:div w:id="1764689614">
          <w:marLeft w:val="0"/>
          <w:marRight w:val="0"/>
          <w:marTop w:val="0"/>
          <w:marBottom w:val="0"/>
          <w:divBdr>
            <w:top w:val="none" w:sz="0" w:space="0" w:color="auto"/>
            <w:left w:val="none" w:sz="0" w:space="0" w:color="auto"/>
            <w:bottom w:val="none" w:sz="0" w:space="0" w:color="auto"/>
            <w:right w:val="none" w:sz="0" w:space="0" w:color="auto"/>
          </w:divBdr>
        </w:div>
      </w:divsChild>
    </w:div>
    <w:div w:id="1764689682">
      <w:marLeft w:val="0"/>
      <w:marRight w:val="0"/>
      <w:marTop w:val="0"/>
      <w:marBottom w:val="0"/>
      <w:divBdr>
        <w:top w:val="none" w:sz="0" w:space="0" w:color="auto"/>
        <w:left w:val="none" w:sz="0" w:space="0" w:color="auto"/>
        <w:bottom w:val="none" w:sz="0" w:space="0" w:color="auto"/>
        <w:right w:val="none" w:sz="0" w:space="0" w:color="auto"/>
      </w:divBdr>
    </w:div>
    <w:div w:id="1764689683">
      <w:marLeft w:val="0"/>
      <w:marRight w:val="0"/>
      <w:marTop w:val="0"/>
      <w:marBottom w:val="0"/>
      <w:divBdr>
        <w:top w:val="none" w:sz="0" w:space="0" w:color="auto"/>
        <w:left w:val="none" w:sz="0" w:space="0" w:color="auto"/>
        <w:bottom w:val="none" w:sz="0" w:space="0" w:color="auto"/>
        <w:right w:val="none" w:sz="0" w:space="0" w:color="auto"/>
      </w:divBdr>
    </w:div>
    <w:div w:id="1764689685">
      <w:marLeft w:val="0"/>
      <w:marRight w:val="0"/>
      <w:marTop w:val="0"/>
      <w:marBottom w:val="0"/>
      <w:divBdr>
        <w:top w:val="none" w:sz="0" w:space="0" w:color="auto"/>
        <w:left w:val="none" w:sz="0" w:space="0" w:color="auto"/>
        <w:bottom w:val="none" w:sz="0" w:space="0" w:color="auto"/>
        <w:right w:val="none" w:sz="0" w:space="0" w:color="auto"/>
      </w:divBdr>
      <w:divsChild>
        <w:div w:id="1764689844">
          <w:marLeft w:val="0"/>
          <w:marRight w:val="0"/>
          <w:marTop w:val="0"/>
          <w:marBottom w:val="0"/>
          <w:divBdr>
            <w:top w:val="none" w:sz="0" w:space="0" w:color="auto"/>
            <w:left w:val="none" w:sz="0" w:space="0" w:color="auto"/>
            <w:bottom w:val="none" w:sz="0" w:space="0" w:color="auto"/>
            <w:right w:val="none" w:sz="0" w:space="0" w:color="auto"/>
          </w:divBdr>
          <w:divsChild>
            <w:div w:id="1764689226">
              <w:marLeft w:val="0"/>
              <w:marRight w:val="0"/>
              <w:marTop w:val="0"/>
              <w:marBottom w:val="0"/>
              <w:divBdr>
                <w:top w:val="none" w:sz="0" w:space="0" w:color="auto"/>
                <w:left w:val="none" w:sz="0" w:space="0" w:color="auto"/>
                <w:bottom w:val="none" w:sz="0" w:space="0" w:color="auto"/>
                <w:right w:val="none" w:sz="0" w:space="0" w:color="auto"/>
              </w:divBdr>
            </w:div>
            <w:div w:id="1764689632">
              <w:marLeft w:val="0"/>
              <w:marRight w:val="0"/>
              <w:marTop w:val="0"/>
              <w:marBottom w:val="0"/>
              <w:divBdr>
                <w:top w:val="none" w:sz="0" w:space="0" w:color="auto"/>
                <w:left w:val="none" w:sz="0" w:space="0" w:color="auto"/>
                <w:bottom w:val="none" w:sz="0" w:space="0" w:color="auto"/>
                <w:right w:val="none" w:sz="0" w:space="0" w:color="auto"/>
              </w:divBdr>
            </w:div>
            <w:div w:id="1764690389">
              <w:marLeft w:val="0"/>
              <w:marRight w:val="0"/>
              <w:marTop w:val="0"/>
              <w:marBottom w:val="0"/>
              <w:divBdr>
                <w:top w:val="none" w:sz="0" w:space="0" w:color="auto"/>
                <w:left w:val="none" w:sz="0" w:space="0" w:color="auto"/>
                <w:bottom w:val="none" w:sz="0" w:space="0" w:color="auto"/>
                <w:right w:val="none" w:sz="0" w:space="0" w:color="auto"/>
              </w:divBdr>
            </w:div>
            <w:div w:id="1764690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686">
      <w:marLeft w:val="0"/>
      <w:marRight w:val="0"/>
      <w:marTop w:val="0"/>
      <w:marBottom w:val="0"/>
      <w:divBdr>
        <w:top w:val="none" w:sz="0" w:space="0" w:color="auto"/>
        <w:left w:val="none" w:sz="0" w:space="0" w:color="auto"/>
        <w:bottom w:val="none" w:sz="0" w:space="0" w:color="auto"/>
        <w:right w:val="none" w:sz="0" w:space="0" w:color="auto"/>
      </w:divBdr>
      <w:divsChild>
        <w:div w:id="1764690409">
          <w:marLeft w:val="0"/>
          <w:marRight w:val="0"/>
          <w:marTop w:val="0"/>
          <w:marBottom w:val="0"/>
          <w:divBdr>
            <w:top w:val="none" w:sz="0" w:space="0" w:color="auto"/>
            <w:left w:val="none" w:sz="0" w:space="0" w:color="auto"/>
            <w:bottom w:val="none" w:sz="0" w:space="0" w:color="auto"/>
            <w:right w:val="none" w:sz="0" w:space="0" w:color="auto"/>
          </w:divBdr>
        </w:div>
      </w:divsChild>
    </w:div>
    <w:div w:id="1764689690">
      <w:marLeft w:val="0"/>
      <w:marRight w:val="0"/>
      <w:marTop w:val="0"/>
      <w:marBottom w:val="0"/>
      <w:divBdr>
        <w:top w:val="none" w:sz="0" w:space="0" w:color="auto"/>
        <w:left w:val="none" w:sz="0" w:space="0" w:color="auto"/>
        <w:bottom w:val="none" w:sz="0" w:space="0" w:color="auto"/>
        <w:right w:val="none" w:sz="0" w:space="0" w:color="auto"/>
      </w:divBdr>
    </w:div>
    <w:div w:id="1764689693">
      <w:marLeft w:val="0"/>
      <w:marRight w:val="0"/>
      <w:marTop w:val="0"/>
      <w:marBottom w:val="0"/>
      <w:divBdr>
        <w:top w:val="none" w:sz="0" w:space="0" w:color="auto"/>
        <w:left w:val="none" w:sz="0" w:space="0" w:color="auto"/>
        <w:bottom w:val="none" w:sz="0" w:space="0" w:color="auto"/>
        <w:right w:val="none" w:sz="0" w:space="0" w:color="auto"/>
      </w:divBdr>
      <w:divsChild>
        <w:div w:id="1764690281">
          <w:marLeft w:val="0"/>
          <w:marRight w:val="0"/>
          <w:marTop w:val="0"/>
          <w:marBottom w:val="0"/>
          <w:divBdr>
            <w:top w:val="none" w:sz="0" w:space="0" w:color="auto"/>
            <w:left w:val="none" w:sz="0" w:space="0" w:color="auto"/>
            <w:bottom w:val="none" w:sz="0" w:space="0" w:color="auto"/>
            <w:right w:val="none" w:sz="0" w:space="0" w:color="auto"/>
          </w:divBdr>
          <w:divsChild>
            <w:div w:id="1764690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697">
      <w:marLeft w:val="0"/>
      <w:marRight w:val="0"/>
      <w:marTop w:val="0"/>
      <w:marBottom w:val="0"/>
      <w:divBdr>
        <w:top w:val="none" w:sz="0" w:space="0" w:color="auto"/>
        <w:left w:val="none" w:sz="0" w:space="0" w:color="auto"/>
        <w:bottom w:val="none" w:sz="0" w:space="0" w:color="auto"/>
        <w:right w:val="none" w:sz="0" w:space="0" w:color="auto"/>
      </w:divBdr>
    </w:div>
    <w:div w:id="1764689699">
      <w:marLeft w:val="0"/>
      <w:marRight w:val="0"/>
      <w:marTop w:val="0"/>
      <w:marBottom w:val="0"/>
      <w:divBdr>
        <w:top w:val="none" w:sz="0" w:space="0" w:color="auto"/>
        <w:left w:val="none" w:sz="0" w:space="0" w:color="auto"/>
        <w:bottom w:val="none" w:sz="0" w:space="0" w:color="auto"/>
        <w:right w:val="none" w:sz="0" w:space="0" w:color="auto"/>
      </w:divBdr>
      <w:divsChild>
        <w:div w:id="1764689354">
          <w:marLeft w:val="0"/>
          <w:marRight w:val="0"/>
          <w:marTop w:val="0"/>
          <w:marBottom w:val="0"/>
          <w:divBdr>
            <w:top w:val="none" w:sz="0" w:space="0" w:color="auto"/>
            <w:left w:val="none" w:sz="0" w:space="0" w:color="auto"/>
            <w:bottom w:val="none" w:sz="0" w:space="0" w:color="auto"/>
            <w:right w:val="none" w:sz="0" w:space="0" w:color="auto"/>
          </w:divBdr>
        </w:div>
      </w:divsChild>
    </w:div>
    <w:div w:id="1764689704">
      <w:marLeft w:val="0"/>
      <w:marRight w:val="0"/>
      <w:marTop w:val="0"/>
      <w:marBottom w:val="0"/>
      <w:divBdr>
        <w:top w:val="none" w:sz="0" w:space="0" w:color="auto"/>
        <w:left w:val="none" w:sz="0" w:space="0" w:color="auto"/>
        <w:bottom w:val="none" w:sz="0" w:space="0" w:color="auto"/>
        <w:right w:val="none" w:sz="0" w:space="0" w:color="auto"/>
      </w:divBdr>
      <w:divsChild>
        <w:div w:id="1764689059">
          <w:marLeft w:val="0"/>
          <w:marRight w:val="0"/>
          <w:marTop w:val="0"/>
          <w:marBottom w:val="0"/>
          <w:divBdr>
            <w:top w:val="none" w:sz="0" w:space="0" w:color="auto"/>
            <w:left w:val="none" w:sz="0" w:space="0" w:color="auto"/>
            <w:bottom w:val="none" w:sz="0" w:space="0" w:color="auto"/>
            <w:right w:val="none" w:sz="0" w:space="0" w:color="auto"/>
          </w:divBdr>
          <w:divsChild>
            <w:div w:id="1764689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709">
      <w:marLeft w:val="0"/>
      <w:marRight w:val="0"/>
      <w:marTop w:val="0"/>
      <w:marBottom w:val="0"/>
      <w:divBdr>
        <w:top w:val="none" w:sz="0" w:space="0" w:color="auto"/>
        <w:left w:val="none" w:sz="0" w:space="0" w:color="auto"/>
        <w:bottom w:val="none" w:sz="0" w:space="0" w:color="auto"/>
        <w:right w:val="none" w:sz="0" w:space="0" w:color="auto"/>
      </w:divBdr>
    </w:div>
    <w:div w:id="1764689710">
      <w:marLeft w:val="0"/>
      <w:marRight w:val="0"/>
      <w:marTop w:val="0"/>
      <w:marBottom w:val="0"/>
      <w:divBdr>
        <w:top w:val="none" w:sz="0" w:space="0" w:color="auto"/>
        <w:left w:val="none" w:sz="0" w:space="0" w:color="auto"/>
        <w:bottom w:val="none" w:sz="0" w:space="0" w:color="auto"/>
        <w:right w:val="none" w:sz="0" w:space="0" w:color="auto"/>
      </w:divBdr>
    </w:div>
    <w:div w:id="1764689719">
      <w:marLeft w:val="0"/>
      <w:marRight w:val="0"/>
      <w:marTop w:val="0"/>
      <w:marBottom w:val="0"/>
      <w:divBdr>
        <w:top w:val="none" w:sz="0" w:space="0" w:color="auto"/>
        <w:left w:val="none" w:sz="0" w:space="0" w:color="auto"/>
        <w:bottom w:val="none" w:sz="0" w:space="0" w:color="auto"/>
        <w:right w:val="none" w:sz="0" w:space="0" w:color="auto"/>
      </w:divBdr>
    </w:div>
    <w:div w:id="1764689721">
      <w:marLeft w:val="0"/>
      <w:marRight w:val="0"/>
      <w:marTop w:val="0"/>
      <w:marBottom w:val="0"/>
      <w:divBdr>
        <w:top w:val="none" w:sz="0" w:space="0" w:color="auto"/>
        <w:left w:val="none" w:sz="0" w:space="0" w:color="auto"/>
        <w:bottom w:val="none" w:sz="0" w:space="0" w:color="auto"/>
        <w:right w:val="none" w:sz="0" w:space="0" w:color="auto"/>
      </w:divBdr>
      <w:divsChild>
        <w:div w:id="1764689856">
          <w:marLeft w:val="0"/>
          <w:marRight w:val="0"/>
          <w:marTop w:val="0"/>
          <w:marBottom w:val="0"/>
          <w:divBdr>
            <w:top w:val="none" w:sz="0" w:space="0" w:color="auto"/>
            <w:left w:val="none" w:sz="0" w:space="0" w:color="auto"/>
            <w:bottom w:val="none" w:sz="0" w:space="0" w:color="auto"/>
            <w:right w:val="none" w:sz="0" w:space="0" w:color="auto"/>
          </w:divBdr>
        </w:div>
      </w:divsChild>
    </w:div>
    <w:div w:id="1764689722">
      <w:marLeft w:val="0"/>
      <w:marRight w:val="0"/>
      <w:marTop w:val="0"/>
      <w:marBottom w:val="0"/>
      <w:divBdr>
        <w:top w:val="none" w:sz="0" w:space="0" w:color="auto"/>
        <w:left w:val="none" w:sz="0" w:space="0" w:color="auto"/>
        <w:bottom w:val="none" w:sz="0" w:space="0" w:color="auto"/>
        <w:right w:val="none" w:sz="0" w:space="0" w:color="auto"/>
      </w:divBdr>
      <w:divsChild>
        <w:div w:id="1764690306">
          <w:marLeft w:val="0"/>
          <w:marRight w:val="0"/>
          <w:marTop w:val="0"/>
          <w:marBottom w:val="0"/>
          <w:divBdr>
            <w:top w:val="none" w:sz="0" w:space="0" w:color="auto"/>
            <w:left w:val="none" w:sz="0" w:space="0" w:color="auto"/>
            <w:bottom w:val="none" w:sz="0" w:space="0" w:color="auto"/>
            <w:right w:val="none" w:sz="0" w:space="0" w:color="auto"/>
          </w:divBdr>
        </w:div>
      </w:divsChild>
    </w:div>
    <w:div w:id="1764689725">
      <w:marLeft w:val="0"/>
      <w:marRight w:val="0"/>
      <w:marTop w:val="0"/>
      <w:marBottom w:val="0"/>
      <w:divBdr>
        <w:top w:val="none" w:sz="0" w:space="0" w:color="auto"/>
        <w:left w:val="none" w:sz="0" w:space="0" w:color="auto"/>
        <w:bottom w:val="none" w:sz="0" w:space="0" w:color="auto"/>
        <w:right w:val="none" w:sz="0" w:space="0" w:color="auto"/>
      </w:divBdr>
      <w:divsChild>
        <w:div w:id="1764689801">
          <w:marLeft w:val="0"/>
          <w:marRight w:val="0"/>
          <w:marTop w:val="0"/>
          <w:marBottom w:val="0"/>
          <w:divBdr>
            <w:top w:val="none" w:sz="0" w:space="0" w:color="auto"/>
            <w:left w:val="none" w:sz="0" w:space="0" w:color="auto"/>
            <w:bottom w:val="none" w:sz="0" w:space="0" w:color="auto"/>
            <w:right w:val="none" w:sz="0" w:space="0" w:color="auto"/>
          </w:divBdr>
        </w:div>
      </w:divsChild>
    </w:div>
    <w:div w:id="1764689727">
      <w:marLeft w:val="0"/>
      <w:marRight w:val="0"/>
      <w:marTop w:val="0"/>
      <w:marBottom w:val="0"/>
      <w:divBdr>
        <w:top w:val="none" w:sz="0" w:space="0" w:color="auto"/>
        <w:left w:val="none" w:sz="0" w:space="0" w:color="auto"/>
        <w:bottom w:val="none" w:sz="0" w:space="0" w:color="auto"/>
        <w:right w:val="none" w:sz="0" w:space="0" w:color="auto"/>
      </w:divBdr>
    </w:div>
    <w:div w:id="1764689728">
      <w:marLeft w:val="0"/>
      <w:marRight w:val="0"/>
      <w:marTop w:val="0"/>
      <w:marBottom w:val="0"/>
      <w:divBdr>
        <w:top w:val="none" w:sz="0" w:space="0" w:color="auto"/>
        <w:left w:val="none" w:sz="0" w:space="0" w:color="auto"/>
        <w:bottom w:val="none" w:sz="0" w:space="0" w:color="auto"/>
        <w:right w:val="none" w:sz="0" w:space="0" w:color="auto"/>
      </w:divBdr>
      <w:divsChild>
        <w:div w:id="1764689624">
          <w:marLeft w:val="0"/>
          <w:marRight w:val="0"/>
          <w:marTop w:val="0"/>
          <w:marBottom w:val="0"/>
          <w:divBdr>
            <w:top w:val="none" w:sz="0" w:space="0" w:color="auto"/>
            <w:left w:val="none" w:sz="0" w:space="0" w:color="auto"/>
            <w:bottom w:val="none" w:sz="0" w:space="0" w:color="auto"/>
            <w:right w:val="none" w:sz="0" w:space="0" w:color="auto"/>
          </w:divBdr>
        </w:div>
      </w:divsChild>
    </w:div>
    <w:div w:id="1764689733">
      <w:marLeft w:val="0"/>
      <w:marRight w:val="0"/>
      <w:marTop w:val="0"/>
      <w:marBottom w:val="0"/>
      <w:divBdr>
        <w:top w:val="none" w:sz="0" w:space="0" w:color="auto"/>
        <w:left w:val="none" w:sz="0" w:space="0" w:color="auto"/>
        <w:bottom w:val="none" w:sz="0" w:space="0" w:color="auto"/>
        <w:right w:val="none" w:sz="0" w:space="0" w:color="auto"/>
      </w:divBdr>
    </w:div>
    <w:div w:id="1764689735">
      <w:marLeft w:val="0"/>
      <w:marRight w:val="0"/>
      <w:marTop w:val="0"/>
      <w:marBottom w:val="0"/>
      <w:divBdr>
        <w:top w:val="none" w:sz="0" w:space="0" w:color="auto"/>
        <w:left w:val="none" w:sz="0" w:space="0" w:color="auto"/>
        <w:bottom w:val="none" w:sz="0" w:space="0" w:color="auto"/>
        <w:right w:val="none" w:sz="0" w:space="0" w:color="auto"/>
      </w:divBdr>
      <w:divsChild>
        <w:div w:id="1764690581">
          <w:marLeft w:val="0"/>
          <w:marRight w:val="0"/>
          <w:marTop w:val="0"/>
          <w:marBottom w:val="0"/>
          <w:divBdr>
            <w:top w:val="none" w:sz="0" w:space="0" w:color="auto"/>
            <w:left w:val="none" w:sz="0" w:space="0" w:color="auto"/>
            <w:bottom w:val="none" w:sz="0" w:space="0" w:color="auto"/>
            <w:right w:val="none" w:sz="0" w:space="0" w:color="auto"/>
          </w:divBdr>
        </w:div>
      </w:divsChild>
    </w:div>
    <w:div w:id="1764689739">
      <w:marLeft w:val="0"/>
      <w:marRight w:val="0"/>
      <w:marTop w:val="0"/>
      <w:marBottom w:val="0"/>
      <w:divBdr>
        <w:top w:val="none" w:sz="0" w:space="0" w:color="auto"/>
        <w:left w:val="none" w:sz="0" w:space="0" w:color="auto"/>
        <w:bottom w:val="none" w:sz="0" w:space="0" w:color="auto"/>
        <w:right w:val="none" w:sz="0" w:space="0" w:color="auto"/>
      </w:divBdr>
      <w:divsChild>
        <w:div w:id="1764690203">
          <w:marLeft w:val="0"/>
          <w:marRight w:val="0"/>
          <w:marTop w:val="0"/>
          <w:marBottom w:val="0"/>
          <w:divBdr>
            <w:top w:val="none" w:sz="0" w:space="0" w:color="auto"/>
            <w:left w:val="none" w:sz="0" w:space="0" w:color="auto"/>
            <w:bottom w:val="none" w:sz="0" w:space="0" w:color="auto"/>
            <w:right w:val="none" w:sz="0" w:space="0" w:color="auto"/>
          </w:divBdr>
        </w:div>
      </w:divsChild>
    </w:div>
    <w:div w:id="1764689742">
      <w:marLeft w:val="0"/>
      <w:marRight w:val="0"/>
      <w:marTop w:val="0"/>
      <w:marBottom w:val="0"/>
      <w:divBdr>
        <w:top w:val="none" w:sz="0" w:space="0" w:color="auto"/>
        <w:left w:val="none" w:sz="0" w:space="0" w:color="auto"/>
        <w:bottom w:val="none" w:sz="0" w:space="0" w:color="auto"/>
        <w:right w:val="none" w:sz="0" w:space="0" w:color="auto"/>
      </w:divBdr>
    </w:div>
    <w:div w:id="1764689743">
      <w:marLeft w:val="0"/>
      <w:marRight w:val="0"/>
      <w:marTop w:val="0"/>
      <w:marBottom w:val="0"/>
      <w:divBdr>
        <w:top w:val="none" w:sz="0" w:space="0" w:color="auto"/>
        <w:left w:val="none" w:sz="0" w:space="0" w:color="auto"/>
        <w:bottom w:val="none" w:sz="0" w:space="0" w:color="auto"/>
        <w:right w:val="none" w:sz="0" w:space="0" w:color="auto"/>
      </w:divBdr>
      <w:divsChild>
        <w:div w:id="1764690208">
          <w:marLeft w:val="0"/>
          <w:marRight w:val="0"/>
          <w:marTop w:val="0"/>
          <w:marBottom w:val="0"/>
          <w:divBdr>
            <w:top w:val="none" w:sz="0" w:space="0" w:color="auto"/>
            <w:left w:val="none" w:sz="0" w:space="0" w:color="auto"/>
            <w:bottom w:val="none" w:sz="0" w:space="0" w:color="auto"/>
            <w:right w:val="none" w:sz="0" w:space="0" w:color="auto"/>
          </w:divBdr>
          <w:divsChild>
            <w:div w:id="1764689144">
              <w:marLeft w:val="0"/>
              <w:marRight w:val="0"/>
              <w:marTop w:val="0"/>
              <w:marBottom w:val="0"/>
              <w:divBdr>
                <w:top w:val="none" w:sz="0" w:space="0" w:color="auto"/>
                <w:left w:val="none" w:sz="0" w:space="0" w:color="auto"/>
                <w:bottom w:val="none" w:sz="0" w:space="0" w:color="auto"/>
                <w:right w:val="none" w:sz="0" w:space="0" w:color="auto"/>
              </w:divBdr>
            </w:div>
            <w:div w:id="1764690103">
              <w:marLeft w:val="0"/>
              <w:marRight w:val="0"/>
              <w:marTop w:val="0"/>
              <w:marBottom w:val="0"/>
              <w:divBdr>
                <w:top w:val="none" w:sz="0" w:space="0" w:color="auto"/>
                <w:left w:val="none" w:sz="0" w:space="0" w:color="auto"/>
                <w:bottom w:val="none" w:sz="0" w:space="0" w:color="auto"/>
                <w:right w:val="none" w:sz="0" w:space="0" w:color="auto"/>
              </w:divBdr>
            </w:div>
            <w:div w:id="1764690233">
              <w:marLeft w:val="0"/>
              <w:marRight w:val="0"/>
              <w:marTop w:val="0"/>
              <w:marBottom w:val="0"/>
              <w:divBdr>
                <w:top w:val="none" w:sz="0" w:space="0" w:color="auto"/>
                <w:left w:val="none" w:sz="0" w:space="0" w:color="auto"/>
                <w:bottom w:val="none" w:sz="0" w:space="0" w:color="auto"/>
                <w:right w:val="none" w:sz="0" w:space="0" w:color="auto"/>
              </w:divBdr>
            </w:div>
            <w:div w:id="1764690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744">
      <w:marLeft w:val="0"/>
      <w:marRight w:val="0"/>
      <w:marTop w:val="0"/>
      <w:marBottom w:val="0"/>
      <w:divBdr>
        <w:top w:val="none" w:sz="0" w:space="0" w:color="auto"/>
        <w:left w:val="none" w:sz="0" w:space="0" w:color="auto"/>
        <w:bottom w:val="none" w:sz="0" w:space="0" w:color="auto"/>
        <w:right w:val="none" w:sz="0" w:space="0" w:color="auto"/>
      </w:divBdr>
    </w:div>
    <w:div w:id="1764689745">
      <w:marLeft w:val="0"/>
      <w:marRight w:val="0"/>
      <w:marTop w:val="0"/>
      <w:marBottom w:val="0"/>
      <w:divBdr>
        <w:top w:val="none" w:sz="0" w:space="0" w:color="auto"/>
        <w:left w:val="none" w:sz="0" w:space="0" w:color="auto"/>
        <w:bottom w:val="none" w:sz="0" w:space="0" w:color="auto"/>
        <w:right w:val="none" w:sz="0" w:space="0" w:color="auto"/>
      </w:divBdr>
    </w:div>
    <w:div w:id="1764689756">
      <w:marLeft w:val="0"/>
      <w:marRight w:val="0"/>
      <w:marTop w:val="0"/>
      <w:marBottom w:val="0"/>
      <w:divBdr>
        <w:top w:val="none" w:sz="0" w:space="0" w:color="auto"/>
        <w:left w:val="none" w:sz="0" w:space="0" w:color="auto"/>
        <w:bottom w:val="none" w:sz="0" w:space="0" w:color="auto"/>
        <w:right w:val="none" w:sz="0" w:space="0" w:color="auto"/>
      </w:divBdr>
    </w:div>
    <w:div w:id="1764689768">
      <w:marLeft w:val="0"/>
      <w:marRight w:val="0"/>
      <w:marTop w:val="0"/>
      <w:marBottom w:val="0"/>
      <w:divBdr>
        <w:top w:val="none" w:sz="0" w:space="0" w:color="auto"/>
        <w:left w:val="none" w:sz="0" w:space="0" w:color="auto"/>
        <w:bottom w:val="none" w:sz="0" w:space="0" w:color="auto"/>
        <w:right w:val="none" w:sz="0" w:space="0" w:color="auto"/>
      </w:divBdr>
      <w:divsChild>
        <w:div w:id="1764690410">
          <w:marLeft w:val="0"/>
          <w:marRight w:val="0"/>
          <w:marTop w:val="0"/>
          <w:marBottom w:val="0"/>
          <w:divBdr>
            <w:top w:val="none" w:sz="0" w:space="0" w:color="auto"/>
            <w:left w:val="none" w:sz="0" w:space="0" w:color="auto"/>
            <w:bottom w:val="none" w:sz="0" w:space="0" w:color="auto"/>
            <w:right w:val="none" w:sz="0" w:space="0" w:color="auto"/>
          </w:divBdr>
          <w:divsChild>
            <w:div w:id="1764690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771">
      <w:marLeft w:val="0"/>
      <w:marRight w:val="0"/>
      <w:marTop w:val="0"/>
      <w:marBottom w:val="0"/>
      <w:divBdr>
        <w:top w:val="none" w:sz="0" w:space="0" w:color="auto"/>
        <w:left w:val="none" w:sz="0" w:space="0" w:color="auto"/>
        <w:bottom w:val="none" w:sz="0" w:space="0" w:color="auto"/>
        <w:right w:val="none" w:sz="0" w:space="0" w:color="auto"/>
      </w:divBdr>
      <w:divsChild>
        <w:div w:id="1764690533">
          <w:marLeft w:val="0"/>
          <w:marRight w:val="0"/>
          <w:marTop w:val="0"/>
          <w:marBottom w:val="0"/>
          <w:divBdr>
            <w:top w:val="none" w:sz="0" w:space="0" w:color="auto"/>
            <w:left w:val="none" w:sz="0" w:space="0" w:color="auto"/>
            <w:bottom w:val="none" w:sz="0" w:space="0" w:color="auto"/>
            <w:right w:val="none" w:sz="0" w:space="0" w:color="auto"/>
          </w:divBdr>
          <w:divsChild>
            <w:div w:id="1764689365">
              <w:marLeft w:val="0"/>
              <w:marRight w:val="0"/>
              <w:marTop w:val="0"/>
              <w:marBottom w:val="0"/>
              <w:divBdr>
                <w:top w:val="none" w:sz="0" w:space="0" w:color="auto"/>
                <w:left w:val="none" w:sz="0" w:space="0" w:color="auto"/>
                <w:bottom w:val="none" w:sz="0" w:space="0" w:color="auto"/>
                <w:right w:val="none" w:sz="0" w:space="0" w:color="auto"/>
              </w:divBdr>
            </w:div>
            <w:div w:id="1764689791">
              <w:marLeft w:val="0"/>
              <w:marRight w:val="0"/>
              <w:marTop w:val="0"/>
              <w:marBottom w:val="0"/>
              <w:divBdr>
                <w:top w:val="none" w:sz="0" w:space="0" w:color="auto"/>
                <w:left w:val="none" w:sz="0" w:space="0" w:color="auto"/>
                <w:bottom w:val="none" w:sz="0" w:space="0" w:color="auto"/>
                <w:right w:val="none" w:sz="0" w:space="0" w:color="auto"/>
              </w:divBdr>
            </w:div>
            <w:div w:id="1764689792">
              <w:marLeft w:val="0"/>
              <w:marRight w:val="0"/>
              <w:marTop w:val="0"/>
              <w:marBottom w:val="0"/>
              <w:divBdr>
                <w:top w:val="none" w:sz="0" w:space="0" w:color="auto"/>
                <w:left w:val="none" w:sz="0" w:space="0" w:color="auto"/>
                <w:bottom w:val="none" w:sz="0" w:space="0" w:color="auto"/>
                <w:right w:val="none" w:sz="0" w:space="0" w:color="auto"/>
              </w:divBdr>
            </w:div>
            <w:div w:id="1764689814">
              <w:marLeft w:val="0"/>
              <w:marRight w:val="0"/>
              <w:marTop w:val="0"/>
              <w:marBottom w:val="0"/>
              <w:divBdr>
                <w:top w:val="none" w:sz="0" w:space="0" w:color="auto"/>
                <w:left w:val="none" w:sz="0" w:space="0" w:color="auto"/>
                <w:bottom w:val="none" w:sz="0" w:space="0" w:color="auto"/>
                <w:right w:val="none" w:sz="0" w:space="0" w:color="auto"/>
              </w:divBdr>
            </w:div>
            <w:div w:id="176469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772">
      <w:marLeft w:val="0"/>
      <w:marRight w:val="0"/>
      <w:marTop w:val="0"/>
      <w:marBottom w:val="0"/>
      <w:divBdr>
        <w:top w:val="none" w:sz="0" w:space="0" w:color="auto"/>
        <w:left w:val="none" w:sz="0" w:space="0" w:color="auto"/>
        <w:bottom w:val="none" w:sz="0" w:space="0" w:color="auto"/>
        <w:right w:val="none" w:sz="0" w:space="0" w:color="auto"/>
      </w:divBdr>
    </w:div>
    <w:div w:id="1764689773">
      <w:marLeft w:val="0"/>
      <w:marRight w:val="0"/>
      <w:marTop w:val="0"/>
      <w:marBottom w:val="0"/>
      <w:divBdr>
        <w:top w:val="none" w:sz="0" w:space="0" w:color="auto"/>
        <w:left w:val="none" w:sz="0" w:space="0" w:color="auto"/>
        <w:bottom w:val="none" w:sz="0" w:space="0" w:color="auto"/>
        <w:right w:val="none" w:sz="0" w:space="0" w:color="auto"/>
      </w:divBdr>
      <w:divsChild>
        <w:div w:id="1764690270">
          <w:marLeft w:val="0"/>
          <w:marRight w:val="0"/>
          <w:marTop w:val="0"/>
          <w:marBottom w:val="0"/>
          <w:divBdr>
            <w:top w:val="none" w:sz="0" w:space="0" w:color="auto"/>
            <w:left w:val="none" w:sz="0" w:space="0" w:color="auto"/>
            <w:bottom w:val="none" w:sz="0" w:space="0" w:color="auto"/>
            <w:right w:val="none" w:sz="0" w:space="0" w:color="auto"/>
          </w:divBdr>
        </w:div>
      </w:divsChild>
    </w:div>
    <w:div w:id="1764689775">
      <w:marLeft w:val="0"/>
      <w:marRight w:val="0"/>
      <w:marTop w:val="0"/>
      <w:marBottom w:val="0"/>
      <w:divBdr>
        <w:top w:val="none" w:sz="0" w:space="0" w:color="auto"/>
        <w:left w:val="none" w:sz="0" w:space="0" w:color="auto"/>
        <w:bottom w:val="none" w:sz="0" w:space="0" w:color="auto"/>
        <w:right w:val="none" w:sz="0" w:space="0" w:color="auto"/>
      </w:divBdr>
    </w:div>
    <w:div w:id="1764689778">
      <w:marLeft w:val="0"/>
      <w:marRight w:val="0"/>
      <w:marTop w:val="0"/>
      <w:marBottom w:val="0"/>
      <w:divBdr>
        <w:top w:val="none" w:sz="0" w:space="0" w:color="auto"/>
        <w:left w:val="none" w:sz="0" w:space="0" w:color="auto"/>
        <w:bottom w:val="none" w:sz="0" w:space="0" w:color="auto"/>
        <w:right w:val="none" w:sz="0" w:space="0" w:color="auto"/>
      </w:divBdr>
    </w:div>
    <w:div w:id="1764689781">
      <w:marLeft w:val="0"/>
      <w:marRight w:val="0"/>
      <w:marTop w:val="0"/>
      <w:marBottom w:val="0"/>
      <w:divBdr>
        <w:top w:val="none" w:sz="0" w:space="0" w:color="auto"/>
        <w:left w:val="none" w:sz="0" w:space="0" w:color="auto"/>
        <w:bottom w:val="none" w:sz="0" w:space="0" w:color="auto"/>
        <w:right w:val="none" w:sz="0" w:space="0" w:color="auto"/>
      </w:divBdr>
    </w:div>
    <w:div w:id="1764689782">
      <w:marLeft w:val="0"/>
      <w:marRight w:val="0"/>
      <w:marTop w:val="0"/>
      <w:marBottom w:val="0"/>
      <w:divBdr>
        <w:top w:val="none" w:sz="0" w:space="0" w:color="auto"/>
        <w:left w:val="none" w:sz="0" w:space="0" w:color="auto"/>
        <w:bottom w:val="none" w:sz="0" w:space="0" w:color="auto"/>
        <w:right w:val="none" w:sz="0" w:space="0" w:color="auto"/>
      </w:divBdr>
    </w:div>
    <w:div w:id="1764689785">
      <w:marLeft w:val="0"/>
      <w:marRight w:val="0"/>
      <w:marTop w:val="0"/>
      <w:marBottom w:val="0"/>
      <w:divBdr>
        <w:top w:val="none" w:sz="0" w:space="0" w:color="auto"/>
        <w:left w:val="none" w:sz="0" w:space="0" w:color="auto"/>
        <w:bottom w:val="none" w:sz="0" w:space="0" w:color="auto"/>
        <w:right w:val="none" w:sz="0" w:space="0" w:color="auto"/>
      </w:divBdr>
      <w:divsChild>
        <w:div w:id="1764689765">
          <w:marLeft w:val="0"/>
          <w:marRight w:val="0"/>
          <w:marTop w:val="0"/>
          <w:marBottom w:val="0"/>
          <w:divBdr>
            <w:top w:val="none" w:sz="0" w:space="0" w:color="auto"/>
            <w:left w:val="none" w:sz="0" w:space="0" w:color="auto"/>
            <w:bottom w:val="none" w:sz="0" w:space="0" w:color="auto"/>
            <w:right w:val="none" w:sz="0" w:space="0" w:color="auto"/>
          </w:divBdr>
        </w:div>
      </w:divsChild>
    </w:div>
    <w:div w:id="1764689786">
      <w:marLeft w:val="0"/>
      <w:marRight w:val="0"/>
      <w:marTop w:val="0"/>
      <w:marBottom w:val="0"/>
      <w:divBdr>
        <w:top w:val="none" w:sz="0" w:space="0" w:color="auto"/>
        <w:left w:val="none" w:sz="0" w:space="0" w:color="auto"/>
        <w:bottom w:val="none" w:sz="0" w:space="0" w:color="auto"/>
        <w:right w:val="none" w:sz="0" w:space="0" w:color="auto"/>
      </w:divBdr>
      <w:divsChild>
        <w:div w:id="1764689787">
          <w:marLeft w:val="0"/>
          <w:marRight w:val="0"/>
          <w:marTop w:val="0"/>
          <w:marBottom w:val="0"/>
          <w:divBdr>
            <w:top w:val="none" w:sz="0" w:space="0" w:color="auto"/>
            <w:left w:val="none" w:sz="0" w:space="0" w:color="auto"/>
            <w:bottom w:val="none" w:sz="0" w:space="0" w:color="auto"/>
            <w:right w:val="none" w:sz="0" w:space="0" w:color="auto"/>
          </w:divBdr>
          <w:divsChild>
            <w:div w:id="1764689397">
              <w:marLeft w:val="0"/>
              <w:marRight w:val="0"/>
              <w:marTop w:val="0"/>
              <w:marBottom w:val="0"/>
              <w:divBdr>
                <w:top w:val="none" w:sz="0" w:space="0" w:color="auto"/>
                <w:left w:val="none" w:sz="0" w:space="0" w:color="auto"/>
                <w:bottom w:val="none" w:sz="0" w:space="0" w:color="auto"/>
                <w:right w:val="none" w:sz="0" w:space="0" w:color="auto"/>
              </w:divBdr>
            </w:div>
            <w:div w:id="1764690492">
              <w:marLeft w:val="0"/>
              <w:marRight w:val="0"/>
              <w:marTop w:val="0"/>
              <w:marBottom w:val="0"/>
              <w:divBdr>
                <w:top w:val="none" w:sz="0" w:space="0" w:color="auto"/>
                <w:left w:val="none" w:sz="0" w:space="0" w:color="auto"/>
                <w:bottom w:val="none" w:sz="0" w:space="0" w:color="auto"/>
                <w:right w:val="none" w:sz="0" w:space="0" w:color="auto"/>
              </w:divBdr>
            </w:div>
            <w:div w:id="1764690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794">
      <w:marLeft w:val="0"/>
      <w:marRight w:val="0"/>
      <w:marTop w:val="0"/>
      <w:marBottom w:val="0"/>
      <w:divBdr>
        <w:top w:val="none" w:sz="0" w:space="0" w:color="auto"/>
        <w:left w:val="none" w:sz="0" w:space="0" w:color="auto"/>
        <w:bottom w:val="none" w:sz="0" w:space="0" w:color="auto"/>
        <w:right w:val="none" w:sz="0" w:space="0" w:color="auto"/>
      </w:divBdr>
    </w:div>
    <w:div w:id="1764689799">
      <w:marLeft w:val="0"/>
      <w:marRight w:val="0"/>
      <w:marTop w:val="0"/>
      <w:marBottom w:val="0"/>
      <w:divBdr>
        <w:top w:val="none" w:sz="0" w:space="0" w:color="auto"/>
        <w:left w:val="none" w:sz="0" w:space="0" w:color="auto"/>
        <w:bottom w:val="none" w:sz="0" w:space="0" w:color="auto"/>
        <w:right w:val="none" w:sz="0" w:space="0" w:color="auto"/>
      </w:divBdr>
      <w:divsChild>
        <w:div w:id="1764690211">
          <w:marLeft w:val="0"/>
          <w:marRight w:val="0"/>
          <w:marTop w:val="0"/>
          <w:marBottom w:val="0"/>
          <w:divBdr>
            <w:top w:val="none" w:sz="0" w:space="0" w:color="auto"/>
            <w:left w:val="none" w:sz="0" w:space="0" w:color="auto"/>
            <w:bottom w:val="none" w:sz="0" w:space="0" w:color="auto"/>
            <w:right w:val="none" w:sz="0" w:space="0" w:color="auto"/>
          </w:divBdr>
          <w:divsChild>
            <w:div w:id="1764689249">
              <w:marLeft w:val="0"/>
              <w:marRight w:val="0"/>
              <w:marTop w:val="0"/>
              <w:marBottom w:val="0"/>
              <w:divBdr>
                <w:top w:val="none" w:sz="0" w:space="0" w:color="auto"/>
                <w:left w:val="none" w:sz="0" w:space="0" w:color="auto"/>
                <w:bottom w:val="none" w:sz="0" w:space="0" w:color="auto"/>
                <w:right w:val="none" w:sz="0" w:space="0" w:color="auto"/>
              </w:divBdr>
            </w:div>
            <w:div w:id="1764689473">
              <w:marLeft w:val="0"/>
              <w:marRight w:val="0"/>
              <w:marTop w:val="0"/>
              <w:marBottom w:val="0"/>
              <w:divBdr>
                <w:top w:val="none" w:sz="0" w:space="0" w:color="auto"/>
                <w:left w:val="none" w:sz="0" w:space="0" w:color="auto"/>
                <w:bottom w:val="none" w:sz="0" w:space="0" w:color="auto"/>
                <w:right w:val="none" w:sz="0" w:space="0" w:color="auto"/>
              </w:divBdr>
            </w:div>
            <w:div w:id="1764689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800">
      <w:marLeft w:val="0"/>
      <w:marRight w:val="0"/>
      <w:marTop w:val="0"/>
      <w:marBottom w:val="0"/>
      <w:divBdr>
        <w:top w:val="none" w:sz="0" w:space="0" w:color="auto"/>
        <w:left w:val="none" w:sz="0" w:space="0" w:color="auto"/>
        <w:bottom w:val="none" w:sz="0" w:space="0" w:color="auto"/>
        <w:right w:val="none" w:sz="0" w:space="0" w:color="auto"/>
      </w:divBdr>
      <w:divsChild>
        <w:div w:id="1764690060">
          <w:marLeft w:val="0"/>
          <w:marRight w:val="0"/>
          <w:marTop w:val="0"/>
          <w:marBottom w:val="0"/>
          <w:divBdr>
            <w:top w:val="none" w:sz="0" w:space="0" w:color="auto"/>
            <w:left w:val="none" w:sz="0" w:space="0" w:color="auto"/>
            <w:bottom w:val="none" w:sz="0" w:space="0" w:color="auto"/>
            <w:right w:val="none" w:sz="0" w:space="0" w:color="auto"/>
          </w:divBdr>
        </w:div>
      </w:divsChild>
    </w:div>
    <w:div w:id="1764689802">
      <w:marLeft w:val="0"/>
      <w:marRight w:val="0"/>
      <w:marTop w:val="0"/>
      <w:marBottom w:val="0"/>
      <w:divBdr>
        <w:top w:val="none" w:sz="0" w:space="0" w:color="auto"/>
        <w:left w:val="none" w:sz="0" w:space="0" w:color="auto"/>
        <w:bottom w:val="none" w:sz="0" w:space="0" w:color="auto"/>
        <w:right w:val="none" w:sz="0" w:space="0" w:color="auto"/>
      </w:divBdr>
      <w:divsChild>
        <w:div w:id="1764689489">
          <w:marLeft w:val="0"/>
          <w:marRight w:val="0"/>
          <w:marTop w:val="0"/>
          <w:marBottom w:val="0"/>
          <w:divBdr>
            <w:top w:val="none" w:sz="0" w:space="0" w:color="auto"/>
            <w:left w:val="none" w:sz="0" w:space="0" w:color="auto"/>
            <w:bottom w:val="none" w:sz="0" w:space="0" w:color="auto"/>
            <w:right w:val="none" w:sz="0" w:space="0" w:color="auto"/>
          </w:divBdr>
          <w:divsChild>
            <w:div w:id="1764689078">
              <w:marLeft w:val="0"/>
              <w:marRight w:val="0"/>
              <w:marTop w:val="0"/>
              <w:marBottom w:val="0"/>
              <w:divBdr>
                <w:top w:val="none" w:sz="0" w:space="0" w:color="auto"/>
                <w:left w:val="none" w:sz="0" w:space="0" w:color="auto"/>
                <w:bottom w:val="none" w:sz="0" w:space="0" w:color="auto"/>
                <w:right w:val="none" w:sz="0" w:space="0" w:color="auto"/>
              </w:divBdr>
            </w:div>
            <w:div w:id="1764689451">
              <w:marLeft w:val="0"/>
              <w:marRight w:val="0"/>
              <w:marTop w:val="0"/>
              <w:marBottom w:val="0"/>
              <w:divBdr>
                <w:top w:val="none" w:sz="0" w:space="0" w:color="auto"/>
                <w:left w:val="none" w:sz="0" w:space="0" w:color="auto"/>
                <w:bottom w:val="none" w:sz="0" w:space="0" w:color="auto"/>
                <w:right w:val="none" w:sz="0" w:space="0" w:color="auto"/>
              </w:divBdr>
            </w:div>
            <w:div w:id="1764690363">
              <w:marLeft w:val="0"/>
              <w:marRight w:val="0"/>
              <w:marTop w:val="0"/>
              <w:marBottom w:val="0"/>
              <w:divBdr>
                <w:top w:val="none" w:sz="0" w:space="0" w:color="auto"/>
                <w:left w:val="none" w:sz="0" w:space="0" w:color="auto"/>
                <w:bottom w:val="none" w:sz="0" w:space="0" w:color="auto"/>
                <w:right w:val="none" w:sz="0" w:space="0" w:color="auto"/>
              </w:divBdr>
            </w:div>
            <w:div w:id="1764690426">
              <w:marLeft w:val="0"/>
              <w:marRight w:val="0"/>
              <w:marTop w:val="0"/>
              <w:marBottom w:val="0"/>
              <w:divBdr>
                <w:top w:val="none" w:sz="0" w:space="0" w:color="auto"/>
                <w:left w:val="none" w:sz="0" w:space="0" w:color="auto"/>
                <w:bottom w:val="none" w:sz="0" w:space="0" w:color="auto"/>
                <w:right w:val="none" w:sz="0" w:space="0" w:color="auto"/>
              </w:divBdr>
            </w:div>
            <w:div w:id="1764690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809">
      <w:marLeft w:val="0"/>
      <w:marRight w:val="0"/>
      <w:marTop w:val="0"/>
      <w:marBottom w:val="0"/>
      <w:divBdr>
        <w:top w:val="none" w:sz="0" w:space="0" w:color="auto"/>
        <w:left w:val="none" w:sz="0" w:space="0" w:color="auto"/>
        <w:bottom w:val="none" w:sz="0" w:space="0" w:color="auto"/>
        <w:right w:val="none" w:sz="0" w:space="0" w:color="auto"/>
      </w:divBdr>
      <w:divsChild>
        <w:div w:id="1764689815">
          <w:marLeft w:val="0"/>
          <w:marRight w:val="0"/>
          <w:marTop w:val="0"/>
          <w:marBottom w:val="0"/>
          <w:divBdr>
            <w:top w:val="none" w:sz="0" w:space="0" w:color="auto"/>
            <w:left w:val="none" w:sz="0" w:space="0" w:color="auto"/>
            <w:bottom w:val="none" w:sz="0" w:space="0" w:color="auto"/>
            <w:right w:val="none" w:sz="0" w:space="0" w:color="auto"/>
          </w:divBdr>
          <w:divsChild>
            <w:div w:id="1764689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816">
      <w:marLeft w:val="0"/>
      <w:marRight w:val="0"/>
      <w:marTop w:val="0"/>
      <w:marBottom w:val="0"/>
      <w:divBdr>
        <w:top w:val="none" w:sz="0" w:space="0" w:color="auto"/>
        <w:left w:val="none" w:sz="0" w:space="0" w:color="auto"/>
        <w:bottom w:val="none" w:sz="0" w:space="0" w:color="auto"/>
        <w:right w:val="none" w:sz="0" w:space="0" w:color="auto"/>
      </w:divBdr>
    </w:div>
    <w:div w:id="1764689819">
      <w:marLeft w:val="0"/>
      <w:marRight w:val="0"/>
      <w:marTop w:val="0"/>
      <w:marBottom w:val="0"/>
      <w:divBdr>
        <w:top w:val="none" w:sz="0" w:space="0" w:color="auto"/>
        <w:left w:val="none" w:sz="0" w:space="0" w:color="auto"/>
        <w:bottom w:val="none" w:sz="0" w:space="0" w:color="auto"/>
        <w:right w:val="none" w:sz="0" w:space="0" w:color="auto"/>
      </w:divBdr>
      <w:divsChild>
        <w:div w:id="1764690391">
          <w:marLeft w:val="0"/>
          <w:marRight w:val="0"/>
          <w:marTop w:val="0"/>
          <w:marBottom w:val="0"/>
          <w:divBdr>
            <w:top w:val="none" w:sz="0" w:space="0" w:color="auto"/>
            <w:left w:val="none" w:sz="0" w:space="0" w:color="auto"/>
            <w:bottom w:val="none" w:sz="0" w:space="0" w:color="auto"/>
            <w:right w:val="none" w:sz="0" w:space="0" w:color="auto"/>
          </w:divBdr>
          <w:divsChild>
            <w:div w:id="1764689125">
              <w:marLeft w:val="0"/>
              <w:marRight w:val="0"/>
              <w:marTop w:val="0"/>
              <w:marBottom w:val="0"/>
              <w:divBdr>
                <w:top w:val="none" w:sz="0" w:space="0" w:color="auto"/>
                <w:left w:val="none" w:sz="0" w:space="0" w:color="auto"/>
                <w:bottom w:val="none" w:sz="0" w:space="0" w:color="auto"/>
                <w:right w:val="none" w:sz="0" w:space="0" w:color="auto"/>
              </w:divBdr>
            </w:div>
            <w:div w:id="1764689463">
              <w:marLeft w:val="0"/>
              <w:marRight w:val="0"/>
              <w:marTop w:val="0"/>
              <w:marBottom w:val="0"/>
              <w:divBdr>
                <w:top w:val="none" w:sz="0" w:space="0" w:color="auto"/>
                <w:left w:val="none" w:sz="0" w:space="0" w:color="auto"/>
                <w:bottom w:val="none" w:sz="0" w:space="0" w:color="auto"/>
                <w:right w:val="none" w:sz="0" w:space="0" w:color="auto"/>
              </w:divBdr>
            </w:div>
            <w:div w:id="1764689543">
              <w:marLeft w:val="0"/>
              <w:marRight w:val="0"/>
              <w:marTop w:val="0"/>
              <w:marBottom w:val="0"/>
              <w:divBdr>
                <w:top w:val="none" w:sz="0" w:space="0" w:color="auto"/>
                <w:left w:val="none" w:sz="0" w:space="0" w:color="auto"/>
                <w:bottom w:val="none" w:sz="0" w:space="0" w:color="auto"/>
                <w:right w:val="none" w:sz="0" w:space="0" w:color="auto"/>
              </w:divBdr>
            </w:div>
            <w:div w:id="1764689737">
              <w:marLeft w:val="0"/>
              <w:marRight w:val="0"/>
              <w:marTop w:val="0"/>
              <w:marBottom w:val="0"/>
              <w:divBdr>
                <w:top w:val="none" w:sz="0" w:space="0" w:color="auto"/>
                <w:left w:val="none" w:sz="0" w:space="0" w:color="auto"/>
                <w:bottom w:val="none" w:sz="0" w:space="0" w:color="auto"/>
                <w:right w:val="none" w:sz="0" w:space="0" w:color="auto"/>
              </w:divBdr>
            </w:div>
            <w:div w:id="1764689842">
              <w:marLeft w:val="0"/>
              <w:marRight w:val="0"/>
              <w:marTop w:val="0"/>
              <w:marBottom w:val="0"/>
              <w:divBdr>
                <w:top w:val="none" w:sz="0" w:space="0" w:color="auto"/>
                <w:left w:val="none" w:sz="0" w:space="0" w:color="auto"/>
                <w:bottom w:val="none" w:sz="0" w:space="0" w:color="auto"/>
                <w:right w:val="none" w:sz="0" w:space="0" w:color="auto"/>
              </w:divBdr>
            </w:div>
            <w:div w:id="1764690077">
              <w:marLeft w:val="0"/>
              <w:marRight w:val="0"/>
              <w:marTop w:val="0"/>
              <w:marBottom w:val="0"/>
              <w:divBdr>
                <w:top w:val="none" w:sz="0" w:space="0" w:color="auto"/>
                <w:left w:val="none" w:sz="0" w:space="0" w:color="auto"/>
                <w:bottom w:val="none" w:sz="0" w:space="0" w:color="auto"/>
                <w:right w:val="none" w:sz="0" w:space="0" w:color="auto"/>
              </w:divBdr>
            </w:div>
            <w:div w:id="1764690144">
              <w:marLeft w:val="0"/>
              <w:marRight w:val="0"/>
              <w:marTop w:val="0"/>
              <w:marBottom w:val="0"/>
              <w:divBdr>
                <w:top w:val="none" w:sz="0" w:space="0" w:color="auto"/>
                <w:left w:val="none" w:sz="0" w:space="0" w:color="auto"/>
                <w:bottom w:val="none" w:sz="0" w:space="0" w:color="auto"/>
                <w:right w:val="none" w:sz="0" w:space="0" w:color="auto"/>
              </w:divBdr>
            </w:div>
            <w:div w:id="176469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824">
      <w:marLeft w:val="0"/>
      <w:marRight w:val="0"/>
      <w:marTop w:val="0"/>
      <w:marBottom w:val="0"/>
      <w:divBdr>
        <w:top w:val="none" w:sz="0" w:space="0" w:color="auto"/>
        <w:left w:val="none" w:sz="0" w:space="0" w:color="auto"/>
        <w:bottom w:val="none" w:sz="0" w:space="0" w:color="auto"/>
        <w:right w:val="none" w:sz="0" w:space="0" w:color="auto"/>
      </w:divBdr>
      <w:divsChild>
        <w:div w:id="1764689184">
          <w:marLeft w:val="0"/>
          <w:marRight w:val="0"/>
          <w:marTop w:val="0"/>
          <w:marBottom w:val="0"/>
          <w:divBdr>
            <w:top w:val="none" w:sz="0" w:space="0" w:color="auto"/>
            <w:left w:val="none" w:sz="0" w:space="0" w:color="auto"/>
            <w:bottom w:val="none" w:sz="0" w:space="0" w:color="auto"/>
            <w:right w:val="none" w:sz="0" w:space="0" w:color="auto"/>
          </w:divBdr>
          <w:divsChild>
            <w:div w:id="1764689084">
              <w:marLeft w:val="0"/>
              <w:marRight w:val="0"/>
              <w:marTop w:val="0"/>
              <w:marBottom w:val="0"/>
              <w:divBdr>
                <w:top w:val="none" w:sz="0" w:space="0" w:color="auto"/>
                <w:left w:val="none" w:sz="0" w:space="0" w:color="auto"/>
                <w:bottom w:val="none" w:sz="0" w:space="0" w:color="auto"/>
                <w:right w:val="none" w:sz="0" w:space="0" w:color="auto"/>
              </w:divBdr>
            </w:div>
            <w:div w:id="1764689246">
              <w:marLeft w:val="0"/>
              <w:marRight w:val="0"/>
              <w:marTop w:val="0"/>
              <w:marBottom w:val="0"/>
              <w:divBdr>
                <w:top w:val="none" w:sz="0" w:space="0" w:color="auto"/>
                <w:left w:val="none" w:sz="0" w:space="0" w:color="auto"/>
                <w:bottom w:val="none" w:sz="0" w:space="0" w:color="auto"/>
                <w:right w:val="none" w:sz="0" w:space="0" w:color="auto"/>
              </w:divBdr>
            </w:div>
            <w:div w:id="1764689345">
              <w:marLeft w:val="0"/>
              <w:marRight w:val="0"/>
              <w:marTop w:val="0"/>
              <w:marBottom w:val="0"/>
              <w:divBdr>
                <w:top w:val="none" w:sz="0" w:space="0" w:color="auto"/>
                <w:left w:val="none" w:sz="0" w:space="0" w:color="auto"/>
                <w:bottom w:val="none" w:sz="0" w:space="0" w:color="auto"/>
                <w:right w:val="none" w:sz="0" w:space="0" w:color="auto"/>
              </w:divBdr>
            </w:div>
            <w:div w:id="1764689588">
              <w:marLeft w:val="0"/>
              <w:marRight w:val="0"/>
              <w:marTop w:val="0"/>
              <w:marBottom w:val="0"/>
              <w:divBdr>
                <w:top w:val="none" w:sz="0" w:space="0" w:color="auto"/>
                <w:left w:val="none" w:sz="0" w:space="0" w:color="auto"/>
                <w:bottom w:val="none" w:sz="0" w:space="0" w:color="auto"/>
                <w:right w:val="none" w:sz="0" w:space="0" w:color="auto"/>
              </w:divBdr>
            </w:div>
            <w:div w:id="1764689746">
              <w:marLeft w:val="0"/>
              <w:marRight w:val="0"/>
              <w:marTop w:val="0"/>
              <w:marBottom w:val="0"/>
              <w:divBdr>
                <w:top w:val="none" w:sz="0" w:space="0" w:color="auto"/>
                <w:left w:val="none" w:sz="0" w:space="0" w:color="auto"/>
                <w:bottom w:val="none" w:sz="0" w:space="0" w:color="auto"/>
                <w:right w:val="none" w:sz="0" w:space="0" w:color="auto"/>
              </w:divBdr>
            </w:div>
            <w:div w:id="1764689762">
              <w:marLeft w:val="0"/>
              <w:marRight w:val="0"/>
              <w:marTop w:val="0"/>
              <w:marBottom w:val="0"/>
              <w:divBdr>
                <w:top w:val="none" w:sz="0" w:space="0" w:color="auto"/>
                <w:left w:val="none" w:sz="0" w:space="0" w:color="auto"/>
                <w:bottom w:val="none" w:sz="0" w:space="0" w:color="auto"/>
                <w:right w:val="none" w:sz="0" w:space="0" w:color="auto"/>
              </w:divBdr>
            </w:div>
            <w:div w:id="1764689906">
              <w:marLeft w:val="0"/>
              <w:marRight w:val="0"/>
              <w:marTop w:val="0"/>
              <w:marBottom w:val="0"/>
              <w:divBdr>
                <w:top w:val="none" w:sz="0" w:space="0" w:color="auto"/>
                <w:left w:val="none" w:sz="0" w:space="0" w:color="auto"/>
                <w:bottom w:val="none" w:sz="0" w:space="0" w:color="auto"/>
                <w:right w:val="none" w:sz="0" w:space="0" w:color="auto"/>
              </w:divBdr>
            </w:div>
            <w:div w:id="1764690342">
              <w:marLeft w:val="0"/>
              <w:marRight w:val="0"/>
              <w:marTop w:val="0"/>
              <w:marBottom w:val="0"/>
              <w:divBdr>
                <w:top w:val="none" w:sz="0" w:space="0" w:color="auto"/>
                <w:left w:val="none" w:sz="0" w:space="0" w:color="auto"/>
                <w:bottom w:val="none" w:sz="0" w:space="0" w:color="auto"/>
                <w:right w:val="none" w:sz="0" w:space="0" w:color="auto"/>
              </w:divBdr>
            </w:div>
            <w:div w:id="1764690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826">
      <w:marLeft w:val="0"/>
      <w:marRight w:val="0"/>
      <w:marTop w:val="0"/>
      <w:marBottom w:val="0"/>
      <w:divBdr>
        <w:top w:val="none" w:sz="0" w:space="0" w:color="auto"/>
        <w:left w:val="none" w:sz="0" w:space="0" w:color="auto"/>
        <w:bottom w:val="none" w:sz="0" w:space="0" w:color="auto"/>
        <w:right w:val="none" w:sz="0" w:space="0" w:color="auto"/>
      </w:divBdr>
    </w:div>
    <w:div w:id="1764689829">
      <w:marLeft w:val="0"/>
      <w:marRight w:val="0"/>
      <w:marTop w:val="0"/>
      <w:marBottom w:val="0"/>
      <w:divBdr>
        <w:top w:val="none" w:sz="0" w:space="0" w:color="auto"/>
        <w:left w:val="none" w:sz="0" w:space="0" w:color="auto"/>
        <w:bottom w:val="none" w:sz="0" w:space="0" w:color="auto"/>
        <w:right w:val="none" w:sz="0" w:space="0" w:color="auto"/>
      </w:divBdr>
    </w:div>
    <w:div w:id="1764689832">
      <w:marLeft w:val="0"/>
      <w:marRight w:val="0"/>
      <w:marTop w:val="0"/>
      <w:marBottom w:val="0"/>
      <w:divBdr>
        <w:top w:val="none" w:sz="0" w:space="0" w:color="auto"/>
        <w:left w:val="none" w:sz="0" w:space="0" w:color="auto"/>
        <w:bottom w:val="none" w:sz="0" w:space="0" w:color="auto"/>
        <w:right w:val="none" w:sz="0" w:space="0" w:color="auto"/>
      </w:divBdr>
      <w:divsChild>
        <w:div w:id="1764690587">
          <w:marLeft w:val="0"/>
          <w:marRight w:val="0"/>
          <w:marTop w:val="0"/>
          <w:marBottom w:val="0"/>
          <w:divBdr>
            <w:top w:val="none" w:sz="0" w:space="0" w:color="auto"/>
            <w:left w:val="none" w:sz="0" w:space="0" w:color="auto"/>
            <w:bottom w:val="none" w:sz="0" w:space="0" w:color="auto"/>
            <w:right w:val="none" w:sz="0" w:space="0" w:color="auto"/>
          </w:divBdr>
          <w:divsChild>
            <w:div w:id="1764689093">
              <w:marLeft w:val="0"/>
              <w:marRight w:val="0"/>
              <w:marTop w:val="0"/>
              <w:marBottom w:val="0"/>
              <w:divBdr>
                <w:top w:val="none" w:sz="0" w:space="0" w:color="auto"/>
                <w:left w:val="none" w:sz="0" w:space="0" w:color="auto"/>
                <w:bottom w:val="none" w:sz="0" w:space="0" w:color="auto"/>
                <w:right w:val="none" w:sz="0" w:space="0" w:color="auto"/>
              </w:divBdr>
            </w:div>
            <w:div w:id="1764689262">
              <w:marLeft w:val="0"/>
              <w:marRight w:val="0"/>
              <w:marTop w:val="0"/>
              <w:marBottom w:val="0"/>
              <w:divBdr>
                <w:top w:val="none" w:sz="0" w:space="0" w:color="auto"/>
                <w:left w:val="none" w:sz="0" w:space="0" w:color="auto"/>
                <w:bottom w:val="none" w:sz="0" w:space="0" w:color="auto"/>
                <w:right w:val="none" w:sz="0" w:space="0" w:color="auto"/>
              </w:divBdr>
            </w:div>
            <w:div w:id="1764689291">
              <w:marLeft w:val="0"/>
              <w:marRight w:val="0"/>
              <w:marTop w:val="0"/>
              <w:marBottom w:val="0"/>
              <w:divBdr>
                <w:top w:val="none" w:sz="0" w:space="0" w:color="auto"/>
                <w:left w:val="none" w:sz="0" w:space="0" w:color="auto"/>
                <w:bottom w:val="none" w:sz="0" w:space="0" w:color="auto"/>
                <w:right w:val="none" w:sz="0" w:space="0" w:color="auto"/>
              </w:divBdr>
            </w:div>
            <w:div w:id="1764689304">
              <w:marLeft w:val="0"/>
              <w:marRight w:val="0"/>
              <w:marTop w:val="0"/>
              <w:marBottom w:val="0"/>
              <w:divBdr>
                <w:top w:val="none" w:sz="0" w:space="0" w:color="auto"/>
                <w:left w:val="none" w:sz="0" w:space="0" w:color="auto"/>
                <w:bottom w:val="none" w:sz="0" w:space="0" w:color="auto"/>
                <w:right w:val="none" w:sz="0" w:space="0" w:color="auto"/>
              </w:divBdr>
            </w:div>
            <w:div w:id="1764689522">
              <w:marLeft w:val="0"/>
              <w:marRight w:val="0"/>
              <w:marTop w:val="0"/>
              <w:marBottom w:val="0"/>
              <w:divBdr>
                <w:top w:val="none" w:sz="0" w:space="0" w:color="auto"/>
                <w:left w:val="none" w:sz="0" w:space="0" w:color="auto"/>
                <w:bottom w:val="none" w:sz="0" w:space="0" w:color="auto"/>
                <w:right w:val="none" w:sz="0" w:space="0" w:color="auto"/>
              </w:divBdr>
            </w:div>
            <w:div w:id="1764689770">
              <w:marLeft w:val="0"/>
              <w:marRight w:val="0"/>
              <w:marTop w:val="0"/>
              <w:marBottom w:val="0"/>
              <w:divBdr>
                <w:top w:val="none" w:sz="0" w:space="0" w:color="auto"/>
                <w:left w:val="none" w:sz="0" w:space="0" w:color="auto"/>
                <w:bottom w:val="none" w:sz="0" w:space="0" w:color="auto"/>
                <w:right w:val="none" w:sz="0" w:space="0" w:color="auto"/>
              </w:divBdr>
            </w:div>
            <w:div w:id="1764690156">
              <w:marLeft w:val="0"/>
              <w:marRight w:val="0"/>
              <w:marTop w:val="0"/>
              <w:marBottom w:val="0"/>
              <w:divBdr>
                <w:top w:val="none" w:sz="0" w:space="0" w:color="auto"/>
                <w:left w:val="none" w:sz="0" w:space="0" w:color="auto"/>
                <w:bottom w:val="none" w:sz="0" w:space="0" w:color="auto"/>
                <w:right w:val="none" w:sz="0" w:space="0" w:color="auto"/>
              </w:divBdr>
            </w:div>
            <w:div w:id="1764690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833">
      <w:marLeft w:val="0"/>
      <w:marRight w:val="0"/>
      <w:marTop w:val="0"/>
      <w:marBottom w:val="0"/>
      <w:divBdr>
        <w:top w:val="none" w:sz="0" w:space="0" w:color="auto"/>
        <w:left w:val="none" w:sz="0" w:space="0" w:color="auto"/>
        <w:bottom w:val="none" w:sz="0" w:space="0" w:color="auto"/>
        <w:right w:val="none" w:sz="0" w:space="0" w:color="auto"/>
      </w:divBdr>
    </w:div>
    <w:div w:id="1764689834">
      <w:marLeft w:val="0"/>
      <w:marRight w:val="0"/>
      <w:marTop w:val="0"/>
      <w:marBottom w:val="0"/>
      <w:divBdr>
        <w:top w:val="none" w:sz="0" w:space="0" w:color="auto"/>
        <w:left w:val="none" w:sz="0" w:space="0" w:color="auto"/>
        <w:bottom w:val="none" w:sz="0" w:space="0" w:color="auto"/>
        <w:right w:val="none" w:sz="0" w:space="0" w:color="auto"/>
      </w:divBdr>
      <w:divsChild>
        <w:div w:id="1764689428">
          <w:marLeft w:val="0"/>
          <w:marRight w:val="0"/>
          <w:marTop w:val="0"/>
          <w:marBottom w:val="0"/>
          <w:divBdr>
            <w:top w:val="none" w:sz="0" w:space="0" w:color="auto"/>
            <w:left w:val="none" w:sz="0" w:space="0" w:color="auto"/>
            <w:bottom w:val="none" w:sz="0" w:space="0" w:color="auto"/>
            <w:right w:val="none" w:sz="0" w:space="0" w:color="auto"/>
          </w:divBdr>
        </w:div>
      </w:divsChild>
    </w:div>
    <w:div w:id="1764689840">
      <w:marLeft w:val="0"/>
      <w:marRight w:val="0"/>
      <w:marTop w:val="0"/>
      <w:marBottom w:val="0"/>
      <w:divBdr>
        <w:top w:val="none" w:sz="0" w:space="0" w:color="auto"/>
        <w:left w:val="none" w:sz="0" w:space="0" w:color="auto"/>
        <w:bottom w:val="none" w:sz="0" w:space="0" w:color="auto"/>
        <w:right w:val="none" w:sz="0" w:space="0" w:color="auto"/>
      </w:divBdr>
      <w:divsChild>
        <w:div w:id="1764690430">
          <w:marLeft w:val="0"/>
          <w:marRight w:val="0"/>
          <w:marTop w:val="0"/>
          <w:marBottom w:val="0"/>
          <w:divBdr>
            <w:top w:val="none" w:sz="0" w:space="0" w:color="auto"/>
            <w:left w:val="none" w:sz="0" w:space="0" w:color="auto"/>
            <w:bottom w:val="none" w:sz="0" w:space="0" w:color="auto"/>
            <w:right w:val="none" w:sz="0" w:space="0" w:color="auto"/>
          </w:divBdr>
        </w:div>
      </w:divsChild>
    </w:div>
    <w:div w:id="1764689841">
      <w:marLeft w:val="0"/>
      <w:marRight w:val="0"/>
      <w:marTop w:val="0"/>
      <w:marBottom w:val="0"/>
      <w:divBdr>
        <w:top w:val="none" w:sz="0" w:space="0" w:color="auto"/>
        <w:left w:val="none" w:sz="0" w:space="0" w:color="auto"/>
        <w:bottom w:val="none" w:sz="0" w:space="0" w:color="auto"/>
        <w:right w:val="none" w:sz="0" w:space="0" w:color="auto"/>
      </w:divBdr>
    </w:div>
    <w:div w:id="1764689845">
      <w:marLeft w:val="0"/>
      <w:marRight w:val="0"/>
      <w:marTop w:val="0"/>
      <w:marBottom w:val="0"/>
      <w:divBdr>
        <w:top w:val="none" w:sz="0" w:space="0" w:color="auto"/>
        <w:left w:val="none" w:sz="0" w:space="0" w:color="auto"/>
        <w:bottom w:val="none" w:sz="0" w:space="0" w:color="auto"/>
        <w:right w:val="none" w:sz="0" w:space="0" w:color="auto"/>
      </w:divBdr>
    </w:div>
    <w:div w:id="1764689849">
      <w:marLeft w:val="0"/>
      <w:marRight w:val="0"/>
      <w:marTop w:val="0"/>
      <w:marBottom w:val="0"/>
      <w:divBdr>
        <w:top w:val="none" w:sz="0" w:space="0" w:color="auto"/>
        <w:left w:val="none" w:sz="0" w:space="0" w:color="auto"/>
        <w:bottom w:val="none" w:sz="0" w:space="0" w:color="auto"/>
        <w:right w:val="none" w:sz="0" w:space="0" w:color="auto"/>
      </w:divBdr>
    </w:div>
    <w:div w:id="1764689850">
      <w:marLeft w:val="0"/>
      <w:marRight w:val="0"/>
      <w:marTop w:val="0"/>
      <w:marBottom w:val="0"/>
      <w:divBdr>
        <w:top w:val="none" w:sz="0" w:space="0" w:color="auto"/>
        <w:left w:val="none" w:sz="0" w:space="0" w:color="auto"/>
        <w:bottom w:val="none" w:sz="0" w:space="0" w:color="auto"/>
        <w:right w:val="none" w:sz="0" w:space="0" w:color="auto"/>
      </w:divBdr>
    </w:div>
    <w:div w:id="1764689853">
      <w:marLeft w:val="0"/>
      <w:marRight w:val="0"/>
      <w:marTop w:val="0"/>
      <w:marBottom w:val="0"/>
      <w:divBdr>
        <w:top w:val="none" w:sz="0" w:space="0" w:color="auto"/>
        <w:left w:val="none" w:sz="0" w:space="0" w:color="auto"/>
        <w:bottom w:val="none" w:sz="0" w:space="0" w:color="auto"/>
        <w:right w:val="none" w:sz="0" w:space="0" w:color="auto"/>
      </w:divBdr>
      <w:divsChild>
        <w:div w:id="1764689884">
          <w:marLeft w:val="0"/>
          <w:marRight w:val="0"/>
          <w:marTop w:val="0"/>
          <w:marBottom w:val="0"/>
          <w:divBdr>
            <w:top w:val="none" w:sz="0" w:space="0" w:color="auto"/>
            <w:left w:val="none" w:sz="0" w:space="0" w:color="auto"/>
            <w:bottom w:val="none" w:sz="0" w:space="0" w:color="auto"/>
            <w:right w:val="none" w:sz="0" w:space="0" w:color="auto"/>
          </w:divBdr>
        </w:div>
      </w:divsChild>
    </w:div>
    <w:div w:id="1764689854">
      <w:marLeft w:val="0"/>
      <w:marRight w:val="0"/>
      <w:marTop w:val="0"/>
      <w:marBottom w:val="0"/>
      <w:divBdr>
        <w:top w:val="none" w:sz="0" w:space="0" w:color="auto"/>
        <w:left w:val="none" w:sz="0" w:space="0" w:color="auto"/>
        <w:bottom w:val="none" w:sz="0" w:space="0" w:color="auto"/>
        <w:right w:val="none" w:sz="0" w:space="0" w:color="auto"/>
      </w:divBdr>
      <w:divsChild>
        <w:div w:id="1764689695">
          <w:marLeft w:val="0"/>
          <w:marRight w:val="0"/>
          <w:marTop w:val="0"/>
          <w:marBottom w:val="0"/>
          <w:divBdr>
            <w:top w:val="none" w:sz="0" w:space="0" w:color="auto"/>
            <w:left w:val="none" w:sz="0" w:space="0" w:color="auto"/>
            <w:bottom w:val="none" w:sz="0" w:space="0" w:color="auto"/>
            <w:right w:val="none" w:sz="0" w:space="0" w:color="auto"/>
          </w:divBdr>
        </w:div>
      </w:divsChild>
    </w:div>
    <w:div w:id="1764689857">
      <w:marLeft w:val="0"/>
      <w:marRight w:val="0"/>
      <w:marTop w:val="0"/>
      <w:marBottom w:val="0"/>
      <w:divBdr>
        <w:top w:val="none" w:sz="0" w:space="0" w:color="auto"/>
        <w:left w:val="none" w:sz="0" w:space="0" w:color="auto"/>
        <w:bottom w:val="none" w:sz="0" w:space="0" w:color="auto"/>
        <w:right w:val="none" w:sz="0" w:space="0" w:color="auto"/>
      </w:divBdr>
      <w:divsChild>
        <w:div w:id="1764689278">
          <w:marLeft w:val="0"/>
          <w:marRight w:val="0"/>
          <w:marTop w:val="0"/>
          <w:marBottom w:val="0"/>
          <w:divBdr>
            <w:top w:val="none" w:sz="0" w:space="0" w:color="auto"/>
            <w:left w:val="none" w:sz="0" w:space="0" w:color="auto"/>
            <w:bottom w:val="none" w:sz="0" w:space="0" w:color="auto"/>
            <w:right w:val="none" w:sz="0" w:space="0" w:color="auto"/>
          </w:divBdr>
          <w:divsChild>
            <w:div w:id="1764689530">
              <w:marLeft w:val="0"/>
              <w:marRight w:val="0"/>
              <w:marTop w:val="0"/>
              <w:marBottom w:val="0"/>
              <w:divBdr>
                <w:top w:val="none" w:sz="0" w:space="0" w:color="auto"/>
                <w:left w:val="none" w:sz="0" w:space="0" w:color="auto"/>
                <w:bottom w:val="none" w:sz="0" w:space="0" w:color="auto"/>
                <w:right w:val="none" w:sz="0" w:space="0" w:color="auto"/>
              </w:divBdr>
            </w:div>
            <w:div w:id="1764689830">
              <w:marLeft w:val="0"/>
              <w:marRight w:val="0"/>
              <w:marTop w:val="0"/>
              <w:marBottom w:val="0"/>
              <w:divBdr>
                <w:top w:val="none" w:sz="0" w:space="0" w:color="auto"/>
                <w:left w:val="none" w:sz="0" w:space="0" w:color="auto"/>
                <w:bottom w:val="none" w:sz="0" w:space="0" w:color="auto"/>
                <w:right w:val="none" w:sz="0" w:space="0" w:color="auto"/>
              </w:divBdr>
            </w:div>
            <w:div w:id="1764689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858">
      <w:marLeft w:val="0"/>
      <w:marRight w:val="0"/>
      <w:marTop w:val="0"/>
      <w:marBottom w:val="0"/>
      <w:divBdr>
        <w:top w:val="none" w:sz="0" w:space="0" w:color="auto"/>
        <w:left w:val="none" w:sz="0" w:space="0" w:color="auto"/>
        <w:bottom w:val="none" w:sz="0" w:space="0" w:color="auto"/>
        <w:right w:val="none" w:sz="0" w:space="0" w:color="auto"/>
      </w:divBdr>
    </w:div>
    <w:div w:id="1764689862">
      <w:marLeft w:val="0"/>
      <w:marRight w:val="0"/>
      <w:marTop w:val="0"/>
      <w:marBottom w:val="0"/>
      <w:divBdr>
        <w:top w:val="none" w:sz="0" w:space="0" w:color="auto"/>
        <w:left w:val="none" w:sz="0" w:space="0" w:color="auto"/>
        <w:bottom w:val="none" w:sz="0" w:space="0" w:color="auto"/>
        <w:right w:val="none" w:sz="0" w:space="0" w:color="auto"/>
      </w:divBdr>
      <w:divsChild>
        <w:div w:id="1764689170">
          <w:marLeft w:val="0"/>
          <w:marRight w:val="0"/>
          <w:marTop w:val="0"/>
          <w:marBottom w:val="0"/>
          <w:divBdr>
            <w:top w:val="none" w:sz="0" w:space="0" w:color="auto"/>
            <w:left w:val="none" w:sz="0" w:space="0" w:color="auto"/>
            <w:bottom w:val="none" w:sz="0" w:space="0" w:color="auto"/>
            <w:right w:val="none" w:sz="0" w:space="0" w:color="auto"/>
          </w:divBdr>
          <w:divsChild>
            <w:div w:id="1764690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863">
      <w:marLeft w:val="0"/>
      <w:marRight w:val="0"/>
      <w:marTop w:val="0"/>
      <w:marBottom w:val="0"/>
      <w:divBdr>
        <w:top w:val="none" w:sz="0" w:space="0" w:color="auto"/>
        <w:left w:val="none" w:sz="0" w:space="0" w:color="auto"/>
        <w:bottom w:val="none" w:sz="0" w:space="0" w:color="auto"/>
        <w:right w:val="none" w:sz="0" w:space="0" w:color="auto"/>
      </w:divBdr>
      <w:divsChild>
        <w:div w:id="1764690450">
          <w:marLeft w:val="0"/>
          <w:marRight w:val="0"/>
          <w:marTop w:val="0"/>
          <w:marBottom w:val="0"/>
          <w:divBdr>
            <w:top w:val="none" w:sz="0" w:space="0" w:color="auto"/>
            <w:left w:val="none" w:sz="0" w:space="0" w:color="auto"/>
            <w:bottom w:val="none" w:sz="0" w:space="0" w:color="auto"/>
            <w:right w:val="none" w:sz="0" w:space="0" w:color="auto"/>
          </w:divBdr>
          <w:divsChild>
            <w:div w:id="1764689252">
              <w:marLeft w:val="0"/>
              <w:marRight w:val="0"/>
              <w:marTop w:val="0"/>
              <w:marBottom w:val="0"/>
              <w:divBdr>
                <w:top w:val="none" w:sz="0" w:space="0" w:color="auto"/>
                <w:left w:val="none" w:sz="0" w:space="0" w:color="auto"/>
                <w:bottom w:val="none" w:sz="0" w:space="0" w:color="auto"/>
                <w:right w:val="none" w:sz="0" w:space="0" w:color="auto"/>
              </w:divBdr>
            </w:div>
            <w:div w:id="1764689306">
              <w:marLeft w:val="0"/>
              <w:marRight w:val="0"/>
              <w:marTop w:val="0"/>
              <w:marBottom w:val="0"/>
              <w:divBdr>
                <w:top w:val="none" w:sz="0" w:space="0" w:color="auto"/>
                <w:left w:val="none" w:sz="0" w:space="0" w:color="auto"/>
                <w:bottom w:val="none" w:sz="0" w:space="0" w:color="auto"/>
                <w:right w:val="none" w:sz="0" w:space="0" w:color="auto"/>
              </w:divBdr>
            </w:div>
            <w:div w:id="1764689328">
              <w:marLeft w:val="0"/>
              <w:marRight w:val="0"/>
              <w:marTop w:val="0"/>
              <w:marBottom w:val="0"/>
              <w:divBdr>
                <w:top w:val="none" w:sz="0" w:space="0" w:color="auto"/>
                <w:left w:val="none" w:sz="0" w:space="0" w:color="auto"/>
                <w:bottom w:val="none" w:sz="0" w:space="0" w:color="auto"/>
                <w:right w:val="none" w:sz="0" w:space="0" w:color="auto"/>
              </w:divBdr>
            </w:div>
            <w:div w:id="1764689753">
              <w:marLeft w:val="0"/>
              <w:marRight w:val="0"/>
              <w:marTop w:val="0"/>
              <w:marBottom w:val="0"/>
              <w:divBdr>
                <w:top w:val="none" w:sz="0" w:space="0" w:color="auto"/>
                <w:left w:val="none" w:sz="0" w:space="0" w:color="auto"/>
                <w:bottom w:val="none" w:sz="0" w:space="0" w:color="auto"/>
                <w:right w:val="none" w:sz="0" w:space="0" w:color="auto"/>
              </w:divBdr>
            </w:div>
            <w:div w:id="1764689779">
              <w:marLeft w:val="0"/>
              <w:marRight w:val="0"/>
              <w:marTop w:val="0"/>
              <w:marBottom w:val="0"/>
              <w:divBdr>
                <w:top w:val="none" w:sz="0" w:space="0" w:color="auto"/>
                <w:left w:val="none" w:sz="0" w:space="0" w:color="auto"/>
                <w:bottom w:val="none" w:sz="0" w:space="0" w:color="auto"/>
                <w:right w:val="none" w:sz="0" w:space="0" w:color="auto"/>
              </w:divBdr>
            </w:div>
            <w:div w:id="1764689866">
              <w:marLeft w:val="0"/>
              <w:marRight w:val="0"/>
              <w:marTop w:val="0"/>
              <w:marBottom w:val="0"/>
              <w:divBdr>
                <w:top w:val="none" w:sz="0" w:space="0" w:color="auto"/>
                <w:left w:val="none" w:sz="0" w:space="0" w:color="auto"/>
                <w:bottom w:val="none" w:sz="0" w:space="0" w:color="auto"/>
                <w:right w:val="none" w:sz="0" w:space="0" w:color="auto"/>
              </w:divBdr>
            </w:div>
            <w:div w:id="1764689881">
              <w:marLeft w:val="0"/>
              <w:marRight w:val="0"/>
              <w:marTop w:val="0"/>
              <w:marBottom w:val="0"/>
              <w:divBdr>
                <w:top w:val="none" w:sz="0" w:space="0" w:color="auto"/>
                <w:left w:val="none" w:sz="0" w:space="0" w:color="auto"/>
                <w:bottom w:val="none" w:sz="0" w:space="0" w:color="auto"/>
                <w:right w:val="none" w:sz="0" w:space="0" w:color="auto"/>
              </w:divBdr>
            </w:div>
            <w:div w:id="1764690013">
              <w:marLeft w:val="0"/>
              <w:marRight w:val="0"/>
              <w:marTop w:val="0"/>
              <w:marBottom w:val="0"/>
              <w:divBdr>
                <w:top w:val="none" w:sz="0" w:space="0" w:color="auto"/>
                <w:left w:val="none" w:sz="0" w:space="0" w:color="auto"/>
                <w:bottom w:val="none" w:sz="0" w:space="0" w:color="auto"/>
                <w:right w:val="none" w:sz="0" w:space="0" w:color="auto"/>
              </w:divBdr>
            </w:div>
            <w:div w:id="1764690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867">
      <w:marLeft w:val="0"/>
      <w:marRight w:val="0"/>
      <w:marTop w:val="0"/>
      <w:marBottom w:val="0"/>
      <w:divBdr>
        <w:top w:val="none" w:sz="0" w:space="0" w:color="auto"/>
        <w:left w:val="none" w:sz="0" w:space="0" w:color="auto"/>
        <w:bottom w:val="none" w:sz="0" w:space="0" w:color="auto"/>
        <w:right w:val="none" w:sz="0" w:space="0" w:color="auto"/>
      </w:divBdr>
    </w:div>
    <w:div w:id="1764689874">
      <w:marLeft w:val="0"/>
      <w:marRight w:val="0"/>
      <w:marTop w:val="0"/>
      <w:marBottom w:val="0"/>
      <w:divBdr>
        <w:top w:val="none" w:sz="0" w:space="0" w:color="auto"/>
        <w:left w:val="none" w:sz="0" w:space="0" w:color="auto"/>
        <w:bottom w:val="none" w:sz="0" w:space="0" w:color="auto"/>
        <w:right w:val="none" w:sz="0" w:space="0" w:color="auto"/>
      </w:divBdr>
      <w:divsChild>
        <w:div w:id="1764690071">
          <w:marLeft w:val="0"/>
          <w:marRight w:val="0"/>
          <w:marTop w:val="0"/>
          <w:marBottom w:val="0"/>
          <w:divBdr>
            <w:top w:val="none" w:sz="0" w:space="0" w:color="auto"/>
            <w:left w:val="none" w:sz="0" w:space="0" w:color="auto"/>
            <w:bottom w:val="none" w:sz="0" w:space="0" w:color="auto"/>
            <w:right w:val="none" w:sz="0" w:space="0" w:color="auto"/>
          </w:divBdr>
          <w:divsChild>
            <w:div w:id="1764689139">
              <w:marLeft w:val="0"/>
              <w:marRight w:val="0"/>
              <w:marTop w:val="0"/>
              <w:marBottom w:val="0"/>
              <w:divBdr>
                <w:top w:val="none" w:sz="0" w:space="0" w:color="auto"/>
                <w:left w:val="none" w:sz="0" w:space="0" w:color="auto"/>
                <w:bottom w:val="none" w:sz="0" w:space="0" w:color="auto"/>
                <w:right w:val="none" w:sz="0" w:space="0" w:color="auto"/>
              </w:divBdr>
            </w:div>
            <w:div w:id="1764689371">
              <w:marLeft w:val="0"/>
              <w:marRight w:val="0"/>
              <w:marTop w:val="0"/>
              <w:marBottom w:val="0"/>
              <w:divBdr>
                <w:top w:val="none" w:sz="0" w:space="0" w:color="auto"/>
                <w:left w:val="none" w:sz="0" w:space="0" w:color="auto"/>
                <w:bottom w:val="none" w:sz="0" w:space="0" w:color="auto"/>
                <w:right w:val="none" w:sz="0" w:space="0" w:color="auto"/>
              </w:divBdr>
            </w:div>
            <w:div w:id="1764689759">
              <w:marLeft w:val="0"/>
              <w:marRight w:val="0"/>
              <w:marTop w:val="0"/>
              <w:marBottom w:val="0"/>
              <w:divBdr>
                <w:top w:val="none" w:sz="0" w:space="0" w:color="auto"/>
                <w:left w:val="none" w:sz="0" w:space="0" w:color="auto"/>
                <w:bottom w:val="none" w:sz="0" w:space="0" w:color="auto"/>
                <w:right w:val="none" w:sz="0" w:space="0" w:color="auto"/>
              </w:divBdr>
            </w:div>
            <w:div w:id="1764689897">
              <w:marLeft w:val="0"/>
              <w:marRight w:val="0"/>
              <w:marTop w:val="0"/>
              <w:marBottom w:val="0"/>
              <w:divBdr>
                <w:top w:val="none" w:sz="0" w:space="0" w:color="auto"/>
                <w:left w:val="none" w:sz="0" w:space="0" w:color="auto"/>
                <w:bottom w:val="none" w:sz="0" w:space="0" w:color="auto"/>
                <w:right w:val="none" w:sz="0" w:space="0" w:color="auto"/>
              </w:divBdr>
            </w:div>
            <w:div w:id="1764690083">
              <w:marLeft w:val="0"/>
              <w:marRight w:val="0"/>
              <w:marTop w:val="0"/>
              <w:marBottom w:val="0"/>
              <w:divBdr>
                <w:top w:val="none" w:sz="0" w:space="0" w:color="auto"/>
                <w:left w:val="none" w:sz="0" w:space="0" w:color="auto"/>
                <w:bottom w:val="none" w:sz="0" w:space="0" w:color="auto"/>
                <w:right w:val="none" w:sz="0" w:space="0" w:color="auto"/>
              </w:divBdr>
            </w:div>
            <w:div w:id="1764690350">
              <w:marLeft w:val="0"/>
              <w:marRight w:val="0"/>
              <w:marTop w:val="0"/>
              <w:marBottom w:val="0"/>
              <w:divBdr>
                <w:top w:val="none" w:sz="0" w:space="0" w:color="auto"/>
                <w:left w:val="none" w:sz="0" w:space="0" w:color="auto"/>
                <w:bottom w:val="none" w:sz="0" w:space="0" w:color="auto"/>
                <w:right w:val="none" w:sz="0" w:space="0" w:color="auto"/>
              </w:divBdr>
            </w:div>
            <w:div w:id="1764690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876">
      <w:marLeft w:val="0"/>
      <w:marRight w:val="0"/>
      <w:marTop w:val="0"/>
      <w:marBottom w:val="0"/>
      <w:divBdr>
        <w:top w:val="none" w:sz="0" w:space="0" w:color="auto"/>
        <w:left w:val="none" w:sz="0" w:space="0" w:color="auto"/>
        <w:bottom w:val="none" w:sz="0" w:space="0" w:color="auto"/>
        <w:right w:val="none" w:sz="0" w:space="0" w:color="auto"/>
      </w:divBdr>
    </w:div>
    <w:div w:id="1764689877">
      <w:marLeft w:val="0"/>
      <w:marRight w:val="0"/>
      <w:marTop w:val="0"/>
      <w:marBottom w:val="0"/>
      <w:divBdr>
        <w:top w:val="none" w:sz="0" w:space="0" w:color="auto"/>
        <w:left w:val="none" w:sz="0" w:space="0" w:color="auto"/>
        <w:bottom w:val="none" w:sz="0" w:space="0" w:color="auto"/>
        <w:right w:val="none" w:sz="0" w:space="0" w:color="auto"/>
      </w:divBdr>
      <w:divsChild>
        <w:div w:id="1764690374">
          <w:marLeft w:val="0"/>
          <w:marRight w:val="0"/>
          <w:marTop w:val="0"/>
          <w:marBottom w:val="0"/>
          <w:divBdr>
            <w:top w:val="none" w:sz="0" w:space="0" w:color="auto"/>
            <w:left w:val="none" w:sz="0" w:space="0" w:color="auto"/>
            <w:bottom w:val="none" w:sz="0" w:space="0" w:color="auto"/>
            <w:right w:val="none" w:sz="0" w:space="0" w:color="auto"/>
          </w:divBdr>
        </w:div>
      </w:divsChild>
    </w:div>
    <w:div w:id="1764689878">
      <w:marLeft w:val="0"/>
      <w:marRight w:val="0"/>
      <w:marTop w:val="0"/>
      <w:marBottom w:val="0"/>
      <w:divBdr>
        <w:top w:val="none" w:sz="0" w:space="0" w:color="auto"/>
        <w:left w:val="none" w:sz="0" w:space="0" w:color="auto"/>
        <w:bottom w:val="none" w:sz="0" w:space="0" w:color="auto"/>
        <w:right w:val="none" w:sz="0" w:space="0" w:color="auto"/>
      </w:divBdr>
    </w:div>
    <w:div w:id="1764689880">
      <w:marLeft w:val="0"/>
      <w:marRight w:val="0"/>
      <w:marTop w:val="0"/>
      <w:marBottom w:val="0"/>
      <w:divBdr>
        <w:top w:val="none" w:sz="0" w:space="0" w:color="auto"/>
        <w:left w:val="none" w:sz="0" w:space="0" w:color="auto"/>
        <w:bottom w:val="none" w:sz="0" w:space="0" w:color="auto"/>
        <w:right w:val="none" w:sz="0" w:space="0" w:color="auto"/>
      </w:divBdr>
      <w:divsChild>
        <w:div w:id="1764690310">
          <w:marLeft w:val="0"/>
          <w:marRight w:val="0"/>
          <w:marTop w:val="0"/>
          <w:marBottom w:val="0"/>
          <w:divBdr>
            <w:top w:val="none" w:sz="0" w:space="0" w:color="auto"/>
            <w:left w:val="none" w:sz="0" w:space="0" w:color="auto"/>
            <w:bottom w:val="none" w:sz="0" w:space="0" w:color="auto"/>
            <w:right w:val="none" w:sz="0" w:space="0" w:color="auto"/>
          </w:divBdr>
        </w:div>
      </w:divsChild>
    </w:div>
    <w:div w:id="1764689882">
      <w:marLeft w:val="0"/>
      <w:marRight w:val="0"/>
      <w:marTop w:val="0"/>
      <w:marBottom w:val="0"/>
      <w:divBdr>
        <w:top w:val="none" w:sz="0" w:space="0" w:color="auto"/>
        <w:left w:val="none" w:sz="0" w:space="0" w:color="auto"/>
        <w:bottom w:val="none" w:sz="0" w:space="0" w:color="auto"/>
        <w:right w:val="none" w:sz="0" w:space="0" w:color="auto"/>
      </w:divBdr>
    </w:div>
    <w:div w:id="1764689885">
      <w:marLeft w:val="0"/>
      <w:marRight w:val="0"/>
      <w:marTop w:val="0"/>
      <w:marBottom w:val="0"/>
      <w:divBdr>
        <w:top w:val="none" w:sz="0" w:space="0" w:color="auto"/>
        <w:left w:val="none" w:sz="0" w:space="0" w:color="auto"/>
        <w:bottom w:val="none" w:sz="0" w:space="0" w:color="auto"/>
        <w:right w:val="none" w:sz="0" w:space="0" w:color="auto"/>
      </w:divBdr>
    </w:div>
    <w:div w:id="1764689896">
      <w:marLeft w:val="0"/>
      <w:marRight w:val="0"/>
      <w:marTop w:val="0"/>
      <w:marBottom w:val="0"/>
      <w:divBdr>
        <w:top w:val="none" w:sz="0" w:space="0" w:color="auto"/>
        <w:left w:val="none" w:sz="0" w:space="0" w:color="auto"/>
        <w:bottom w:val="none" w:sz="0" w:space="0" w:color="auto"/>
        <w:right w:val="none" w:sz="0" w:space="0" w:color="auto"/>
      </w:divBdr>
      <w:divsChild>
        <w:div w:id="1764690569">
          <w:marLeft w:val="0"/>
          <w:marRight w:val="0"/>
          <w:marTop w:val="0"/>
          <w:marBottom w:val="0"/>
          <w:divBdr>
            <w:top w:val="none" w:sz="0" w:space="0" w:color="auto"/>
            <w:left w:val="none" w:sz="0" w:space="0" w:color="auto"/>
            <w:bottom w:val="none" w:sz="0" w:space="0" w:color="auto"/>
            <w:right w:val="none" w:sz="0" w:space="0" w:color="auto"/>
          </w:divBdr>
          <w:divsChild>
            <w:div w:id="1764689402">
              <w:marLeft w:val="0"/>
              <w:marRight w:val="0"/>
              <w:marTop w:val="0"/>
              <w:marBottom w:val="0"/>
              <w:divBdr>
                <w:top w:val="none" w:sz="0" w:space="0" w:color="auto"/>
                <w:left w:val="none" w:sz="0" w:space="0" w:color="auto"/>
                <w:bottom w:val="none" w:sz="0" w:space="0" w:color="auto"/>
                <w:right w:val="none" w:sz="0" w:space="0" w:color="auto"/>
              </w:divBdr>
            </w:div>
            <w:div w:id="1764689612">
              <w:marLeft w:val="0"/>
              <w:marRight w:val="0"/>
              <w:marTop w:val="0"/>
              <w:marBottom w:val="0"/>
              <w:divBdr>
                <w:top w:val="none" w:sz="0" w:space="0" w:color="auto"/>
                <w:left w:val="none" w:sz="0" w:space="0" w:color="auto"/>
                <w:bottom w:val="none" w:sz="0" w:space="0" w:color="auto"/>
                <w:right w:val="none" w:sz="0" w:space="0" w:color="auto"/>
              </w:divBdr>
            </w:div>
            <w:div w:id="1764690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903">
      <w:marLeft w:val="0"/>
      <w:marRight w:val="0"/>
      <w:marTop w:val="0"/>
      <w:marBottom w:val="0"/>
      <w:divBdr>
        <w:top w:val="none" w:sz="0" w:space="0" w:color="auto"/>
        <w:left w:val="none" w:sz="0" w:space="0" w:color="auto"/>
        <w:bottom w:val="none" w:sz="0" w:space="0" w:color="auto"/>
        <w:right w:val="none" w:sz="0" w:space="0" w:color="auto"/>
      </w:divBdr>
    </w:div>
    <w:div w:id="1764689905">
      <w:marLeft w:val="0"/>
      <w:marRight w:val="0"/>
      <w:marTop w:val="0"/>
      <w:marBottom w:val="0"/>
      <w:divBdr>
        <w:top w:val="none" w:sz="0" w:space="0" w:color="auto"/>
        <w:left w:val="none" w:sz="0" w:space="0" w:color="auto"/>
        <w:bottom w:val="none" w:sz="0" w:space="0" w:color="auto"/>
        <w:right w:val="none" w:sz="0" w:space="0" w:color="auto"/>
      </w:divBdr>
      <w:divsChild>
        <w:div w:id="1764689879">
          <w:marLeft w:val="0"/>
          <w:marRight w:val="0"/>
          <w:marTop w:val="0"/>
          <w:marBottom w:val="0"/>
          <w:divBdr>
            <w:top w:val="none" w:sz="0" w:space="0" w:color="auto"/>
            <w:left w:val="none" w:sz="0" w:space="0" w:color="auto"/>
            <w:bottom w:val="none" w:sz="0" w:space="0" w:color="auto"/>
            <w:right w:val="none" w:sz="0" w:space="0" w:color="auto"/>
          </w:divBdr>
        </w:div>
      </w:divsChild>
    </w:div>
    <w:div w:id="1764689907">
      <w:marLeft w:val="0"/>
      <w:marRight w:val="0"/>
      <w:marTop w:val="0"/>
      <w:marBottom w:val="0"/>
      <w:divBdr>
        <w:top w:val="none" w:sz="0" w:space="0" w:color="auto"/>
        <w:left w:val="none" w:sz="0" w:space="0" w:color="auto"/>
        <w:bottom w:val="none" w:sz="0" w:space="0" w:color="auto"/>
        <w:right w:val="none" w:sz="0" w:space="0" w:color="auto"/>
      </w:divBdr>
      <w:divsChild>
        <w:div w:id="1764689058">
          <w:marLeft w:val="0"/>
          <w:marRight w:val="0"/>
          <w:marTop w:val="0"/>
          <w:marBottom w:val="0"/>
          <w:divBdr>
            <w:top w:val="none" w:sz="0" w:space="0" w:color="auto"/>
            <w:left w:val="none" w:sz="0" w:space="0" w:color="auto"/>
            <w:bottom w:val="none" w:sz="0" w:space="0" w:color="auto"/>
            <w:right w:val="none" w:sz="0" w:space="0" w:color="auto"/>
          </w:divBdr>
          <w:divsChild>
            <w:div w:id="1764689417">
              <w:marLeft w:val="0"/>
              <w:marRight w:val="0"/>
              <w:marTop w:val="0"/>
              <w:marBottom w:val="0"/>
              <w:divBdr>
                <w:top w:val="none" w:sz="0" w:space="0" w:color="auto"/>
                <w:left w:val="none" w:sz="0" w:space="0" w:color="auto"/>
                <w:bottom w:val="none" w:sz="0" w:space="0" w:color="auto"/>
                <w:right w:val="none" w:sz="0" w:space="0" w:color="auto"/>
              </w:divBdr>
            </w:div>
            <w:div w:id="1764690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908">
      <w:marLeft w:val="0"/>
      <w:marRight w:val="0"/>
      <w:marTop w:val="0"/>
      <w:marBottom w:val="0"/>
      <w:divBdr>
        <w:top w:val="none" w:sz="0" w:space="0" w:color="auto"/>
        <w:left w:val="none" w:sz="0" w:space="0" w:color="auto"/>
        <w:bottom w:val="none" w:sz="0" w:space="0" w:color="auto"/>
        <w:right w:val="none" w:sz="0" w:space="0" w:color="auto"/>
      </w:divBdr>
    </w:div>
    <w:div w:id="1764689909">
      <w:marLeft w:val="0"/>
      <w:marRight w:val="0"/>
      <w:marTop w:val="0"/>
      <w:marBottom w:val="0"/>
      <w:divBdr>
        <w:top w:val="none" w:sz="0" w:space="0" w:color="auto"/>
        <w:left w:val="none" w:sz="0" w:space="0" w:color="auto"/>
        <w:bottom w:val="none" w:sz="0" w:space="0" w:color="auto"/>
        <w:right w:val="none" w:sz="0" w:space="0" w:color="auto"/>
      </w:divBdr>
      <w:divsChild>
        <w:div w:id="1764690527">
          <w:marLeft w:val="0"/>
          <w:marRight w:val="0"/>
          <w:marTop w:val="0"/>
          <w:marBottom w:val="0"/>
          <w:divBdr>
            <w:top w:val="none" w:sz="0" w:space="0" w:color="auto"/>
            <w:left w:val="none" w:sz="0" w:space="0" w:color="auto"/>
            <w:bottom w:val="none" w:sz="0" w:space="0" w:color="auto"/>
            <w:right w:val="none" w:sz="0" w:space="0" w:color="auto"/>
          </w:divBdr>
          <w:divsChild>
            <w:div w:id="1764689609">
              <w:marLeft w:val="0"/>
              <w:marRight w:val="0"/>
              <w:marTop w:val="0"/>
              <w:marBottom w:val="0"/>
              <w:divBdr>
                <w:top w:val="none" w:sz="0" w:space="0" w:color="auto"/>
                <w:left w:val="none" w:sz="0" w:space="0" w:color="auto"/>
                <w:bottom w:val="none" w:sz="0" w:space="0" w:color="auto"/>
                <w:right w:val="none" w:sz="0" w:space="0" w:color="auto"/>
              </w:divBdr>
            </w:div>
            <w:div w:id="1764690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912">
      <w:marLeft w:val="0"/>
      <w:marRight w:val="0"/>
      <w:marTop w:val="0"/>
      <w:marBottom w:val="0"/>
      <w:divBdr>
        <w:top w:val="none" w:sz="0" w:space="0" w:color="auto"/>
        <w:left w:val="none" w:sz="0" w:space="0" w:color="auto"/>
        <w:bottom w:val="none" w:sz="0" w:space="0" w:color="auto"/>
        <w:right w:val="none" w:sz="0" w:space="0" w:color="auto"/>
      </w:divBdr>
      <w:divsChild>
        <w:div w:id="1764689244">
          <w:marLeft w:val="0"/>
          <w:marRight w:val="0"/>
          <w:marTop w:val="0"/>
          <w:marBottom w:val="0"/>
          <w:divBdr>
            <w:top w:val="none" w:sz="0" w:space="0" w:color="auto"/>
            <w:left w:val="none" w:sz="0" w:space="0" w:color="auto"/>
            <w:bottom w:val="none" w:sz="0" w:space="0" w:color="auto"/>
            <w:right w:val="none" w:sz="0" w:space="0" w:color="auto"/>
          </w:divBdr>
          <w:divsChild>
            <w:div w:id="1764689158">
              <w:marLeft w:val="0"/>
              <w:marRight w:val="0"/>
              <w:marTop w:val="0"/>
              <w:marBottom w:val="0"/>
              <w:divBdr>
                <w:top w:val="none" w:sz="0" w:space="0" w:color="auto"/>
                <w:left w:val="none" w:sz="0" w:space="0" w:color="auto"/>
                <w:bottom w:val="none" w:sz="0" w:space="0" w:color="auto"/>
                <w:right w:val="none" w:sz="0" w:space="0" w:color="auto"/>
              </w:divBdr>
            </w:div>
            <w:div w:id="1764689767">
              <w:marLeft w:val="0"/>
              <w:marRight w:val="0"/>
              <w:marTop w:val="0"/>
              <w:marBottom w:val="0"/>
              <w:divBdr>
                <w:top w:val="none" w:sz="0" w:space="0" w:color="auto"/>
                <w:left w:val="none" w:sz="0" w:space="0" w:color="auto"/>
                <w:bottom w:val="none" w:sz="0" w:space="0" w:color="auto"/>
                <w:right w:val="none" w:sz="0" w:space="0" w:color="auto"/>
              </w:divBdr>
            </w:div>
            <w:div w:id="1764689805">
              <w:marLeft w:val="0"/>
              <w:marRight w:val="0"/>
              <w:marTop w:val="0"/>
              <w:marBottom w:val="0"/>
              <w:divBdr>
                <w:top w:val="none" w:sz="0" w:space="0" w:color="auto"/>
                <w:left w:val="none" w:sz="0" w:space="0" w:color="auto"/>
                <w:bottom w:val="none" w:sz="0" w:space="0" w:color="auto"/>
                <w:right w:val="none" w:sz="0" w:space="0" w:color="auto"/>
              </w:divBdr>
            </w:div>
            <w:div w:id="1764689813">
              <w:marLeft w:val="0"/>
              <w:marRight w:val="0"/>
              <w:marTop w:val="0"/>
              <w:marBottom w:val="0"/>
              <w:divBdr>
                <w:top w:val="none" w:sz="0" w:space="0" w:color="auto"/>
                <w:left w:val="none" w:sz="0" w:space="0" w:color="auto"/>
                <w:bottom w:val="none" w:sz="0" w:space="0" w:color="auto"/>
                <w:right w:val="none" w:sz="0" w:space="0" w:color="auto"/>
              </w:divBdr>
            </w:div>
            <w:div w:id="1764689828">
              <w:marLeft w:val="0"/>
              <w:marRight w:val="0"/>
              <w:marTop w:val="0"/>
              <w:marBottom w:val="0"/>
              <w:divBdr>
                <w:top w:val="none" w:sz="0" w:space="0" w:color="auto"/>
                <w:left w:val="none" w:sz="0" w:space="0" w:color="auto"/>
                <w:bottom w:val="none" w:sz="0" w:space="0" w:color="auto"/>
                <w:right w:val="none" w:sz="0" w:space="0" w:color="auto"/>
              </w:divBdr>
            </w:div>
            <w:div w:id="1764689846">
              <w:marLeft w:val="0"/>
              <w:marRight w:val="0"/>
              <w:marTop w:val="0"/>
              <w:marBottom w:val="0"/>
              <w:divBdr>
                <w:top w:val="none" w:sz="0" w:space="0" w:color="auto"/>
                <w:left w:val="none" w:sz="0" w:space="0" w:color="auto"/>
                <w:bottom w:val="none" w:sz="0" w:space="0" w:color="auto"/>
                <w:right w:val="none" w:sz="0" w:space="0" w:color="auto"/>
              </w:divBdr>
            </w:div>
            <w:div w:id="176469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915">
      <w:marLeft w:val="0"/>
      <w:marRight w:val="0"/>
      <w:marTop w:val="0"/>
      <w:marBottom w:val="0"/>
      <w:divBdr>
        <w:top w:val="none" w:sz="0" w:space="0" w:color="auto"/>
        <w:left w:val="none" w:sz="0" w:space="0" w:color="auto"/>
        <w:bottom w:val="none" w:sz="0" w:space="0" w:color="auto"/>
        <w:right w:val="none" w:sz="0" w:space="0" w:color="auto"/>
      </w:divBdr>
      <w:divsChild>
        <w:div w:id="1764689385">
          <w:marLeft w:val="0"/>
          <w:marRight w:val="0"/>
          <w:marTop w:val="0"/>
          <w:marBottom w:val="0"/>
          <w:divBdr>
            <w:top w:val="none" w:sz="0" w:space="0" w:color="auto"/>
            <w:left w:val="none" w:sz="0" w:space="0" w:color="auto"/>
            <w:bottom w:val="none" w:sz="0" w:space="0" w:color="auto"/>
            <w:right w:val="none" w:sz="0" w:space="0" w:color="auto"/>
          </w:divBdr>
          <w:divsChild>
            <w:div w:id="1764689118">
              <w:marLeft w:val="0"/>
              <w:marRight w:val="0"/>
              <w:marTop w:val="0"/>
              <w:marBottom w:val="0"/>
              <w:divBdr>
                <w:top w:val="none" w:sz="0" w:space="0" w:color="auto"/>
                <w:left w:val="none" w:sz="0" w:space="0" w:color="auto"/>
                <w:bottom w:val="none" w:sz="0" w:space="0" w:color="auto"/>
                <w:right w:val="none" w:sz="0" w:space="0" w:color="auto"/>
              </w:divBdr>
            </w:div>
            <w:div w:id="1764690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916">
      <w:marLeft w:val="0"/>
      <w:marRight w:val="0"/>
      <w:marTop w:val="0"/>
      <w:marBottom w:val="0"/>
      <w:divBdr>
        <w:top w:val="none" w:sz="0" w:space="0" w:color="auto"/>
        <w:left w:val="none" w:sz="0" w:space="0" w:color="auto"/>
        <w:bottom w:val="none" w:sz="0" w:space="0" w:color="auto"/>
        <w:right w:val="none" w:sz="0" w:space="0" w:color="auto"/>
      </w:divBdr>
      <w:divsChild>
        <w:div w:id="1764689138">
          <w:marLeft w:val="0"/>
          <w:marRight w:val="0"/>
          <w:marTop w:val="0"/>
          <w:marBottom w:val="0"/>
          <w:divBdr>
            <w:top w:val="none" w:sz="0" w:space="0" w:color="auto"/>
            <w:left w:val="none" w:sz="0" w:space="0" w:color="auto"/>
            <w:bottom w:val="none" w:sz="0" w:space="0" w:color="auto"/>
            <w:right w:val="none" w:sz="0" w:space="0" w:color="auto"/>
          </w:divBdr>
        </w:div>
      </w:divsChild>
    </w:div>
    <w:div w:id="1764689921">
      <w:marLeft w:val="0"/>
      <w:marRight w:val="0"/>
      <w:marTop w:val="0"/>
      <w:marBottom w:val="0"/>
      <w:divBdr>
        <w:top w:val="none" w:sz="0" w:space="0" w:color="auto"/>
        <w:left w:val="none" w:sz="0" w:space="0" w:color="auto"/>
        <w:bottom w:val="none" w:sz="0" w:space="0" w:color="auto"/>
        <w:right w:val="none" w:sz="0" w:space="0" w:color="auto"/>
      </w:divBdr>
    </w:div>
    <w:div w:id="1764689923">
      <w:marLeft w:val="0"/>
      <w:marRight w:val="0"/>
      <w:marTop w:val="0"/>
      <w:marBottom w:val="0"/>
      <w:divBdr>
        <w:top w:val="none" w:sz="0" w:space="0" w:color="auto"/>
        <w:left w:val="none" w:sz="0" w:space="0" w:color="auto"/>
        <w:bottom w:val="none" w:sz="0" w:space="0" w:color="auto"/>
        <w:right w:val="none" w:sz="0" w:space="0" w:color="auto"/>
      </w:divBdr>
      <w:divsChild>
        <w:div w:id="1764689749">
          <w:marLeft w:val="0"/>
          <w:marRight w:val="0"/>
          <w:marTop w:val="0"/>
          <w:marBottom w:val="0"/>
          <w:divBdr>
            <w:top w:val="none" w:sz="0" w:space="0" w:color="auto"/>
            <w:left w:val="none" w:sz="0" w:space="0" w:color="auto"/>
            <w:bottom w:val="none" w:sz="0" w:space="0" w:color="auto"/>
            <w:right w:val="none" w:sz="0" w:space="0" w:color="auto"/>
          </w:divBdr>
          <w:divsChild>
            <w:div w:id="1764689806">
              <w:marLeft w:val="0"/>
              <w:marRight w:val="0"/>
              <w:marTop w:val="0"/>
              <w:marBottom w:val="0"/>
              <w:divBdr>
                <w:top w:val="none" w:sz="0" w:space="0" w:color="auto"/>
                <w:left w:val="none" w:sz="0" w:space="0" w:color="auto"/>
                <w:bottom w:val="none" w:sz="0" w:space="0" w:color="auto"/>
                <w:right w:val="none" w:sz="0" w:space="0" w:color="auto"/>
              </w:divBdr>
            </w:div>
            <w:div w:id="1764690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924">
      <w:marLeft w:val="0"/>
      <w:marRight w:val="0"/>
      <w:marTop w:val="0"/>
      <w:marBottom w:val="0"/>
      <w:divBdr>
        <w:top w:val="none" w:sz="0" w:space="0" w:color="auto"/>
        <w:left w:val="none" w:sz="0" w:space="0" w:color="auto"/>
        <w:bottom w:val="none" w:sz="0" w:space="0" w:color="auto"/>
        <w:right w:val="none" w:sz="0" w:space="0" w:color="auto"/>
      </w:divBdr>
      <w:divsChild>
        <w:div w:id="1764689119">
          <w:marLeft w:val="0"/>
          <w:marRight w:val="0"/>
          <w:marTop w:val="0"/>
          <w:marBottom w:val="0"/>
          <w:divBdr>
            <w:top w:val="none" w:sz="0" w:space="0" w:color="auto"/>
            <w:left w:val="none" w:sz="0" w:space="0" w:color="auto"/>
            <w:bottom w:val="none" w:sz="0" w:space="0" w:color="auto"/>
            <w:right w:val="none" w:sz="0" w:space="0" w:color="auto"/>
          </w:divBdr>
          <w:divsChild>
            <w:div w:id="1764689099">
              <w:marLeft w:val="0"/>
              <w:marRight w:val="0"/>
              <w:marTop w:val="0"/>
              <w:marBottom w:val="0"/>
              <w:divBdr>
                <w:top w:val="none" w:sz="0" w:space="0" w:color="auto"/>
                <w:left w:val="none" w:sz="0" w:space="0" w:color="auto"/>
                <w:bottom w:val="none" w:sz="0" w:space="0" w:color="auto"/>
                <w:right w:val="none" w:sz="0" w:space="0" w:color="auto"/>
              </w:divBdr>
            </w:div>
            <w:div w:id="1764689329">
              <w:marLeft w:val="0"/>
              <w:marRight w:val="0"/>
              <w:marTop w:val="0"/>
              <w:marBottom w:val="0"/>
              <w:divBdr>
                <w:top w:val="none" w:sz="0" w:space="0" w:color="auto"/>
                <w:left w:val="none" w:sz="0" w:space="0" w:color="auto"/>
                <w:bottom w:val="none" w:sz="0" w:space="0" w:color="auto"/>
                <w:right w:val="none" w:sz="0" w:space="0" w:color="auto"/>
              </w:divBdr>
            </w:div>
            <w:div w:id="1764689741">
              <w:marLeft w:val="0"/>
              <w:marRight w:val="0"/>
              <w:marTop w:val="0"/>
              <w:marBottom w:val="0"/>
              <w:divBdr>
                <w:top w:val="none" w:sz="0" w:space="0" w:color="auto"/>
                <w:left w:val="none" w:sz="0" w:space="0" w:color="auto"/>
                <w:bottom w:val="none" w:sz="0" w:space="0" w:color="auto"/>
                <w:right w:val="none" w:sz="0" w:space="0" w:color="auto"/>
              </w:divBdr>
            </w:div>
            <w:div w:id="1764689938">
              <w:marLeft w:val="0"/>
              <w:marRight w:val="0"/>
              <w:marTop w:val="0"/>
              <w:marBottom w:val="0"/>
              <w:divBdr>
                <w:top w:val="none" w:sz="0" w:space="0" w:color="auto"/>
                <w:left w:val="none" w:sz="0" w:space="0" w:color="auto"/>
                <w:bottom w:val="none" w:sz="0" w:space="0" w:color="auto"/>
                <w:right w:val="none" w:sz="0" w:space="0" w:color="auto"/>
              </w:divBdr>
            </w:div>
            <w:div w:id="1764690151">
              <w:marLeft w:val="0"/>
              <w:marRight w:val="0"/>
              <w:marTop w:val="0"/>
              <w:marBottom w:val="0"/>
              <w:divBdr>
                <w:top w:val="none" w:sz="0" w:space="0" w:color="auto"/>
                <w:left w:val="none" w:sz="0" w:space="0" w:color="auto"/>
                <w:bottom w:val="none" w:sz="0" w:space="0" w:color="auto"/>
                <w:right w:val="none" w:sz="0" w:space="0" w:color="auto"/>
              </w:divBdr>
            </w:div>
            <w:div w:id="1764690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935">
      <w:marLeft w:val="0"/>
      <w:marRight w:val="0"/>
      <w:marTop w:val="0"/>
      <w:marBottom w:val="0"/>
      <w:divBdr>
        <w:top w:val="none" w:sz="0" w:space="0" w:color="auto"/>
        <w:left w:val="none" w:sz="0" w:space="0" w:color="auto"/>
        <w:bottom w:val="none" w:sz="0" w:space="0" w:color="auto"/>
        <w:right w:val="none" w:sz="0" w:space="0" w:color="auto"/>
      </w:divBdr>
    </w:div>
    <w:div w:id="1764689939">
      <w:marLeft w:val="0"/>
      <w:marRight w:val="0"/>
      <w:marTop w:val="0"/>
      <w:marBottom w:val="0"/>
      <w:divBdr>
        <w:top w:val="none" w:sz="0" w:space="0" w:color="auto"/>
        <w:left w:val="none" w:sz="0" w:space="0" w:color="auto"/>
        <w:bottom w:val="none" w:sz="0" w:space="0" w:color="auto"/>
        <w:right w:val="none" w:sz="0" w:space="0" w:color="auto"/>
      </w:divBdr>
    </w:div>
    <w:div w:id="1764689941">
      <w:marLeft w:val="0"/>
      <w:marRight w:val="0"/>
      <w:marTop w:val="0"/>
      <w:marBottom w:val="0"/>
      <w:divBdr>
        <w:top w:val="none" w:sz="0" w:space="0" w:color="auto"/>
        <w:left w:val="none" w:sz="0" w:space="0" w:color="auto"/>
        <w:bottom w:val="none" w:sz="0" w:space="0" w:color="auto"/>
        <w:right w:val="none" w:sz="0" w:space="0" w:color="auto"/>
      </w:divBdr>
      <w:divsChild>
        <w:div w:id="1764690329">
          <w:marLeft w:val="0"/>
          <w:marRight w:val="0"/>
          <w:marTop w:val="0"/>
          <w:marBottom w:val="0"/>
          <w:divBdr>
            <w:top w:val="none" w:sz="0" w:space="0" w:color="auto"/>
            <w:left w:val="none" w:sz="0" w:space="0" w:color="auto"/>
            <w:bottom w:val="none" w:sz="0" w:space="0" w:color="auto"/>
            <w:right w:val="none" w:sz="0" w:space="0" w:color="auto"/>
          </w:divBdr>
          <w:divsChild>
            <w:div w:id="1764689279">
              <w:marLeft w:val="0"/>
              <w:marRight w:val="0"/>
              <w:marTop w:val="0"/>
              <w:marBottom w:val="0"/>
              <w:divBdr>
                <w:top w:val="none" w:sz="0" w:space="0" w:color="auto"/>
                <w:left w:val="none" w:sz="0" w:space="0" w:color="auto"/>
                <w:bottom w:val="none" w:sz="0" w:space="0" w:color="auto"/>
                <w:right w:val="none" w:sz="0" w:space="0" w:color="auto"/>
              </w:divBdr>
            </w:div>
            <w:div w:id="1764690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943">
      <w:marLeft w:val="0"/>
      <w:marRight w:val="0"/>
      <w:marTop w:val="0"/>
      <w:marBottom w:val="0"/>
      <w:divBdr>
        <w:top w:val="none" w:sz="0" w:space="0" w:color="auto"/>
        <w:left w:val="none" w:sz="0" w:space="0" w:color="auto"/>
        <w:bottom w:val="none" w:sz="0" w:space="0" w:color="auto"/>
        <w:right w:val="none" w:sz="0" w:space="0" w:color="auto"/>
      </w:divBdr>
      <w:divsChild>
        <w:div w:id="1764689978">
          <w:marLeft w:val="0"/>
          <w:marRight w:val="0"/>
          <w:marTop w:val="0"/>
          <w:marBottom w:val="0"/>
          <w:divBdr>
            <w:top w:val="none" w:sz="0" w:space="0" w:color="auto"/>
            <w:left w:val="none" w:sz="0" w:space="0" w:color="auto"/>
            <w:bottom w:val="none" w:sz="0" w:space="0" w:color="auto"/>
            <w:right w:val="none" w:sz="0" w:space="0" w:color="auto"/>
          </w:divBdr>
          <w:divsChild>
            <w:div w:id="1764690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948">
      <w:marLeft w:val="0"/>
      <w:marRight w:val="0"/>
      <w:marTop w:val="0"/>
      <w:marBottom w:val="0"/>
      <w:divBdr>
        <w:top w:val="none" w:sz="0" w:space="0" w:color="auto"/>
        <w:left w:val="none" w:sz="0" w:space="0" w:color="auto"/>
        <w:bottom w:val="none" w:sz="0" w:space="0" w:color="auto"/>
        <w:right w:val="none" w:sz="0" w:space="0" w:color="auto"/>
      </w:divBdr>
      <w:divsChild>
        <w:div w:id="1764690387">
          <w:marLeft w:val="0"/>
          <w:marRight w:val="0"/>
          <w:marTop w:val="0"/>
          <w:marBottom w:val="0"/>
          <w:divBdr>
            <w:top w:val="none" w:sz="0" w:space="0" w:color="auto"/>
            <w:left w:val="none" w:sz="0" w:space="0" w:color="auto"/>
            <w:bottom w:val="none" w:sz="0" w:space="0" w:color="auto"/>
            <w:right w:val="none" w:sz="0" w:space="0" w:color="auto"/>
          </w:divBdr>
          <w:divsChild>
            <w:div w:id="1764689956">
              <w:marLeft w:val="0"/>
              <w:marRight w:val="0"/>
              <w:marTop w:val="0"/>
              <w:marBottom w:val="0"/>
              <w:divBdr>
                <w:top w:val="none" w:sz="0" w:space="0" w:color="auto"/>
                <w:left w:val="none" w:sz="0" w:space="0" w:color="auto"/>
                <w:bottom w:val="none" w:sz="0" w:space="0" w:color="auto"/>
                <w:right w:val="none" w:sz="0" w:space="0" w:color="auto"/>
              </w:divBdr>
            </w:div>
            <w:div w:id="1764690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949">
      <w:marLeft w:val="0"/>
      <w:marRight w:val="0"/>
      <w:marTop w:val="0"/>
      <w:marBottom w:val="0"/>
      <w:divBdr>
        <w:top w:val="none" w:sz="0" w:space="0" w:color="auto"/>
        <w:left w:val="none" w:sz="0" w:space="0" w:color="auto"/>
        <w:bottom w:val="none" w:sz="0" w:space="0" w:color="auto"/>
        <w:right w:val="none" w:sz="0" w:space="0" w:color="auto"/>
      </w:divBdr>
      <w:divsChild>
        <w:div w:id="1764689275">
          <w:marLeft w:val="0"/>
          <w:marRight w:val="0"/>
          <w:marTop w:val="0"/>
          <w:marBottom w:val="0"/>
          <w:divBdr>
            <w:top w:val="none" w:sz="0" w:space="0" w:color="auto"/>
            <w:left w:val="none" w:sz="0" w:space="0" w:color="auto"/>
            <w:bottom w:val="none" w:sz="0" w:space="0" w:color="auto"/>
            <w:right w:val="none" w:sz="0" w:space="0" w:color="auto"/>
          </w:divBdr>
          <w:divsChild>
            <w:div w:id="1764689324">
              <w:marLeft w:val="0"/>
              <w:marRight w:val="0"/>
              <w:marTop w:val="0"/>
              <w:marBottom w:val="0"/>
              <w:divBdr>
                <w:top w:val="none" w:sz="0" w:space="0" w:color="auto"/>
                <w:left w:val="none" w:sz="0" w:space="0" w:color="auto"/>
                <w:bottom w:val="none" w:sz="0" w:space="0" w:color="auto"/>
                <w:right w:val="none" w:sz="0" w:space="0" w:color="auto"/>
              </w:divBdr>
            </w:div>
            <w:div w:id="1764689674">
              <w:marLeft w:val="0"/>
              <w:marRight w:val="0"/>
              <w:marTop w:val="0"/>
              <w:marBottom w:val="0"/>
              <w:divBdr>
                <w:top w:val="none" w:sz="0" w:space="0" w:color="auto"/>
                <w:left w:val="none" w:sz="0" w:space="0" w:color="auto"/>
                <w:bottom w:val="none" w:sz="0" w:space="0" w:color="auto"/>
                <w:right w:val="none" w:sz="0" w:space="0" w:color="auto"/>
              </w:divBdr>
            </w:div>
            <w:div w:id="1764689764">
              <w:marLeft w:val="0"/>
              <w:marRight w:val="0"/>
              <w:marTop w:val="0"/>
              <w:marBottom w:val="0"/>
              <w:divBdr>
                <w:top w:val="none" w:sz="0" w:space="0" w:color="auto"/>
                <w:left w:val="none" w:sz="0" w:space="0" w:color="auto"/>
                <w:bottom w:val="none" w:sz="0" w:space="0" w:color="auto"/>
                <w:right w:val="none" w:sz="0" w:space="0" w:color="auto"/>
              </w:divBdr>
            </w:div>
            <w:div w:id="1764689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952">
      <w:marLeft w:val="0"/>
      <w:marRight w:val="0"/>
      <w:marTop w:val="0"/>
      <w:marBottom w:val="0"/>
      <w:divBdr>
        <w:top w:val="none" w:sz="0" w:space="0" w:color="auto"/>
        <w:left w:val="none" w:sz="0" w:space="0" w:color="auto"/>
        <w:bottom w:val="none" w:sz="0" w:space="0" w:color="auto"/>
        <w:right w:val="none" w:sz="0" w:space="0" w:color="auto"/>
      </w:divBdr>
    </w:div>
    <w:div w:id="1764689953">
      <w:marLeft w:val="0"/>
      <w:marRight w:val="0"/>
      <w:marTop w:val="0"/>
      <w:marBottom w:val="0"/>
      <w:divBdr>
        <w:top w:val="none" w:sz="0" w:space="0" w:color="auto"/>
        <w:left w:val="none" w:sz="0" w:space="0" w:color="auto"/>
        <w:bottom w:val="none" w:sz="0" w:space="0" w:color="auto"/>
        <w:right w:val="none" w:sz="0" w:space="0" w:color="auto"/>
      </w:divBdr>
      <w:divsChild>
        <w:div w:id="1764689732">
          <w:marLeft w:val="0"/>
          <w:marRight w:val="0"/>
          <w:marTop w:val="0"/>
          <w:marBottom w:val="0"/>
          <w:divBdr>
            <w:top w:val="none" w:sz="0" w:space="0" w:color="auto"/>
            <w:left w:val="none" w:sz="0" w:space="0" w:color="auto"/>
            <w:bottom w:val="none" w:sz="0" w:space="0" w:color="auto"/>
            <w:right w:val="none" w:sz="0" w:space="0" w:color="auto"/>
          </w:divBdr>
        </w:div>
      </w:divsChild>
    </w:div>
    <w:div w:id="1764689954">
      <w:marLeft w:val="0"/>
      <w:marRight w:val="0"/>
      <w:marTop w:val="0"/>
      <w:marBottom w:val="0"/>
      <w:divBdr>
        <w:top w:val="none" w:sz="0" w:space="0" w:color="auto"/>
        <w:left w:val="none" w:sz="0" w:space="0" w:color="auto"/>
        <w:bottom w:val="none" w:sz="0" w:space="0" w:color="auto"/>
        <w:right w:val="none" w:sz="0" w:space="0" w:color="auto"/>
      </w:divBdr>
      <w:divsChild>
        <w:div w:id="1764690104">
          <w:marLeft w:val="0"/>
          <w:marRight w:val="0"/>
          <w:marTop w:val="0"/>
          <w:marBottom w:val="0"/>
          <w:divBdr>
            <w:top w:val="none" w:sz="0" w:space="0" w:color="auto"/>
            <w:left w:val="none" w:sz="0" w:space="0" w:color="auto"/>
            <w:bottom w:val="none" w:sz="0" w:space="0" w:color="auto"/>
            <w:right w:val="none" w:sz="0" w:space="0" w:color="auto"/>
          </w:divBdr>
        </w:div>
      </w:divsChild>
    </w:div>
    <w:div w:id="1764689955">
      <w:marLeft w:val="0"/>
      <w:marRight w:val="0"/>
      <w:marTop w:val="0"/>
      <w:marBottom w:val="0"/>
      <w:divBdr>
        <w:top w:val="none" w:sz="0" w:space="0" w:color="auto"/>
        <w:left w:val="none" w:sz="0" w:space="0" w:color="auto"/>
        <w:bottom w:val="none" w:sz="0" w:space="0" w:color="auto"/>
        <w:right w:val="none" w:sz="0" w:space="0" w:color="auto"/>
      </w:divBdr>
      <w:divsChild>
        <w:div w:id="1764690118">
          <w:marLeft w:val="0"/>
          <w:marRight w:val="0"/>
          <w:marTop w:val="0"/>
          <w:marBottom w:val="0"/>
          <w:divBdr>
            <w:top w:val="none" w:sz="0" w:space="0" w:color="auto"/>
            <w:left w:val="none" w:sz="0" w:space="0" w:color="auto"/>
            <w:bottom w:val="none" w:sz="0" w:space="0" w:color="auto"/>
            <w:right w:val="none" w:sz="0" w:space="0" w:color="auto"/>
          </w:divBdr>
        </w:div>
      </w:divsChild>
    </w:div>
    <w:div w:id="1764689957">
      <w:marLeft w:val="0"/>
      <w:marRight w:val="0"/>
      <w:marTop w:val="0"/>
      <w:marBottom w:val="0"/>
      <w:divBdr>
        <w:top w:val="none" w:sz="0" w:space="0" w:color="auto"/>
        <w:left w:val="none" w:sz="0" w:space="0" w:color="auto"/>
        <w:bottom w:val="none" w:sz="0" w:space="0" w:color="auto"/>
        <w:right w:val="none" w:sz="0" w:space="0" w:color="auto"/>
      </w:divBdr>
    </w:div>
    <w:div w:id="1764689958">
      <w:marLeft w:val="0"/>
      <w:marRight w:val="0"/>
      <w:marTop w:val="0"/>
      <w:marBottom w:val="0"/>
      <w:divBdr>
        <w:top w:val="none" w:sz="0" w:space="0" w:color="auto"/>
        <w:left w:val="none" w:sz="0" w:space="0" w:color="auto"/>
        <w:bottom w:val="none" w:sz="0" w:space="0" w:color="auto"/>
        <w:right w:val="none" w:sz="0" w:space="0" w:color="auto"/>
      </w:divBdr>
      <w:divsChild>
        <w:div w:id="1764690582">
          <w:marLeft w:val="0"/>
          <w:marRight w:val="0"/>
          <w:marTop w:val="0"/>
          <w:marBottom w:val="0"/>
          <w:divBdr>
            <w:top w:val="none" w:sz="0" w:space="0" w:color="auto"/>
            <w:left w:val="none" w:sz="0" w:space="0" w:color="auto"/>
            <w:bottom w:val="none" w:sz="0" w:space="0" w:color="auto"/>
            <w:right w:val="none" w:sz="0" w:space="0" w:color="auto"/>
          </w:divBdr>
        </w:div>
      </w:divsChild>
    </w:div>
    <w:div w:id="1764689959">
      <w:marLeft w:val="0"/>
      <w:marRight w:val="0"/>
      <w:marTop w:val="0"/>
      <w:marBottom w:val="0"/>
      <w:divBdr>
        <w:top w:val="none" w:sz="0" w:space="0" w:color="auto"/>
        <w:left w:val="none" w:sz="0" w:space="0" w:color="auto"/>
        <w:bottom w:val="none" w:sz="0" w:space="0" w:color="auto"/>
        <w:right w:val="none" w:sz="0" w:space="0" w:color="auto"/>
      </w:divBdr>
    </w:div>
    <w:div w:id="1764689962">
      <w:marLeft w:val="0"/>
      <w:marRight w:val="0"/>
      <w:marTop w:val="0"/>
      <w:marBottom w:val="0"/>
      <w:divBdr>
        <w:top w:val="none" w:sz="0" w:space="0" w:color="auto"/>
        <w:left w:val="none" w:sz="0" w:space="0" w:color="auto"/>
        <w:bottom w:val="none" w:sz="0" w:space="0" w:color="auto"/>
        <w:right w:val="none" w:sz="0" w:space="0" w:color="auto"/>
      </w:divBdr>
      <w:divsChild>
        <w:div w:id="1764689638">
          <w:marLeft w:val="0"/>
          <w:marRight w:val="0"/>
          <w:marTop w:val="0"/>
          <w:marBottom w:val="0"/>
          <w:divBdr>
            <w:top w:val="none" w:sz="0" w:space="0" w:color="auto"/>
            <w:left w:val="none" w:sz="0" w:space="0" w:color="auto"/>
            <w:bottom w:val="none" w:sz="0" w:space="0" w:color="auto"/>
            <w:right w:val="none" w:sz="0" w:space="0" w:color="auto"/>
          </w:divBdr>
        </w:div>
      </w:divsChild>
    </w:div>
    <w:div w:id="1764689971">
      <w:marLeft w:val="0"/>
      <w:marRight w:val="0"/>
      <w:marTop w:val="0"/>
      <w:marBottom w:val="0"/>
      <w:divBdr>
        <w:top w:val="none" w:sz="0" w:space="0" w:color="auto"/>
        <w:left w:val="none" w:sz="0" w:space="0" w:color="auto"/>
        <w:bottom w:val="none" w:sz="0" w:space="0" w:color="auto"/>
        <w:right w:val="none" w:sz="0" w:space="0" w:color="auto"/>
      </w:divBdr>
      <w:divsChild>
        <w:div w:id="1764689044">
          <w:marLeft w:val="0"/>
          <w:marRight w:val="0"/>
          <w:marTop w:val="0"/>
          <w:marBottom w:val="0"/>
          <w:divBdr>
            <w:top w:val="none" w:sz="0" w:space="0" w:color="auto"/>
            <w:left w:val="none" w:sz="0" w:space="0" w:color="auto"/>
            <w:bottom w:val="none" w:sz="0" w:space="0" w:color="auto"/>
            <w:right w:val="none" w:sz="0" w:space="0" w:color="auto"/>
          </w:divBdr>
          <w:divsChild>
            <w:div w:id="1764689055">
              <w:marLeft w:val="0"/>
              <w:marRight w:val="0"/>
              <w:marTop w:val="0"/>
              <w:marBottom w:val="0"/>
              <w:divBdr>
                <w:top w:val="none" w:sz="0" w:space="0" w:color="auto"/>
                <w:left w:val="none" w:sz="0" w:space="0" w:color="auto"/>
                <w:bottom w:val="none" w:sz="0" w:space="0" w:color="auto"/>
                <w:right w:val="none" w:sz="0" w:space="0" w:color="auto"/>
              </w:divBdr>
            </w:div>
            <w:div w:id="1764689309">
              <w:marLeft w:val="0"/>
              <w:marRight w:val="0"/>
              <w:marTop w:val="0"/>
              <w:marBottom w:val="0"/>
              <w:divBdr>
                <w:top w:val="none" w:sz="0" w:space="0" w:color="auto"/>
                <w:left w:val="none" w:sz="0" w:space="0" w:color="auto"/>
                <w:bottom w:val="none" w:sz="0" w:space="0" w:color="auto"/>
                <w:right w:val="none" w:sz="0" w:space="0" w:color="auto"/>
              </w:divBdr>
            </w:div>
            <w:div w:id="1764689415">
              <w:marLeft w:val="0"/>
              <w:marRight w:val="0"/>
              <w:marTop w:val="0"/>
              <w:marBottom w:val="0"/>
              <w:divBdr>
                <w:top w:val="none" w:sz="0" w:space="0" w:color="auto"/>
                <w:left w:val="none" w:sz="0" w:space="0" w:color="auto"/>
                <w:bottom w:val="none" w:sz="0" w:space="0" w:color="auto"/>
                <w:right w:val="none" w:sz="0" w:space="0" w:color="auto"/>
              </w:divBdr>
            </w:div>
            <w:div w:id="1764689546">
              <w:marLeft w:val="0"/>
              <w:marRight w:val="0"/>
              <w:marTop w:val="0"/>
              <w:marBottom w:val="0"/>
              <w:divBdr>
                <w:top w:val="none" w:sz="0" w:space="0" w:color="auto"/>
                <w:left w:val="none" w:sz="0" w:space="0" w:color="auto"/>
                <w:bottom w:val="none" w:sz="0" w:space="0" w:color="auto"/>
                <w:right w:val="none" w:sz="0" w:space="0" w:color="auto"/>
              </w:divBdr>
            </w:div>
            <w:div w:id="1764689714">
              <w:marLeft w:val="0"/>
              <w:marRight w:val="0"/>
              <w:marTop w:val="0"/>
              <w:marBottom w:val="0"/>
              <w:divBdr>
                <w:top w:val="none" w:sz="0" w:space="0" w:color="auto"/>
                <w:left w:val="none" w:sz="0" w:space="0" w:color="auto"/>
                <w:bottom w:val="none" w:sz="0" w:space="0" w:color="auto"/>
                <w:right w:val="none" w:sz="0" w:space="0" w:color="auto"/>
              </w:divBdr>
            </w:div>
            <w:div w:id="1764689926">
              <w:marLeft w:val="0"/>
              <w:marRight w:val="0"/>
              <w:marTop w:val="0"/>
              <w:marBottom w:val="0"/>
              <w:divBdr>
                <w:top w:val="none" w:sz="0" w:space="0" w:color="auto"/>
                <w:left w:val="none" w:sz="0" w:space="0" w:color="auto"/>
                <w:bottom w:val="none" w:sz="0" w:space="0" w:color="auto"/>
                <w:right w:val="none" w:sz="0" w:space="0" w:color="auto"/>
              </w:divBdr>
            </w:div>
            <w:div w:id="1764689942">
              <w:marLeft w:val="0"/>
              <w:marRight w:val="0"/>
              <w:marTop w:val="0"/>
              <w:marBottom w:val="0"/>
              <w:divBdr>
                <w:top w:val="none" w:sz="0" w:space="0" w:color="auto"/>
                <w:left w:val="none" w:sz="0" w:space="0" w:color="auto"/>
                <w:bottom w:val="none" w:sz="0" w:space="0" w:color="auto"/>
                <w:right w:val="none" w:sz="0" w:space="0" w:color="auto"/>
              </w:divBdr>
            </w:div>
            <w:div w:id="1764689999">
              <w:marLeft w:val="0"/>
              <w:marRight w:val="0"/>
              <w:marTop w:val="0"/>
              <w:marBottom w:val="0"/>
              <w:divBdr>
                <w:top w:val="none" w:sz="0" w:space="0" w:color="auto"/>
                <w:left w:val="none" w:sz="0" w:space="0" w:color="auto"/>
                <w:bottom w:val="none" w:sz="0" w:space="0" w:color="auto"/>
                <w:right w:val="none" w:sz="0" w:space="0" w:color="auto"/>
              </w:divBdr>
            </w:div>
            <w:div w:id="1764690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972">
      <w:marLeft w:val="0"/>
      <w:marRight w:val="0"/>
      <w:marTop w:val="0"/>
      <w:marBottom w:val="0"/>
      <w:divBdr>
        <w:top w:val="none" w:sz="0" w:space="0" w:color="auto"/>
        <w:left w:val="none" w:sz="0" w:space="0" w:color="auto"/>
        <w:bottom w:val="none" w:sz="0" w:space="0" w:color="auto"/>
        <w:right w:val="none" w:sz="0" w:space="0" w:color="auto"/>
      </w:divBdr>
    </w:div>
    <w:div w:id="1764689973">
      <w:marLeft w:val="0"/>
      <w:marRight w:val="0"/>
      <w:marTop w:val="0"/>
      <w:marBottom w:val="0"/>
      <w:divBdr>
        <w:top w:val="none" w:sz="0" w:space="0" w:color="auto"/>
        <w:left w:val="none" w:sz="0" w:space="0" w:color="auto"/>
        <w:bottom w:val="none" w:sz="0" w:space="0" w:color="auto"/>
        <w:right w:val="none" w:sz="0" w:space="0" w:color="auto"/>
      </w:divBdr>
    </w:div>
    <w:div w:id="1764689976">
      <w:marLeft w:val="0"/>
      <w:marRight w:val="0"/>
      <w:marTop w:val="0"/>
      <w:marBottom w:val="0"/>
      <w:divBdr>
        <w:top w:val="none" w:sz="0" w:space="0" w:color="auto"/>
        <w:left w:val="none" w:sz="0" w:space="0" w:color="auto"/>
        <w:bottom w:val="none" w:sz="0" w:space="0" w:color="auto"/>
        <w:right w:val="none" w:sz="0" w:space="0" w:color="auto"/>
      </w:divBdr>
    </w:div>
    <w:div w:id="1764689979">
      <w:marLeft w:val="0"/>
      <w:marRight w:val="0"/>
      <w:marTop w:val="0"/>
      <w:marBottom w:val="0"/>
      <w:divBdr>
        <w:top w:val="none" w:sz="0" w:space="0" w:color="auto"/>
        <w:left w:val="none" w:sz="0" w:space="0" w:color="auto"/>
        <w:bottom w:val="none" w:sz="0" w:space="0" w:color="auto"/>
        <w:right w:val="none" w:sz="0" w:space="0" w:color="auto"/>
      </w:divBdr>
    </w:div>
    <w:div w:id="1764689983">
      <w:marLeft w:val="0"/>
      <w:marRight w:val="0"/>
      <w:marTop w:val="0"/>
      <w:marBottom w:val="0"/>
      <w:divBdr>
        <w:top w:val="none" w:sz="0" w:space="0" w:color="auto"/>
        <w:left w:val="none" w:sz="0" w:space="0" w:color="auto"/>
        <w:bottom w:val="none" w:sz="0" w:space="0" w:color="auto"/>
        <w:right w:val="none" w:sz="0" w:space="0" w:color="auto"/>
      </w:divBdr>
    </w:div>
    <w:div w:id="1764689990">
      <w:marLeft w:val="0"/>
      <w:marRight w:val="0"/>
      <w:marTop w:val="0"/>
      <w:marBottom w:val="0"/>
      <w:divBdr>
        <w:top w:val="none" w:sz="0" w:space="0" w:color="auto"/>
        <w:left w:val="none" w:sz="0" w:space="0" w:color="auto"/>
        <w:bottom w:val="none" w:sz="0" w:space="0" w:color="auto"/>
        <w:right w:val="none" w:sz="0" w:space="0" w:color="auto"/>
      </w:divBdr>
    </w:div>
    <w:div w:id="1764689992">
      <w:marLeft w:val="0"/>
      <w:marRight w:val="0"/>
      <w:marTop w:val="0"/>
      <w:marBottom w:val="0"/>
      <w:divBdr>
        <w:top w:val="none" w:sz="0" w:space="0" w:color="auto"/>
        <w:left w:val="none" w:sz="0" w:space="0" w:color="auto"/>
        <w:bottom w:val="none" w:sz="0" w:space="0" w:color="auto"/>
        <w:right w:val="none" w:sz="0" w:space="0" w:color="auto"/>
      </w:divBdr>
    </w:div>
    <w:div w:id="1764689993">
      <w:marLeft w:val="0"/>
      <w:marRight w:val="0"/>
      <w:marTop w:val="0"/>
      <w:marBottom w:val="0"/>
      <w:divBdr>
        <w:top w:val="none" w:sz="0" w:space="0" w:color="auto"/>
        <w:left w:val="none" w:sz="0" w:space="0" w:color="auto"/>
        <w:bottom w:val="none" w:sz="0" w:space="0" w:color="auto"/>
        <w:right w:val="none" w:sz="0" w:space="0" w:color="auto"/>
      </w:divBdr>
      <w:divsChild>
        <w:div w:id="1764689945">
          <w:marLeft w:val="0"/>
          <w:marRight w:val="0"/>
          <w:marTop w:val="0"/>
          <w:marBottom w:val="0"/>
          <w:divBdr>
            <w:top w:val="none" w:sz="0" w:space="0" w:color="auto"/>
            <w:left w:val="none" w:sz="0" w:space="0" w:color="auto"/>
            <w:bottom w:val="none" w:sz="0" w:space="0" w:color="auto"/>
            <w:right w:val="none" w:sz="0" w:space="0" w:color="auto"/>
          </w:divBdr>
          <w:divsChild>
            <w:div w:id="1764689551">
              <w:marLeft w:val="0"/>
              <w:marRight w:val="0"/>
              <w:marTop w:val="0"/>
              <w:marBottom w:val="0"/>
              <w:divBdr>
                <w:top w:val="none" w:sz="0" w:space="0" w:color="auto"/>
                <w:left w:val="none" w:sz="0" w:space="0" w:color="auto"/>
                <w:bottom w:val="none" w:sz="0" w:space="0" w:color="auto"/>
                <w:right w:val="none" w:sz="0" w:space="0" w:color="auto"/>
              </w:divBdr>
            </w:div>
            <w:div w:id="1764689618">
              <w:marLeft w:val="0"/>
              <w:marRight w:val="0"/>
              <w:marTop w:val="0"/>
              <w:marBottom w:val="0"/>
              <w:divBdr>
                <w:top w:val="none" w:sz="0" w:space="0" w:color="auto"/>
                <w:left w:val="none" w:sz="0" w:space="0" w:color="auto"/>
                <w:bottom w:val="none" w:sz="0" w:space="0" w:color="auto"/>
                <w:right w:val="none" w:sz="0" w:space="0" w:color="auto"/>
              </w:divBdr>
            </w:div>
            <w:div w:id="1764689886">
              <w:marLeft w:val="0"/>
              <w:marRight w:val="0"/>
              <w:marTop w:val="0"/>
              <w:marBottom w:val="0"/>
              <w:divBdr>
                <w:top w:val="none" w:sz="0" w:space="0" w:color="auto"/>
                <w:left w:val="none" w:sz="0" w:space="0" w:color="auto"/>
                <w:bottom w:val="none" w:sz="0" w:space="0" w:color="auto"/>
                <w:right w:val="none" w:sz="0" w:space="0" w:color="auto"/>
              </w:divBdr>
            </w:div>
            <w:div w:id="1764689989">
              <w:marLeft w:val="0"/>
              <w:marRight w:val="0"/>
              <w:marTop w:val="0"/>
              <w:marBottom w:val="0"/>
              <w:divBdr>
                <w:top w:val="none" w:sz="0" w:space="0" w:color="auto"/>
                <w:left w:val="none" w:sz="0" w:space="0" w:color="auto"/>
                <w:bottom w:val="none" w:sz="0" w:space="0" w:color="auto"/>
                <w:right w:val="none" w:sz="0" w:space="0" w:color="auto"/>
              </w:divBdr>
            </w:div>
            <w:div w:id="1764690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89996">
      <w:marLeft w:val="0"/>
      <w:marRight w:val="0"/>
      <w:marTop w:val="0"/>
      <w:marBottom w:val="0"/>
      <w:divBdr>
        <w:top w:val="none" w:sz="0" w:space="0" w:color="auto"/>
        <w:left w:val="none" w:sz="0" w:space="0" w:color="auto"/>
        <w:bottom w:val="none" w:sz="0" w:space="0" w:color="auto"/>
        <w:right w:val="none" w:sz="0" w:space="0" w:color="auto"/>
      </w:divBdr>
    </w:div>
    <w:div w:id="1764689998">
      <w:marLeft w:val="0"/>
      <w:marRight w:val="0"/>
      <w:marTop w:val="0"/>
      <w:marBottom w:val="0"/>
      <w:divBdr>
        <w:top w:val="none" w:sz="0" w:space="0" w:color="auto"/>
        <w:left w:val="none" w:sz="0" w:space="0" w:color="auto"/>
        <w:bottom w:val="none" w:sz="0" w:space="0" w:color="auto"/>
        <w:right w:val="none" w:sz="0" w:space="0" w:color="auto"/>
      </w:divBdr>
      <w:divsChild>
        <w:div w:id="1764689378">
          <w:marLeft w:val="0"/>
          <w:marRight w:val="0"/>
          <w:marTop w:val="0"/>
          <w:marBottom w:val="0"/>
          <w:divBdr>
            <w:top w:val="none" w:sz="0" w:space="0" w:color="auto"/>
            <w:left w:val="none" w:sz="0" w:space="0" w:color="auto"/>
            <w:bottom w:val="none" w:sz="0" w:space="0" w:color="auto"/>
            <w:right w:val="none" w:sz="0" w:space="0" w:color="auto"/>
          </w:divBdr>
        </w:div>
      </w:divsChild>
    </w:div>
    <w:div w:id="1764690002">
      <w:marLeft w:val="0"/>
      <w:marRight w:val="0"/>
      <w:marTop w:val="0"/>
      <w:marBottom w:val="0"/>
      <w:divBdr>
        <w:top w:val="none" w:sz="0" w:space="0" w:color="auto"/>
        <w:left w:val="none" w:sz="0" w:space="0" w:color="auto"/>
        <w:bottom w:val="none" w:sz="0" w:space="0" w:color="auto"/>
        <w:right w:val="none" w:sz="0" w:space="0" w:color="auto"/>
      </w:divBdr>
    </w:div>
    <w:div w:id="1764690003">
      <w:marLeft w:val="0"/>
      <w:marRight w:val="0"/>
      <w:marTop w:val="0"/>
      <w:marBottom w:val="0"/>
      <w:divBdr>
        <w:top w:val="none" w:sz="0" w:space="0" w:color="auto"/>
        <w:left w:val="none" w:sz="0" w:space="0" w:color="auto"/>
        <w:bottom w:val="none" w:sz="0" w:space="0" w:color="auto"/>
        <w:right w:val="none" w:sz="0" w:space="0" w:color="auto"/>
      </w:divBdr>
    </w:div>
    <w:div w:id="1764690008">
      <w:marLeft w:val="0"/>
      <w:marRight w:val="0"/>
      <w:marTop w:val="0"/>
      <w:marBottom w:val="0"/>
      <w:divBdr>
        <w:top w:val="none" w:sz="0" w:space="0" w:color="auto"/>
        <w:left w:val="none" w:sz="0" w:space="0" w:color="auto"/>
        <w:bottom w:val="none" w:sz="0" w:space="0" w:color="auto"/>
        <w:right w:val="none" w:sz="0" w:space="0" w:color="auto"/>
      </w:divBdr>
    </w:div>
    <w:div w:id="1764690009">
      <w:marLeft w:val="0"/>
      <w:marRight w:val="0"/>
      <w:marTop w:val="0"/>
      <w:marBottom w:val="0"/>
      <w:divBdr>
        <w:top w:val="none" w:sz="0" w:space="0" w:color="auto"/>
        <w:left w:val="none" w:sz="0" w:space="0" w:color="auto"/>
        <w:bottom w:val="none" w:sz="0" w:space="0" w:color="auto"/>
        <w:right w:val="none" w:sz="0" w:space="0" w:color="auto"/>
      </w:divBdr>
    </w:div>
    <w:div w:id="1764690015">
      <w:marLeft w:val="0"/>
      <w:marRight w:val="0"/>
      <w:marTop w:val="0"/>
      <w:marBottom w:val="0"/>
      <w:divBdr>
        <w:top w:val="none" w:sz="0" w:space="0" w:color="auto"/>
        <w:left w:val="none" w:sz="0" w:space="0" w:color="auto"/>
        <w:bottom w:val="none" w:sz="0" w:space="0" w:color="auto"/>
        <w:right w:val="none" w:sz="0" w:space="0" w:color="auto"/>
      </w:divBdr>
      <w:divsChild>
        <w:div w:id="1764689774">
          <w:marLeft w:val="0"/>
          <w:marRight w:val="0"/>
          <w:marTop w:val="0"/>
          <w:marBottom w:val="0"/>
          <w:divBdr>
            <w:top w:val="none" w:sz="0" w:space="0" w:color="auto"/>
            <w:left w:val="none" w:sz="0" w:space="0" w:color="auto"/>
            <w:bottom w:val="none" w:sz="0" w:space="0" w:color="auto"/>
            <w:right w:val="none" w:sz="0" w:space="0" w:color="auto"/>
          </w:divBdr>
          <w:divsChild>
            <w:div w:id="1764689525">
              <w:marLeft w:val="0"/>
              <w:marRight w:val="0"/>
              <w:marTop w:val="0"/>
              <w:marBottom w:val="0"/>
              <w:divBdr>
                <w:top w:val="none" w:sz="0" w:space="0" w:color="auto"/>
                <w:left w:val="none" w:sz="0" w:space="0" w:color="auto"/>
                <w:bottom w:val="none" w:sz="0" w:space="0" w:color="auto"/>
                <w:right w:val="none" w:sz="0" w:space="0" w:color="auto"/>
              </w:divBdr>
            </w:div>
            <w:div w:id="1764690063">
              <w:marLeft w:val="0"/>
              <w:marRight w:val="0"/>
              <w:marTop w:val="0"/>
              <w:marBottom w:val="0"/>
              <w:divBdr>
                <w:top w:val="none" w:sz="0" w:space="0" w:color="auto"/>
                <w:left w:val="none" w:sz="0" w:space="0" w:color="auto"/>
                <w:bottom w:val="none" w:sz="0" w:space="0" w:color="auto"/>
                <w:right w:val="none" w:sz="0" w:space="0" w:color="auto"/>
              </w:divBdr>
            </w:div>
            <w:div w:id="1764690209">
              <w:marLeft w:val="0"/>
              <w:marRight w:val="0"/>
              <w:marTop w:val="0"/>
              <w:marBottom w:val="0"/>
              <w:divBdr>
                <w:top w:val="none" w:sz="0" w:space="0" w:color="auto"/>
                <w:left w:val="none" w:sz="0" w:space="0" w:color="auto"/>
                <w:bottom w:val="none" w:sz="0" w:space="0" w:color="auto"/>
                <w:right w:val="none" w:sz="0" w:space="0" w:color="auto"/>
              </w:divBdr>
            </w:div>
            <w:div w:id="1764690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019">
      <w:marLeft w:val="0"/>
      <w:marRight w:val="0"/>
      <w:marTop w:val="0"/>
      <w:marBottom w:val="0"/>
      <w:divBdr>
        <w:top w:val="none" w:sz="0" w:space="0" w:color="auto"/>
        <w:left w:val="none" w:sz="0" w:space="0" w:color="auto"/>
        <w:bottom w:val="none" w:sz="0" w:space="0" w:color="auto"/>
        <w:right w:val="none" w:sz="0" w:space="0" w:color="auto"/>
      </w:divBdr>
    </w:div>
    <w:div w:id="1764690021">
      <w:marLeft w:val="0"/>
      <w:marRight w:val="0"/>
      <w:marTop w:val="0"/>
      <w:marBottom w:val="0"/>
      <w:divBdr>
        <w:top w:val="none" w:sz="0" w:space="0" w:color="auto"/>
        <w:left w:val="none" w:sz="0" w:space="0" w:color="auto"/>
        <w:bottom w:val="none" w:sz="0" w:space="0" w:color="auto"/>
        <w:right w:val="none" w:sz="0" w:space="0" w:color="auto"/>
      </w:divBdr>
      <w:divsChild>
        <w:div w:id="1764690109">
          <w:marLeft w:val="0"/>
          <w:marRight w:val="0"/>
          <w:marTop w:val="0"/>
          <w:marBottom w:val="0"/>
          <w:divBdr>
            <w:top w:val="none" w:sz="0" w:space="0" w:color="auto"/>
            <w:left w:val="none" w:sz="0" w:space="0" w:color="auto"/>
            <w:bottom w:val="none" w:sz="0" w:space="0" w:color="auto"/>
            <w:right w:val="none" w:sz="0" w:space="0" w:color="auto"/>
          </w:divBdr>
        </w:div>
      </w:divsChild>
    </w:div>
    <w:div w:id="1764690026">
      <w:marLeft w:val="0"/>
      <w:marRight w:val="0"/>
      <w:marTop w:val="0"/>
      <w:marBottom w:val="0"/>
      <w:divBdr>
        <w:top w:val="none" w:sz="0" w:space="0" w:color="auto"/>
        <w:left w:val="none" w:sz="0" w:space="0" w:color="auto"/>
        <w:bottom w:val="none" w:sz="0" w:space="0" w:color="auto"/>
        <w:right w:val="none" w:sz="0" w:space="0" w:color="auto"/>
      </w:divBdr>
      <w:divsChild>
        <w:div w:id="1764690578">
          <w:marLeft w:val="0"/>
          <w:marRight w:val="0"/>
          <w:marTop w:val="0"/>
          <w:marBottom w:val="0"/>
          <w:divBdr>
            <w:top w:val="none" w:sz="0" w:space="0" w:color="auto"/>
            <w:left w:val="none" w:sz="0" w:space="0" w:color="auto"/>
            <w:bottom w:val="none" w:sz="0" w:space="0" w:color="auto"/>
            <w:right w:val="none" w:sz="0" w:space="0" w:color="auto"/>
          </w:divBdr>
          <w:divsChild>
            <w:div w:id="1764689103">
              <w:marLeft w:val="0"/>
              <w:marRight w:val="0"/>
              <w:marTop w:val="0"/>
              <w:marBottom w:val="0"/>
              <w:divBdr>
                <w:top w:val="none" w:sz="0" w:space="0" w:color="auto"/>
                <w:left w:val="none" w:sz="0" w:space="0" w:color="auto"/>
                <w:bottom w:val="none" w:sz="0" w:space="0" w:color="auto"/>
                <w:right w:val="none" w:sz="0" w:space="0" w:color="auto"/>
              </w:divBdr>
            </w:div>
            <w:div w:id="1764689256">
              <w:marLeft w:val="0"/>
              <w:marRight w:val="0"/>
              <w:marTop w:val="0"/>
              <w:marBottom w:val="0"/>
              <w:divBdr>
                <w:top w:val="none" w:sz="0" w:space="0" w:color="auto"/>
                <w:left w:val="none" w:sz="0" w:space="0" w:color="auto"/>
                <w:bottom w:val="none" w:sz="0" w:space="0" w:color="auto"/>
                <w:right w:val="none" w:sz="0" w:space="0" w:color="auto"/>
              </w:divBdr>
            </w:div>
            <w:div w:id="1764689331">
              <w:marLeft w:val="0"/>
              <w:marRight w:val="0"/>
              <w:marTop w:val="0"/>
              <w:marBottom w:val="0"/>
              <w:divBdr>
                <w:top w:val="none" w:sz="0" w:space="0" w:color="auto"/>
                <w:left w:val="none" w:sz="0" w:space="0" w:color="auto"/>
                <w:bottom w:val="none" w:sz="0" w:space="0" w:color="auto"/>
                <w:right w:val="none" w:sz="0" w:space="0" w:color="auto"/>
              </w:divBdr>
            </w:div>
            <w:div w:id="1764690053">
              <w:marLeft w:val="0"/>
              <w:marRight w:val="0"/>
              <w:marTop w:val="0"/>
              <w:marBottom w:val="0"/>
              <w:divBdr>
                <w:top w:val="none" w:sz="0" w:space="0" w:color="auto"/>
                <w:left w:val="none" w:sz="0" w:space="0" w:color="auto"/>
                <w:bottom w:val="none" w:sz="0" w:space="0" w:color="auto"/>
                <w:right w:val="none" w:sz="0" w:space="0" w:color="auto"/>
              </w:divBdr>
            </w:div>
            <w:div w:id="1764690198">
              <w:marLeft w:val="0"/>
              <w:marRight w:val="0"/>
              <w:marTop w:val="0"/>
              <w:marBottom w:val="0"/>
              <w:divBdr>
                <w:top w:val="none" w:sz="0" w:space="0" w:color="auto"/>
                <w:left w:val="none" w:sz="0" w:space="0" w:color="auto"/>
                <w:bottom w:val="none" w:sz="0" w:space="0" w:color="auto"/>
                <w:right w:val="none" w:sz="0" w:space="0" w:color="auto"/>
              </w:divBdr>
            </w:div>
            <w:div w:id="1764690513">
              <w:marLeft w:val="0"/>
              <w:marRight w:val="0"/>
              <w:marTop w:val="0"/>
              <w:marBottom w:val="0"/>
              <w:divBdr>
                <w:top w:val="none" w:sz="0" w:space="0" w:color="auto"/>
                <w:left w:val="none" w:sz="0" w:space="0" w:color="auto"/>
                <w:bottom w:val="none" w:sz="0" w:space="0" w:color="auto"/>
                <w:right w:val="none" w:sz="0" w:space="0" w:color="auto"/>
              </w:divBdr>
            </w:div>
            <w:div w:id="1764690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027">
      <w:marLeft w:val="0"/>
      <w:marRight w:val="0"/>
      <w:marTop w:val="0"/>
      <w:marBottom w:val="0"/>
      <w:divBdr>
        <w:top w:val="none" w:sz="0" w:space="0" w:color="auto"/>
        <w:left w:val="none" w:sz="0" w:space="0" w:color="auto"/>
        <w:bottom w:val="none" w:sz="0" w:space="0" w:color="auto"/>
        <w:right w:val="none" w:sz="0" w:space="0" w:color="auto"/>
      </w:divBdr>
    </w:div>
    <w:div w:id="1764690028">
      <w:marLeft w:val="0"/>
      <w:marRight w:val="0"/>
      <w:marTop w:val="0"/>
      <w:marBottom w:val="0"/>
      <w:divBdr>
        <w:top w:val="none" w:sz="0" w:space="0" w:color="auto"/>
        <w:left w:val="none" w:sz="0" w:space="0" w:color="auto"/>
        <w:bottom w:val="none" w:sz="0" w:space="0" w:color="auto"/>
        <w:right w:val="none" w:sz="0" w:space="0" w:color="auto"/>
      </w:divBdr>
      <w:divsChild>
        <w:div w:id="1764690440">
          <w:marLeft w:val="0"/>
          <w:marRight w:val="0"/>
          <w:marTop w:val="0"/>
          <w:marBottom w:val="0"/>
          <w:divBdr>
            <w:top w:val="none" w:sz="0" w:space="0" w:color="auto"/>
            <w:left w:val="none" w:sz="0" w:space="0" w:color="auto"/>
            <w:bottom w:val="none" w:sz="0" w:space="0" w:color="auto"/>
            <w:right w:val="none" w:sz="0" w:space="0" w:color="auto"/>
          </w:divBdr>
          <w:divsChild>
            <w:div w:id="1764689396">
              <w:marLeft w:val="0"/>
              <w:marRight w:val="0"/>
              <w:marTop w:val="0"/>
              <w:marBottom w:val="0"/>
              <w:divBdr>
                <w:top w:val="none" w:sz="0" w:space="0" w:color="auto"/>
                <w:left w:val="none" w:sz="0" w:space="0" w:color="auto"/>
                <w:bottom w:val="none" w:sz="0" w:space="0" w:color="auto"/>
                <w:right w:val="none" w:sz="0" w:space="0" w:color="auto"/>
              </w:divBdr>
            </w:div>
            <w:div w:id="1764690087">
              <w:marLeft w:val="0"/>
              <w:marRight w:val="0"/>
              <w:marTop w:val="0"/>
              <w:marBottom w:val="0"/>
              <w:divBdr>
                <w:top w:val="none" w:sz="0" w:space="0" w:color="auto"/>
                <w:left w:val="none" w:sz="0" w:space="0" w:color="auto"/>
                <w:bottom w:val="none" w:sz="0" w:space="0" w:color="auto"/>
                <w:right w:val="none" w:sz="0" w:space="0" w:color="auto"/>
              </w:divBdr>
            </w:div>
            <w:div w:id="176469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032">
      <w:marLeft w:val="0"/>
      <w:marRight w:val="0"/>
      <w:marTop w:val="0"/>
      <w:marBottom w:val="0"/>
      <w:divBdr>
        <w:top w:val="none" w:sz="0" w:space="0" w:color="auto"/>
        <w:left w:val="none" w:sz="0" w:space="0" w:color="auto"/>
        <w:bottom w:val="none" w:sz="0" w:space="0" w:color="auto"/>
        <w:right w:val="none" w:sz="0" w:space="0" w:color="auto"/>
      </w:divBdr>
      <w:divsChild>
        <w:div w:id="1764689333">
          <w:marLeft w:val="0"/>
          <w:marRight w:val="0"/>
          <w:marTop w:val="0"/>
          <w:marBottom w:val="0"/>
          <w:divBdr>
            <w:top w:val="none" w:sz="0" w:space="0" w:color="auto"/>
            <w:left w:val="none" w:sz="0" w:space="0" w:color="auto"/>
            <w:bottom w:val="none" w:sz="0" w:space="0" w:color="auto"/>
            <w:right w:val="none" w:sz="0" w:space="0" w:color="auto"/>
          </w:divBdr>
          <w:divsChild>
            <w:div w:id="1764689322">
              <w:marLeft w:val="0"/>
              <w:marRight w:val="0"/>
              <w:marTop w:val="0"/>
              <w:marBottom w:val="0"/>
              <w:divBdr>
                <w:top w:val="none" w:sz="0" w:space="0" w:color="auto"/>
                <w:left w:val="none" w:sz="0" w:space="0" w:color="auto"/>
                <w:bottom w:val="none" w:sz="0" w:space="0" w:color="auto"/>
                <w:right w:val="none" w:sz="0" w:space="0" w:color="auto"/>
              </w:divBdr>
            </w:div>
            <w:div w:id="1764689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034">
      <w:marLeft w:val="0"/>
      <w:marRight w:val="0"/>
      <w:marTop w:val="0"/>
      <w:marBottom w:val="0"/>
      <w:divBdr>
        <w:top w:val="none" w:sz="0" w:space="0" w:color="auto"/>
        <w:left w:val="none" w:sz="0" w:space="0" w:color="auto"/>
        <w:bottom w:val="none" w:sz="0" w:space="0" w:color="auto"/>
        <w:right w:val="none" w:sz="0" w:space="0" w:color="auto"/>
      </w:divBdr>
      <w:divsChild>
        <w:div w:id="1764689509">
          <w:marLeft w:val="0"/>
          <w:marRight w:val="0"/>
          <w:marTop w:val="0"/>
          <w:marBottom w:val="0"/>
          <w:divBdr>
            <w:top w:val="none" w:sz="0" w:space="0" w:color="auto"/>
            <w:left w:val="none" w:sz="0" w:space="0" w:color="auto"/>
            <w:bottom w:val="none" w:sz="0" w:space="0" w:color="auto"/>
            <w:right w:val="none" w:sz="0" w:space="0" w:color="auto"/>
          </w:divBdr>
          <w:divsChild>
            <w:div w:id="1764689140">
              <w:marLeft w:val="0"/>
              <w:marRight w:val="0"/>
              <w:marTop w:val="0"/>
              <w:marBottom w:val="0"/>
              <w:divBdr>
                <w:top w:val="none" w:sz="0" w:space="0" w:color="auto"/>
                <w:left w:val="none" w:sz="0" w:space="0" w:color="auto"/>
                <w:bottom w:val="none" w:sz="0" w:space="0" w:color="auto"/>
                <w:right w:val="none" w:sz="0" w:space="0" w:color="auto"/>
              </w:divBdr>
            </w:div>
            <w:div w:id="1764689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038">
      <w:marLeft w:val="0"/>
      <w:marRight w:val="0"/>
      <w:marTop w:val="0"/>
      <w:marBottom w:val="0"/>
      <w:divBdr>
        <w:top w:val="none" w:sz="0" w:space="0" w:color="auto"/>
        <w:left w:val="none" w:sz="0" w:space="0" w:color="auto"/>
        <w:bottom w:val="none" w:sz="0" w:space="0" w:color="auto"/>
        <w:right w:val="none" w:sz="0" w:space="0" w:color="auto"/>
      </w:divBdr>
    </w:div>
    <w:div w:id="1764690039">
      <w:marLeft w:val="0"/>
      <w:marRight w:val="0"/>
      <w:marTop w:val="0"/>
      <w:marBottom w:val="0"/>
      <w:divBdr>
        <w:top w:val="none" w:sz="0" w:space="0" w:color="auto"/>
        <w:left w:val="none" w:sz="0" w:space="0" w:color="auto"/>
        <w:bottom w:val="none" w:sz="0" w:space="0" w:color="auto"/>
        <w:right w:val="none" w:sz="0" w:space="0" w:color="auto"/>
      </w:divBdr>
    </w:div>
    <w:div w:id="1764690041">
      <w:marLeft w:val="0"/>
      <w:marRight w:val="0"/>
      <w:marTop w:val="0"/>
      <w:marBottom w:val="0"/>
      <w:divBdr>
        <w:top w:val="none" w:sz="0" w:space="0" w:color="auto"/>
        <w:left w:val="none" w:sz="0" w:space="0" w:color="auto"/>
        <w:bottom w:val="none" w:sz="0" w:space="0" w:color="auto"/>
        <w:right w:val="none" w:sz="0" w:space="0" w:color="auto"/>
      </w:divBdr>
      <w:divsChild>
        <w:div w:id="1764690182">
          <w:marLeft w:val="0"/>
          <w:marRight w:val="0"/>
          <w:marTop w:val="0"/>
          <w:marBottom w:val="0"/>
          <w:divBdr>
            <w:top w:val="none" w:sz="0" w:space="0" w:color="auto"/>
            <w:left w:val="none" w:sz="0" w:space="0" w:color="auto"/>
            <w:bottom w:val="none" w:sz="0" w:space="0" w:color="auto"/>
            <w:right w:val="none" w:sz="0" w:space="0" w:color="auto"/>
          </w:divBdr>
        </w:div>
      </w:divsChild>
    </w:div>
    <w:div w:id="1764690043">
      <w:marLeft w:val="0"/>
      <w:marRight w:val="0"/>
      <w:marTop w:val="0"/>
      <w:marBottom w:val="0"/>
      <w:divBdr>
        <w:top w:val="none" w:sz="0" w:space="0" w:color="auto"/>
        <w:left w:val="none" w:sz="0" w:space="0" w:color="auto"/>
        <w:bottom w:val="none" w:sz="0" w:space="0" w:color="auto"/>
        <w:right w:val="none" w:sz="0" w:space="0" w:color="auto"/>
      </w:divBdr>
      <w:divsChild>
        <w:div w:id="1764690236">
          <w:marLeft w:val="0"/>
          <w:marRight w:val="0"/>
          <w:marTop w:val="0"/>
          <w:marBottom w:val="0"/>
          <w:divBdr>
            <w:top w:val="none" w:sz="0" w:space="0" w:color="auto"/>
            <w:left w:val="none" w:sz="0" w:space="0" w:color="auto"/>
            <w:bottom w:val="none" w:sz="0" w:space="0" w:color="auto"/>
            <w:right w:val="none" w:sz="0" w:space="0" w:color="auto"/>
          </w:divBdr>
        </w:div>
      </w:divsChild>
    </w:div>
    <w:div w:id="1764690045">
      <w:marLeft w:val="0"/>
      <w:marRight w:val="0"/>
      <w:marTop w:val="0"/>
      <w:marBottom w:val="0"/>
      <w:divBdr>
        <w:top w:val="none" w:sz="0" w:space="0" w:color="auto"/>
        <w:left w:val="none" w:sz="0" w:space="0" w:color="auto"/>
        <w:bottom w:val="none" w:sz="0" w:space="0" w:color="auto"/>
        <w:right w:val="none" w:sz="0" w:space="0" w:color="auto"/>
      </w:divBdr>
      <w:divsChild>
        <w:div w:id="1764689986">
          <w:marLeft w:val="0"/>
          <w:marRight w:val="0"/>
          <w:marTop w:val="0"/>
          <w:marBottom w:val="0"/>
          <w:divBdr>
            <w:top w:val="none" w:sz="0" w:space="0" w:color="auto"/>
            <w:left w:val="none" w:sz="0" w:space="0" w:color="auto"/>
            <w:bottom w:val="none" w:sz="0" w:space="0" w:color="auto"/>
            <w:right w:val="none" w:sz="0" w:space="0" w:color="auto"/>
          </w:divBdr>
        </w:div>
      </w:divsChild>
    </w:div>
    <w:div w:id="1764690046">
      <w:marLeft w:val="0"/>
      <w:marRight w:val="0"/>
      <w:marTop w:val="0"/>
      <w:marBottom w:val="0"/>
      <w:divBdr>
        <w:top w:val="none" w:sz="0" w:space="0" w:color="auto"/>
        <w:left w:val="none" w:sz="0" w:space="0" w:color="auto"/>
        <w:bottom w:val="none" w:sz="0" w:space="0" w:color="auto"/>
        <w:right w:val="none" w:sz="0" w:space="0" w:color="auto"/>
      </w:divBdr>
      <w:divsChild>
        <w:div w:id="1764690238">
          <w:marLeft w:val="0"/>
          <w:marRight w:val="0"/>
          <w:marTop w:val="0"/>
          <w:marBottom w:val="0"/>
          <w:divBdr>
            <w:top w:val="none" w:sz="0" w:space="0" w:color="auto"/>
            <w:left w:val="none" w:sz="0" w:space="0" w:color="auto"/>
            <w:bottom w:val="none" w:sz="0" w:space="0" w:color="auto"/>
            <w:right w:val="none" w:sz="0" w:space="0" w:color="auto"/>
          </w:divBdr>
          <w:divsChild>
            <w:div w:id="1764689277">
              <w:marLeft w:val="0"/>
              <w:marRight w:val="0"/>
              <w:marTop w:val="0"/>
              <w:marBottom w:val="0"/>
              <w:divBdr>
                <w:top w:val="none" w:sz="0" w:space="0" w:color="auto"/>
                <w:left w:val="none" w:sz="0" w:space="0" w:color="auto"/>
                <w:bottom w:val="none" w:sz="0" w:space="0" w:color="auto"/>
                <w:right w:val="none" w:sz="0" w:space="0" w:color="auto"/>
              </w:divBdr>
            </w:div>
            <w:div w:id="1764689512">
              <w:marLeft w:val="0"/>
              <w:marRight w:val="0"/>
              <w:marTop w:val="0"/>
              <w:marBottom w:val="0"/>
              <w:divBdr>
                <w:top w:val="none" w:sz="0" w:space="0" w:color="auto"/>
                <w:left w:val="none" w:sz="0" w:space="0" w:color="auto"/>
                <w:bottom w:val="none" w:sz="0" w:space="0" w:color="auto"/>
                <w:right w:val="none" w:sz="0" w:space="0" w:color="auto"/>
              </w:divBdr>
            </w:div>
            <w:div w:id="1764689730">
              <w:marLeft w:val="0"/>
              <w:marRight w:val="0"/>
              <w:marTop w:val="0"/>
              <w:marBottom w:val="0"/>
              <w:divBdr>
                <w:top w:val="none" w:sz="0" w:space="0" w:color="auto"/>
                <w:left w:val="none" w:sz="0" w:space="0" w:color="auto"/>
                <w:bottom w:val="none" w:sz="0" w:space="0" w:color="auto"/>
                <w:right w:val="none" w:sz="0" w:space="0" w:color="auto"/>
              </w:divBdr>
            </w:div>
            <w:div w:id="1764689839">
              <w:marLeft w:val="0"/>
              <w:marRight w:val="0"/>
              <w:marTop w:val="0"/>
              <w:marBottom w:val="0"/>
              <w:divBdr>
                <w:top w:val="none" w:sz="0" w:space="0" w:color="auto"/>
                <w:left w:val="none" w:sz="0" w:space="0" w:color="auto"/>
                <w:bottom w:val="none" w:sz="0" w:space="0" w:color="auto"/>
                <w:right w:val="none" w:sz="0" w:space="0" w:color="auto"/>
              </w:divBdr>
            </w:div>
            <w:div w:id="1764690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049">
      <w:marLeft w:val="0"/>
      <w:marRight w:val="0"/>
      <w:marTop w:val="0"/>
      <w:marBottom w:val="0"/>
      <w:divBdr>
        <w:top w:val="none" w:sz="0" w:space="0" w:color="auto"/>
        <w:left w:val="none" w:sz="0" w:space="0" w:color="auto"/>
        <w:bottom w:val="none" w:sz="0" w:space="0" w:color="auto"/>
        <w:right w:val="none" w:sz="0" w:space="0" w:color="auto"/>
      </w:divBdr>
      <w:divsChild>
        <w:div w:id="1764690141">
          <w:marLeft w:val="0"/>
          <w:marRight w:val="0"/>
          <w:marTop w:val="0"/>
          <w:marBottom w:val="0"/>
          <w:divBdr>
            <w:top w:val="none" w:sz="0" w:space="0" w:color="auto"/>
            <w:left w:val="none" w:sz="0" w:space="0" w:color="auto"/>
            <w:bottom w:val="none" w:sz="0" w:space="0" w:color="auto"/>
            <w:right w:val="none" w:sz="0" w:space="0" w:color="auto"/>
          </w:divBdr>
        </w:div>
      </w:divsChild>
    </w:div>
    <w:div w:id="1764690050">
      <w:marLeft w:val="0"/>
      <w:marRight w:val="0"/>
      <w:marTop w:val="0"/>
      <w:marBottom w:val="0"/>
      <w:divBdr>
        <w:top w:val="none" w:sz="0" w:space="0" w:color="auto"/>
        <w:left w:val="none" w:sz="0" w:space="0" w:color="auto"/>
        <w:bottom w:val="none" w:sz="0" w:space="0" w:color="auto"/>
        <w:right w:val="none" w:sz="0" w:space="0" w:color="auto"/>
      </w:divBdr>
    </w:div>
    <w:div w:id="1764690051">
      <w:marLeft w:val="0"/>
      <w:marRight w:val="0"/>
      <w:marTop w:val="0"/>
      <w:marBottom w:val="0"/>
      <w:divBdr>
        <w:top w:val="none" w:sz="0" w:space="0" w:color="auto"/>
        <w:left w:val="none" w:sz="0" w:space="0" w:color="auto"/>
        <w:bottom w:val="none" w:sz="0" w:space="0" w:color="auto"/>
        <w:right w:val="none" w:sz="0" w:space="0" w:color="auto"/>
      </w:divBdr>
    </w:div>
    <w:div w:id="1764690056">
      <w:marLeft w:val="0"/>
      <w:marRight w:val="0"/>
      <w:marTop w:val="0"/>
      <w:marBottom w:val="0"/>
      <w:divBdr>
        <w:top w:val="none" w:sz="0" w:space="0" w:color="auto"/>
        <w:left w:val="none" w:sz="0" w:space="0" w:color="auto"/>
        <w:bottom w:val="none" w:sz="0" w:space="0" w:color="auto"/>
        <w:right w:val="none" w:sz="0" w:space="0" w:color="auto"/>
      </w:divBdr>
      <w:divsChild>
        <w:div w:id="1764690140">
          <w:marLeft w:val="0"/>
          <w:marRight w:val="0"/>
          <w:marTop w:val="0"/>
          <w:marBottom w:val="0"/>
          <w:divBdr>
            <w:top w:val="none" w:sz="0" w:space="0" w:color="auto"/>
            <w:left w:val="none" w:sz="0" w:space="0" w:color="auto"/>
            <w:bottom w:val="none" w:sz="0" w:space="0" w:color="auto"/>
            <w:right w:val="none" w:sz="0" w:space="0" w:color="auto"/>
          </w:divBdr>
          <w:divsChild>
            <w:div w:id="1764689413">
              <w:marLeft w:val="0"/>
              <w:marRight w:val="0"/>
              <w:marTop w:val="0"/>
              <w:marBottom w:val="0"/>
              <w:divBdr>
                <w:top w:val="none" w:sz="0" w:space="0" w:color="auto"/>
                <w:left w:val="none" w:sz="0" w:space="0" w:color="auto"/>
                <w:bottom w:val="none" w:sz="0" w:space="0" w:color="auto"/>
                <w:right w:val="none" w:sz="0" w:space="0" w:color="auto"/>
              </w:divBdr>
            </w:div>
            <w:div w:id="1764689553">
              <w:marLeft w:val="0"/>
              <w:marRight w:val="0"/>
              <w:marTop w:val="0"/>
              <w:marBottom w:val="0"/>
              <w:divBdr>
                <w:top w:val="none" w:sz="0" w:space="0" w:color="auto"/>
                <w:left w:val="none" w:sz="0" w:space="0" w:color="auto"/>
                <w:bottom w:val="none" w:sz="0" w:space="0" w:color="auto"/>
                <w:right w:val="none" w:sz="0" w:space="0" w:color="auto"/>
              </w:divBdr>
            </w:div>
            <w:div w:id="1764689788">
              <w:marLeft w:val="0"/>
              <w:marRight w:val="0"/>
              <w:marTop w:val="0"/>
              <w:marBottom w:val="0"/>
              <w:divBdr>
                <w:top w:val="none" w:sz="0" w:space="0" w:color="auto"/>
                <w:left w:val="none" w:sz="0" w:space="0" w:color="auto"/>
                <w:bottom w:val="none" w:sz="0" w:space="0" w:color="auto"/>
                <w:right w:val="none" w:sz="0" w:space="0" w:color="auto"/>
              </w:divBdr>
            </w:div>
            <w:div w:id="1764689798">
              <w:marLeft w:val="0"/>
              <w:marRight w:val="0"/>
              <w:marTop w:val="0"/>
              <w:marBottom w:val="0"/>
              <w:divBdr>
                <w:top w:val="none" w:sz="0" w:space="0" w:color="auto"/>
                <w:left w:val="none" w:sz="0" w:space="0" w:color="auto"/>
                <w:bottom w:val="none" w:sz="0" w:space="0" w:color="auto"/>
                <w:right w:val="none" w:sz="0" w:space="0" w:color="auto"/>
              </w:divBdr>
            </w:div>
            <w:div w:id="1764689812">
              <w:marLeft w:val="0"/>
              <w:marRight w:val="0"/>
              <w:marTop w:val="0"/>
              <w:marBottom w:val="0"/>
              <w:divBdr>
                <w:top w:val="none" w:sz="0" w:space="0" w:color="auto"/>
                <w:left w:val="none" w:sz="0" w:space="0" w:color="auto"/>
                <w:bottom w:val="none" w:sz="0" w:space="0" w:color="auto"/>
                <w:right w:val="none" w:sz="0" w:space="0" w:color="auto"/>
              </w:divBdr>
            </w:div>
            <w:div w:id="1764689919">
              <w:marLeft w:val="0"/>
              <w:marRight w:val="0"/>
              <w:marTop w:val="0"/>
              <w:marBottom w:val="0"/>
              <w:divBdr>
                <w:top w:val="none" w:sz="0" w:space="0" w:color="auto"/>
                <w:left w:val="none" w:sz="0" w:space="0" w:color="auto"/>
                <w:bottom w:val="none" w:sz="0" w:space="0" w:color="auto"/>
                <w:right w:val="none" w:sz="0" w:space="0" w:color="auto"/>
              </w:divBdr>
            </w:div>
            <w:div w:id="1764690353">
              <w:marLeft w:val="0"/>
              <w:marRight w:val="0"/>
              <w:marTop w:val="0"/>
              <w:marBottom w:val="0"/>
              <w:divBdr>
                <w:top w:val="none" w:sz="0" w:space="0" w:color="auto"/>
                <w:left w:val="none" w:sz="0" w:space="0" w:color="auto"/>
                <w:bottom w:val="none" w:sz="0" w:space="0" w:color="auto"/>
                <w:right w:val="none" w:sz="0" w:space="0" w:color="auto"/>
              </w:divBdr>
            </w:div>
            <w:div w:id="1764690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058">
      <w:marLeft w:val="0"/>
      <w:marRight w:val="0"/>
      <w:marTop w:val="0"/>
      <w:marBottom w:val="0"/>
      <w:divBdr>
        <w:top w:val="none" w:sz="0" w:space="0" w:color="auto"/>
        <w:left w:val="none" w:sz="0" w:space="0" w:color="auto"/>
        <w:bottom w:val="none" w:sz="0" w:space="0" w:color="auto"/>
        <w:right w:val="none" w:sz="0" w:space="0" w:color="auto"/>
      </w:divBdr>
      <w:divsChild>
        <w:div w:id="1764690192">
          <w:marLeft w:val="0"/>
          <w:marRight w:val="0"/>
          <w:marTop w:val="0"/>
          <w:marBottom w:val="0"/>
          <w:divBdr>
            <w:top w:val="none" w:sz="0" w:space="0" w:color="auto"/>
            <w:left w:val="none" w:sz="0" w:space="0" w:color="auto"/>
            <w:bottom w:val="none" w:sz="0" w:space="0" w:color="auto"/>
            <w:right w:val="none" w:sz="0" w:space="0" w:color="auto"/>
          </w:divBdr>
          <w:divsChild>
            <w:div w:id="1764690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061">
      <w:marLeft w:val="0"/>
      <w:marRight w:val="0"/>
      <w:marTop w:val="0"/>
      <w:marBottom w:val="0"/>
      <w:divBdr>
        <w:top w:val="none" w:sz="0" w:space="0" w:color="auto"/>
        <w:left w:val="none" w:sz="0" w:space="0" w:color="auto"/>
        <w:bottom w:val="none" w:sz="0" w:space="0" w:color="auto"/>
        <w:right w:val="none" w:sz="0" w:space="0" w:color="auto"/>
      </w:divBdr>
      <w:divsChild>
        <w:div w:id="1764689492">
          <w:marLeft w:val="0"/>
          <w:marRight w:val="0"/>
          <w:marTop w:val="0"/>
          <w:marBottom w:val="0"/>
          <w:divBdr>
            <w:top w:val="none" w:sz="0" w:space="0" w:color="auto"/>
            <w:left w:val="none" w:sz="0" w:space="0" w:color="auto"/>
            <w:bottom w:val="none" w:sz="0" w:space="0" w:color="auto"/>
            <w:right w:val="none" w:sz="0" w:space="0" w:color="auto"/>
          </w:divBdr>
        </w:div>
      </w:divsChild>
    </w:div>
    <w:div w:id="1764690068">
      <w:marLeft w:val="0"/>
      <w:marRight w:val="0"/>
      <w:marTop w:val="0"/>
      <w:marBottom w:val="0"/>
      <w:divBdr>
        <w:top w:val="none" w:sz="0" w:space="0" w:color="auto"/>
        <w:left w:val="none" w:sz="0" w:space="0" w:color="auto"/>
        <w:bottom w:val="none" w:sz="0" w:space="0" w:color="auto"/>
        <w:right w:val="none" w:sz="0" w:space="0" w:color="auto"/>
      </w:divBdr>
    </w:div>
    <w:div w:id="1764690069">
      <w:marLeft w:val="0"/>
      <w:marRight w:val="0"/>
      <w:marTop w:val="0"/>
      <w:marBottom w:val="0"/>
      <w:divBdr>
        <w:top w:val="none" w:sz="0" w:space="0" w:color="auto"/>
        <w:left w:val="none" w:sz="0" w:space="0" w:color="auto"/>
        <w:bottom w:val="none" w:sz="0" w:space="0" w:color="auto"/>
        <w:right w:val="none" w:sz="0" w:space="0" w:color="auto"/>
      </w:divBdr>
      <w:divsChild>
        <w:div w:id="1764690244">
          <w:marLeft w:val="0"/>
          <w:marRight w:val="0"/>
          <w:marTop w:val="0"/>
          <w:marBottom w:val="0"/>
          <w:divBdr>
            <w:top w:val="none" w:sz="0" w:space="0" w:color="auto"/>
            <w:left w:val="none" w:sz="0" w:space="0" w:color="auto"/>
            <w:bottom w:val="none" w:sz="0" w:space="0" w:color="auto"/>
            <w:right w:val="none" w:sz="0" w:space="0" w:color="auto"/>
          </w:divBdr>
          <w:divsChild>
            <w:div w:id="1764689042">
              <w:marLeft w:val="0"/>
              <w:marRight w:val="0"/>
              <w:marTop w:val="0"/>
              <w:marBottom w:val="0"/>
              <w:divBdr>
                <w:top w:val="none" w:sz="0" w:space="0" w:color="auto"/>
                <w:left w:val="none" w:sz="0" w:space="0" w:color="auto"/>
                <w:bottom w:val="none" w:sz="0" w:space="0" w:color="auto"/>
                <w:right w:val="none" w:sz="0" w:space="0" w:color="auto"/>
              </w:divBdr>
            </w:div>
            <w:div w:id="1764689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070">
      <w:marLeft w:val="0"/>
      <w:marRight w:val="0"/>
      <w:marTop w:val="0"/>
      <w:marBottom w:val="0"/>
      <w:divBdr>
        <w:top w:val="none" w:sz="0" w:space="0" w:color="auto"/>
        <w:left w:val="none" w:sz="0" w:space="0" w:color="auto"/>
        <w:bottom w:val="none" w:sz="0" w:space="0" w:color="auto"/>
        <w:right w:val="none" w:sz="0" w:space="0" w:color="auto"/>
      </w:divBdr>
      <w:divsChild>
        <w:div w:id="1764689869">
          <w:marLeft w:val="0"/>
          <w:marRight w:val="0"/>
          <w:marTop w:val="0"/>
          <w:marBottom w:val="0"/>
          <w:divBdr>
            <w:top w:val="none" w:sz="0" w:space="0" w:color="auto"/>
            <w:left w:val="none" w:sz="0" w:space="0" w:color="auto"/>
            <w:bottom w:val="none" w:sz="0" w:space="0" w:color="auto"/>
            <w:right w:val="none" w:sz="0" w:space="0" w:color="auto"/>
          </w:divBdr>
        </w:div>
      </w:divsChild>
    </w:div>
    <w:div w:id="1764690072">
      <w:marLeft w:val="0"/>
      <w:marRight w:val="0"/>
      <w:marTop w:val="0"/>
      <w:marBottom w:val="0"/>
      <w:divBdr>
        <w:top w:val="none" w:sz="0" w:space="0" w:color="auto"/>
        <w:left w:val="none" w:sz="0" w:space="0" w:color="auto"/>
        <w:bottom w:val="none" w:sz="0" w:space="0" w:color="auto"/>
        <w:right w:val="none" w:sz="0" w:space="0" w:color="auto"/>
      </w:divBdr>
      <w:divsChild>
        <w:div w:id="1764689087">
          <w:marLeft w:val="0"/>
          <w:marRight w:val="0"/>
          <w:marTop w:val="0"/>
          <w:marBottom w:val="0"/>
          <w:divBdr>
            <w:top w:val="none" w:sz="0" w:space="0" w:color="auto"/>
            <w:left w:val="none" w:sz="0" w:space="0" w:color="auto"/>
            <w:bottom w:val="none" w:sz="0" w:space="0" w:color="auto"/>
            <w:right w:val="none" w:sz="0" w:space="0" w:color="auto"/>
          </w:divBdr>
        </w:div>
      </w:divsChild>
    </w:div>
    <w:div w:id="1764690075">
      <w:marLeft w:val="0"/>
      <w:marRight w:val="0"/>
      <w:marTop w:val="0"/>
      <w:marBottom w:val="0"/>
      <w:divBdr>
        <w:top w:val="none" w:sz="0" w:space="0" w:color="auto"/>
        <w:left w:val="none" w:sz="0" w:space="0" w:color="auto"/>
        <w:bottom w:val="none" w:sz="0" w:space="0" w:color="auto"/>
        <w:right w:val="none" w:sz="0" w:space="0" w:color="auto"/>
      </w:divBdr>
    </w:div>
    <w:div w:id="1764690076">
      <w:marLeft w:val="0"/>
      <w:marRight w:val="0"/>
      <w:marTop w:val="0"/>
      <w:marBottom w:val="0"/>
      <w:divBdr>
        <w:top w:val="none" w:sz="0" w:space="0" w:color="auto"/>
        <w:left w:val="none" w:sz="0" w:space="0" w:color="auto"/>
        <w:bottom w:val="none" w:sz="0" w:space="0" w:color="auto"/>
        <w:right w:val="none" w:sz="0" w:space="0" w:color="auto"/>
      </w:divBdr>
    </w:div>
    <w:div w:id="1764690078">
      <w:marLeft w:val="0"/>
      <w:marRight w:val="0"/>
      <w:marTop w:val="0"/>
      <w:marBottom w:val="0"/>
      <w:divBdr>
        <w:top w:val="none" w:sz="0" w:space="0" w:color="auto"/>
        <w:left w:val="none" w:sz="0" w:space="0" w:color="auto"/>
        <w:bottom w:val="none" w:sz="0" w:space="0" w:color="auto"/>
        <w:right w:val="none" w:sz="0" w:space="0" w:color="auto"/>
      </w:divBdr>
      <w:divsChild>
        <w:div w:id="1764689968">
          <w:marLeft w:val="0"/>
          <w:marRight w:val="0"/>
          <w:marTop w:val="0"/>
          <w:marBottom w:val="0"/>
          <w:divBdr>
            <w:top w:val="none" w:sz="0" w:space="0" w:color="auto"/>
            <w:left w:val="none" w:sz="0" w:space="0" w:color="auto"/>
            <w:bottom w:val="none" w:sz="0" w:space="0" w:color="auto"/>
            <w:right w:val="none" w:sz="0" w:space="0" w:color="auto"/>
          </w:divBdr>
        </w:div>
      </w:divsChild>
    </w:div>
    <w:div w:id="1764690086">
      <w:marLeft w:val="0"/>
      <w:marRight w:val="0"/>
      <w:marTop w:val="0"/>
      <w:marBottom w:val="0"/>
      <w:divBdr>
        <w:top w:val="none" w:sz="0" w:space="0" w:color="auto"/>
        <w:left w:val="none" w:sz="0" w:space="0" w:color="auto"/>
        <w:bottom w:val="none" w:sz="0" w:space="0" w:color="auto"/>
        <w:right w:val="none" w:sz="0" w:space="0" w:color="auto"/>
      </w:divBdr>
      <w:divsChild>
        <w:div w:id="1764690040">
          <w:marLeft w:val="0"/>
          <w:marRight w:val="0"/>
          <w:marTop w:val="0"/>
          <w:marBottom w:val="0"/>
          <w:divBdr>
            <w:top w:val="none" w:sz="0" w:space="0" w:color="auto"/>
            <w:left w:val="none" w:sz="0" w:space="0" w:color="auto"/>
            <w:bottom w:val="none" w:sz="0" w:space="0" w:color="auto"/>
            <w:right w:val="none" w:sz="0" w:space="0" w:color="auto"/>
          </w:divBdr>
        </w:div>
      </w:divsChild>
    </w:div>
    <w:div w:id="1764690088">
      <w:marLeft w:val="0"/>
      <w:marRight w:val="0"/>
      <w:marTop w:val="0"/>
      <w:marBottom w:val="0"/>
      <w:divBdr>
        <w:top w:val="none" w:sz="0" w:space="0" w:color="auto"/>
        <w:left w:val="none" w:sz="0" w:space="0" w:color="auto"/>
        <w:bottom w:val="none" w:sz="0" w:space="0" w:color="auto"/>
        <w:right w:val="none" w:sz="0" w:space="0" w:color="auto"/>
      </w:divBdr>
      <w:divsChild>
        <w:div w:id="1764689873">
          <w:marLeft w:val="0"/>
          <w:marRight w:val="0"/>
          <w:marTop w:val="0"/>
          <w:marBottom w:val="0"/>
          <w:divBdr>
            <w:top w:val="none" w:sz="0" w:space="0" w:color="auto"/>
            <w:left w:val="none" w:sz="0" w:space="0" w:color="auto"/>
            <w:bottom w:val="none" w:sz="0" w:space="0" w:color="auto"/>
            <w:right w:val="none" w:sz="0" w:space="0" w:color="auto"/>
          </w:divBdr>
        </w:div>
      </w:divsChild>
    </w:div>
    <w:div w:id="1764690094">
      <w:marLeft w:val="0"/>
      <w:marRight w:val="0"/>
      <w:marTop w:val="0"/>
      <w:marBottom w:val="0"/>
      <w:divBdr>
        <w:top w:val="none" w:sz="0" w:space="0" w:color="auto"/>
        <w:left w:val="none" w:sz="0" w:space="0" w:color="auto"/>
        <w:bottom w:val="none" w:sz="0" w:space="0" w:color="auto"/>
        <w:right w:val="none" w:sz="0" w:space="0" w:color="auto"/>
      </w:divBdr>
    </w:div>
    <w:div w:id="1764690095">
      <w:marLeft w:val="0"/>
      <w:marRight w:val="0"/>
      <w:marTop w:val="0"/>
      <w:marBottom w:val="0"/>
      <w:divBdr>
        <w:top w:val="none" w:sz="0" w:space="0" w:color="auto"/>
        <w:left w:val="none" w:sz="0" w:space="0" w:color="auto"/>
        <w:bottom w:val="none" w:sz="0" w:space="0" w:color="auto"/>
        <w:right w:val="none" w:sz="0" w:space="0" w:color="auto"/>
      </w:divBdr>
    </w:div>
    <w:div w:id="1764690096">
      <w:marLeft w:val="0"/>
      <w:marRight w:val="0"/>
      <w:marTop w:val="0"/>
      <w:marBottom w:val="0"/>
      <w:divBdr>
        <w:top w:val="none" w:sz="0" w:space="0" w:color="auto"/>
        <w:left w:val="none" w:sz="0" w:space="0" w:color="auto"/>
        <w:bottom w:val="none" w:sz="0" w:space="0" w:color="auto"/>
        <w:right w:val="none" w:sz="0" w:space="0" w:color="auto"/>
      </w:divBdr>
      <w:divsChild>
        <w:div w:id="1764689344">
          <w:marLeft w:val="0"/>
          <w:marRight w:val="0"/>
          <w:marTop w:val="0"/>
          <w:marBottom w:val="0"/>
          <w:divBdr>
            <w:top w:val="none" w:sz="0" w:space="0" w:color="auto"/>
            <w:left w:val="none" w:sz="0" w:space="0" w:color="auto"/>
            <w:bottom w:val="none" w:sz="0" w:space="0" w:color="auto"/>
            <w:right w:val="none" w:sz="0" w:space="0" w:color="auto"/>
          </w:divBdr>
          <w:divsChild>
            <w:div w:id="1764689094">
              <w:marLeft w:val="0"/>
              <w:marRight w:val="0"/>
              <w:marTop w:val="0"/>
              <w:marBottom w:val="0"/>
              <w:divBdr>
                <w:top w:val="none" w:sz="0" w:space="0" w:color="auto"/>
                <w:left w:val="none" w:sz="0" w:space="0" w:color="auto"/>
                <w:bottom w:val="none" w:sz="0" w:space="0" w:color="auto"/>
                <w:right w:val="none" w:sz="0" w:space="0" w:color="auto"/>
              </w:divBdr>
            </w:div>
            <w:div w:id="1764689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105">
      <w:marLeft w:val="0"/>
      <w:marRight w:val="0"/>
      <w:marTop w:val="0"/>
      <w:marBottom w:val="0"/>
      <w:divBdr>
        <w:top w:val="none" w:sz="0" w:space="0" w:color="auto"/>
        <w:left w:val="none" w:sz="0" w:space="0" w:color="auto"/>
        <w:bottom w:val="none" w:sz="0" w:space="0" w:color="auto"/>
        <w:right w:val="none" w:sz="0" w:space="0" w:color="auto"/>
      </w:divBdr>
    </w:div>
    <w:div w:id="1764690106">
      <w:marLeft w:val="0"/>
      <w:marRight w:val="0"/>
      <w:marTop w:val="0"/>
      <w:marBottom w:val="0"/>
      <w:divBdr>
        <w:top w:val="none" w:sz="0" w:space="0" w:color="auto"/>
        <w:left w:val="none" w:sz="0" w:space="0" w:color="auto"/>
        <w:bottom w:val="none" w:sz="0" w:space="0" w:color="auto"/>
        <w:right w:val="none" w:sz="0" w:space="0" w:color="auto"/>
      </w:divBdr>
      <w:divsChild>
        <w:div w:id="1764690504">
          <w:marLeft w:val="0"/>
          <w:marRight w:val="0"/>
          <w:marTop w:val="0"/>
          <w:marBottom w:val="0"/>
          <w:divBdr>
            <w:top w:val="none" w:sz="0" w:space="0" w:color="auto"/>
            <w:left w:val="none" w:sz="0" w:space="0" w:color="auto"/>
            <w:bottom w:val="none" w:sz="0" w:space="0" w:color="auto"/>
            <w:right w:val="none" w:sz="0" w:space="0" w:color="auto"/>
          </w:divBdr>
          <w:divsChild>
            <w:div w:id="1764690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110">
      <w:marLeft w:val="0"/>
      <w:marRight w:val="0"/>
      <w:marTop w:val="0"/>
      <w:marBottom w:val="0"/>
      <w:divBdr>
        <w:top w:val="none" w:sz="0" w:space="0" w:color="auto"/>
        <w:left w:val="none" w:sz="0" w:space="0" w:color="auto"/>
        <w:bottom w:val="none" w:sz="0" w:space="0" w:color="auto"/>
        <w:right w:val="none" w:sz="0" w:space="0" w:color="auto"/>
      </w:divBdr>
    </w:div>
    <w:div w:id="1764690112">
      <w:marLeft w:val="0"/>
      <w:marRight w:val="0"/>
      <w:marTop w:val="0"/>
      <w:marBottom w:val="0"/>
      <w:divBdr>
        <w:top w:val="none" w:sz="0" w:space="0" w:color="auto"/>
        <w:left w:val="none" w:sz="0" w:space="0" w:color="auto"/>
        <w:bottom w:val="none" w:sz="0" w:space="0" w:color="auto"/>
        <w:right w:val="none" w:sz="0" w:space="0" w:color="auto"/>
      </w:divBdr>
    </w:div>
    <w:div w:id="1764690114">
      <w:marLeft w:val="0"/>
      <w:marRight w:val="0"/>
      <w:marTop w:val="0"/>
      <w:marBottom w:val="0"/>
      <w:divBdr>
        <w:top w:val="none" w:sz="0" w:space="0" w:color="auto"/>
        <w:left w:val="none" w:sz="0" w:space="0" w:color="auto"/>
        <w:bottom w:val="none" w:sz="0" w:space="0" w:color="auto"/>
        <w:right w:val="none" w:sz="0" w:space="0" w:color="auto"/>
      </w:divBdr>
      <w:divsChild>
        <w:div w:id="1764689688">
          <w:marLeft w:val="0"/>
          <w:marRight w:val="0"/>
          <w:marTop w:val="0"/>
          <w:marBottom w:val="0"/>
          <w:divBdr>
            <w:top w:val="none" w:sz="0" w:space="0" w:color="auto"/>
            <w:left w:val="none" w:sz="0" w:space="0" w:color="auto"/>
            <w:bottom w:val="none" w:sz="0" w:space="0" w:color="auto"/>
            <w:right w:val="none" w:sz="0" w:space="0" w:color="auto"/>
          </w:divBdr>
          <w:divsChild>
            <w:div w:id="1764689148">
              <w:marLeft w:val="0"/>
              <w:marRight w:val="0"/>
              <w:marTop w:val="0"/>
              <w:marBottom w:val="0"/>
              <w:divBdr>
                <w:top w:val="none" w:sz="0" w:space="0" w:color="auto"/>
                <w:left w:val="none" w:sz="0" w:space="0" w:color="auto"/>
                <w:bottom w:val="none" w:sz="0" w:space="0" w:color="auto"/>
                <w:right w:val="none" w:sz="0" w:space="0" w:color="auto"/>
              </w:divBdr>
            </w:div>
            <w:div w:id="176468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115">
      <w:marLeft w:val="0"/>
      <w:marRight w:val="0"/>
      <w:marTop w:val="0"/>
      <w:marBottom w:val="0"/>
      <w:divBdr>
        <w:top w:val="none" w:sz="0" w:space="0" w:color="auto"/>
        <w:left w:val="none" w:sz="0" w:space="0" w:color="auto"/>
        <w:bottom w:val="none" w:sz="0" w:space="0" w:color="auto"/>
        <w:right w:val="none" w:sz="0" w:space="0" w:color="auto"/>
      </w:divBdr>
    </w:div>
    <w:div w:id="1764690117">
      <w:marLeft w:val="0"/>
      <w:marRight w:val="0"/>
      <w:marTop w:val="0"/>
      <w:marBottom w:val="0"/>
      <w:divBdr>
        <w:top w:val="none" w:sz="0" w:space="0" w:color="auto"/>
        <w:left w:val="none" w:sz="0" w:space="0" w:color="auto"/>
        <w:bottom w:val="none" w:sz="0" w:space="0" w:color="auto"/>
        <w:right w:val="none" w:sz="0" w:space="0" w:color="auto"/>
      </w:divBdr>
      <w:divsChild>
        <w:div w:id="1764689228">
          <w:marLeft w:val="0"/>
          <w:marRight w:val="0"/>
          <w:marTop w:val="0"/>
          <w:marBottom w:val="0"/>
          <w:divBdr>
            <w:top w:val="none" w:sz="0" w:space="0" w:color="auto"/>
            <w:left w:val="none" w:sz="0" w:space="0" w:color="auto"/>
            <w:bottom w:val="none" w:sz="0" w:space="0" w:color="auto"/>
            <w:right w:val="none" w:sz="0" w:space="0" w:color="auto"/>
          </w:divBdr>
        </w:div>
      </w:divsChild>
    </w:div>
    <w:div w:id="1764690119">
      <w:marLeft w:val="0"/>
      <w:marRight w:val="0"/>
      <w:marTop w:val="0"/>
      <w:marBottom w:val="0"/>
      <w:divBdr>
        <w:top w:val="none" w:sz="0" w:space="0" w:color="auto"/>
        <w:left w:val="none" w:sz="0" w:space="0" w:color="auto"/>
        <w:bottom w:val="none" w:sz="0" w:space="0" w:color="auto"/>
        <w:right w:val="none" w:sz="0" w:space="0" w:color="auto"/>
      </w:divBdr>
    </w:div>
    <w:div w:id="1764690122">
      <w:marLeft w:val="0"/>
      <w:marRight w:val="0"/>
      <w:marTop w:val="0"/>
      <w:marBottom w:val="0"/>
      <w:divBdr>
        <w:top w:val="none" w:sz="0" w:space="0" w:color="auto"/>
        <w:left w:val="none" w:sz="0" w:space="0" w:color="auto"/>
        <w:bottom w:val="none" w:sz="0" w:space="0" w:color="auto"/>
        <w:right w:val="none" w:sz="0" w:space="0" w:color="auto"/>
      </w:divBdr>
      <w:divsChild>
        <w:div w:id="1764690025">
          <w:marLeft w:val="0"/>
          <w:marRight w:val="0"/>
          <w:marTop w:val="0"/>
          <w:marBottom w:val="0"/>
          <w:divBdr>
            <w:top w:val="none" w:sz="0" w:space="0" w:color="auto"/>
            <w:left w:val="none" w:sz="0" w:space="0" w:color="auto"/>
            <w:bottom w:val="none" w:sz="0" w:space="0" w:color="auto"/>
            <w:right w:val="none" w:sz="0" w:space="0" w:color="auto"/>
          </w:divBdr>
        </w:div>
      </w:divsChild>
    </w:div>
    <w:div w:id="1764690124">
      <w:marLeft w:val="0"/>
      <w:marRight w:val="0"/>
      <w:marTop w:val="0"/>
      <w:marBottom w:val="0"/>
      <w:divBdr>
        <w:top w:val="none" w:sz="0" w:space="0" w:color="auto"/>
        <w:left w:val="none" w:sz="0" w:space="0" w:color="auto"/>
        <w:bottom w:val="none" w:sz="0" w:space="0" w:color="auto"/>
        <w:right w:val="none" w:sz="0" w:space="0" w:color="auto"/>
      </w:divBdr>
      <w:divsChild>
        <w:div w:id="1764690130">
          <w:marLeft w:val="0"/>
          <w:marRight w:val="0"/>
          <w:marTop w:val="0"/>
          <w:marBottom w:val="0"/>
          <w:divBdr>
            <w:top w:val="none" w:sz="0" w:space="0" w:color="auto"/>
            <w:left w:val="none" w:sz="0" w:space="0" w:color="auto"/>
            <w:bottom w:val="none" w:sz="0" w:space="0" w:color="auto"/>
            <w:right w:val="none" w:sz="0" w:space="0" w:color="auto"/>
          </w:divBdr>
          <w:divsChild>
            <w:div w:id="1764689518">
              <w:marLeft w:val="0"/>
              <w:marRight w:val="0"/>
              <w:marTop w:val="0"/>
              <w:marBottom w:val="0"/>
              <w:divBdr>
                <w:top w:val="none" w:sz="0" w:space="0" w:color="auto"/>
                <w:left w:val="none" w:sz="0" w:space="0" w:color="auto"/>
                <w:bottom w:val="none" w:sz="0" w:space="0" w:color="auto"/>
                <w:right w:val="none" w:sz="0" w:space="0" w:color="auto"/>
              </w:divBdr>
            </w:div>
            <w:div w:id="1764689583">
              <w:marLeft w:val="0"/>
              <w:marRight w:val="0"/>
              <w:marTop w:val="0"/>
              <w:marBottom w:val="0"/>
              <w:divBdr>
                <w:top w:val="none" w:sz="0" w:space="0" w:color="auto"/>
                <w:left w:val="none" w:sz="0" w:space="0" w:color="auto"/>
                <w:bottom w:val="none" w:sz="0" w:space="0" w:color="auto"/>
                <w:right w:val="none" w:sz="0" w:space="0" w:color="auto"/>
              </w:divBdr>
            </w:div>
            <w:div w:id="1764689684">
              <w:marLeft w:val="0"/>
              <w:marRight w:val="0"/>
              <w:marTop w:val="0"/>
              <w:marBottom w:val="0"/>
              <w:divBdr>
                <w:top w:val="none" w:sz="0" w:space="0" w:color="auto"/>
                <w:left w:val="none" w:sz="0" w:space="0" w:color="auto"/>
                <w:bottom w:val="none" w:sz="0" w:space="0" w:color="auto"/>
                <w:right w:val="none" w:sz="0" w:space="0" w:color="auto"/>
              </w:divBdr>
            </w:div>
            <w:div w:id="1764689932">
              <w:marLeft w:val="0"/>
              <w:marRight w:val="0"/>
              <w:marTop w:val="0"/>
              <w:marBottom w:val="0"/>
              <w:divBdr>
                <w:top w:val="none" w:sz="0" w:space="0" w:color="auto"/>
                <w:left w:val="none" w:sz="0" w:space="0" w:color="auto"/>
                <w:bottom w:val="none" w:sz="0" w:space="0" w:color="auto"/>
                <w:right w:val="none" w:sz="0" w:space="0" w:color="auto"/>
              </w:divBdr>
            </w:div>
            <w:div w:id="1764689975">
              <w:marLeft w:val="0"/>
              <w:marRight w:val="0"/>
              <w:marTop w:val="0"/>
              <w:marBottom w:val="0"/>
              <w:divBdr>
                <w:top w:val="none" w:sz="0" w:space="0" w:color="auto"/>
                <w:left w:val="none" w:sz="0" w:space="0" w:color="auto"/>
                <w:bottom w:val="none" w:sz="0" w:space="0" w:color="auto"/>
                <w:right w:val="none" w:sz="0" w:space="0" w:color="auto"/>
              </w:divBdr>
            </w:div>
            <w:div w:id="1764690085">
              <w:marLeft w:val="0"/>
              <w:marRight w:val="0"/>
              <w:marTop w:val="0"/>
              <w:marBottom w:val="0"/>
              <w:divBdr>
                <w:top w:val="none" w:sz="0" w:space="0" w:color="auto"/>
                <w:left w:val="none" w:sz="0" w:space="0" w:color="auto"/>
                <w:bottom w:val="none" w:sz="0" w:space="0" w:color="auto"/>
                <w:right w:val="none" w:sz="0" w:space="0" w:color="auto"/>
              </w:divBdr>
            </w:div>
            <w:div w:id="1764690090">
              <w:marLeft w:val="0"/>
              <w:marRight w:val="0"/>
              <w:marTop w:val="0"/>
              <w:marBottom w:val="0"/>
              <w:divBdr>
                <w:top w:val="none" w:sz="0" w:space="0" w:color="auto"/>
                <w:left w:val="none" w:sz="0" w:space="0" w:color="auto"/>
                <w:bottom w:val="none" w:sz="0" w:space="0" w:color="auto"/>
                <w:right w:val="none" w:sz="0" w:space="0" w:color="auto"/>
              </w:divBdr>
            </w:div>
            <w:div w:id="1764690098">
              <w:marLeft w:val="0"/>
              <w:marRight w:val="0"/>
              <w:marTop w:val="0"/>
              <w:marBottom w:val="0"/>
              <w:divBdr>
                <w:top w:val="none" w:sz="0" w:space="0" w:color="auto"/>
                <w:left w:val="none" w:sz="0" w:space="0" w:color="auto"/>
                <w:bottom w:val="none" w:sz="0" w:space="0" w:color="auto"/>
                <w:right w:val="none" w:sz="0" w:space="0" w:color="auto"/>
              </w:divBdr>
            </w:div>
            <w:div w:id="1764690150">
              <w:marLeft w:val="0"/>
              <w:marRight w:val="0"/>
              <w:marTop w:val="0"/>
              <w:marBottom w:val="0"/>
              <w:divBdr>
                <w:top w:val="none" w:sz="0" w:space="0" w:color="auto"/>
                <w:left w:val="none" w:sz="0" w:space="0" w:color="auto"/>
                <w:bottom w:val="none" w:sz="0" w:space="0" w:color="auto"/>
                <w:right w:val="none" w:sz="0" w:space="0" w:color="auto"/>
              </w:divBdr>
            </w:div>
            <w:div w:id="1764690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134">
      <w:marLeft w:val="0"/>
      <w:marRight w:val="0"/>
      <w:marTop w:val="0"/>
      <w:marBottom w:val="0"/>
      <w:divBdr>
        <w:top w:val="none" w:sz="0" w:space="0" w:color="auto"/>
        <w:left w:val="none" w:sz="0" w:space="0" w:color="auto"/>
        <w:bottom w:val="none" w:sz="0" w:space="0" w:color="auto"/>
        <w:right w:val="none" w:sz="0" w:space="0" w:color="auto"/>
      </w:divBdr>
      <w:divsChild>
        <w:div w:id="1764690102">
          <w:marLeft w:val="0"/>
          <w:marRight w:val="0"/>
          <w:marTop w:val="0"/>
          <w:marBottom w:val="0"/>
          <w:divBdr>
            <w:top w:val="none" w:sz="0" w:space="0" w:color="auto"/>
            <w:left w:val="none" w:sz="0" w:space="0" w:color="auto"/>
            <w:bottom w:val="none" w:sz="0" w:space="0" w:color="auto"/>
            <w:right w:val="none" w:sz="0" w:space="0" w:color="auto"/>
          </w:divBdr>
          <w:divsChild>
            <w:div w:id="1764689446">
              <w:marLeft w:val="0"/>
              <w:marRight w:val="0"/>
              <w:marTop w:val="0"/>
              <w:marBottom w:val="0"/>
              <w:divBdr>
                <w:top w:val="none" w:sz="0" w:space="0" w:color="auto"/>
                <w:left w:val="none" w:sz="0" w:space="0" w:color="auto"/>
                <w:bottom w:val="none" w:sz="0" w:space="0" w:color="auto"/>
                <w:right w:val="none" w:sz="0" w:space="0" w:color="auto"/>
              </w:divBdr>
            </w:div>
            <w:div w:id="1764689449">
              <w:marLeft w:val="0"/>
              <w:marRight w:val="0"/>
              <w:marTop w:val="0"/>
              <w:marBottom w:val="0"/>
              <w:divBdr>
                <w:top w:val="none" w:sz="0" w:space="0" w:color="auto"/>
                <w:left w:val="none" w:sz="0" w:space="0" w:color="auto"/>
                <w:bottom w:val="none" w:sz="0" w:space="0" w:color="auto"/>
                <w:right w:val="none" w:sz="0" w:space="0" w:color="auto"/>
              </w:divBdr>
            </w:div>
            <w:div w:id="1764689692">
              <w:marLeft w:val="0"/>
              <w:marRight w:val="0"/>
              <w:marTop w:val="0"/>
              <w:marBottom w:val="0"/>
              <w:divBdr>
                <w:top w:val="none" w:sz="0" w:space="0" w:color="auto"/>
                <w:left w:val="none" w:sz="0" w:space="0" w:color="auto"/>
                <w:bottom w:val="none" w:sz="0" w:space="0" w:color="auto"/>
                <w:right w:val="none" w:sz="0" w:space="0" w:color="auto"/>
              </w:divBdr>
            </w:div>
            <w:div w:id="1764689718">
              <w:marLeft w:val="0"/>
              <w:marRight w:val="0"/>
              <w:marTop w:val="0"/>
              <w:marBottom w:val="0"/>
              <w:divBdr>
                <w:top w:val="none" w:sz="0" w:space="0" w:color="auto"/>
                <w:left w:val="none" w:sz="0" w:space="0" w:color="auto"/>
                <w:bottom w:val="none" w:sz="0" w:space="0" w:color="auto"/>
                <w:right w:val="none" w:sz="0" w:space="0" w:color="auto"/>
              </w:divBdr>
            </w:div>
            <w:div w:id="1764689766">
              <w:marLeft w:val="0"/>
              <w:marRight w:val="0"/>
              <w:marTop w:val="0"/>
              <w:marBottom w:val="0"/>
              <w:divBdr>
                <w:top w:val="none" w:sz="0" w:space="0" w:color="auto"/>
                <w:left w:val="none" w:sz="0" w:space="0" w:color="auto"/>
                <w:bottom w:val="none" w:sz="0" w:space="0" w:color="auto"/>
                <w:right w:val="none" w:sz="0" w:space="0" w:color="auto"/>
              </w:divBdr>
            </w:div>
            <w:div w:id="1764690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136">
      <w:marLeft w:val="0"/>
      <w:marRight w:val="0"/>
      <w:marTop w:val="0"/>
      <w:marBottom w:val="0"/>
      <w:divBdr>
        <w:top w:val="none" w:sz="0" w:space="0" w:color="auto"/>
        <w:left w:val="none" w:sz="0" w:space="0" w:color="auto"/>
        <w:bottom w:val="none" w:sz="0" w:space="0" w:color="auto"/>
        <w:right w:val="none" w:sz="0" w:space="0" w:color="auto"/>
      </w:divBdr>
    </w:div>
    <w:div w:id="1764690139">
      <w:marLeft w:val="0"/>
      <w:marRight w:val="0"/>
      <w:marTop w:val="0"/>
      <w:marBottom w:val="0"/>
      <w:divBdr>
        <w:top w:val="none" w:sz="0" w:space="0" w:color="auto"/>
        <w:left w:val="none" w:sz="0" w:space="0" w:color="auto"/>
        <w:bottom w:val="none" w:sz="0" w:space="0" w:color="auto"/>
        <w:right w:val="none" w:sz="0" w:space="0" w:color="auto"/>
      </w:divBdr>
      <w:divsChild>
        <w:div w:id="1764689891">
          <w:marLeft w:val="0"/>
          <w:marRight w:val="0"/>
          <w:marTop w:val="0"/>
          <w:marBottom w:val="0"/>
          <w:divBdr>
            <w:top w:val="none" w:sz="0" w:space="0" w:color="auto"/>
            <w:left w:val="none" w:sz="0" w:space="0" w:color="auto"/>
            <w:bottom w:val="none" w:sz="0" w:space="0" w:color="auto"/>
            <w:right w:val="none" w:sz="0" w:space="0" w:color="auto"/>
          </w:divBdr>
        </w:div>
      </w:divsChild>
    </w:div>
    <w:div w:id="1764690143">
      <w:marLeft w:val="0"/>
      <w:marRight w:val="0"/>
      <w:marTop w:val="0"/>
      <w:marBottom w:val="0"/>
      <w:divBdr>
        <w:top w:val="none" w:sz="0" w:space="0" w:color="auto"/>
        <w:left w:val="none" w:sz="0" w:space="0" w:color="auto"/>
        <w:bottom w:val="none" w:sz="0" w:space="0" w:color="auto"/>
        <w:right w:val="none" w:sz="0" w:space="0" w:color="auto"/>
      </w:divBdr>
    </w:div>
    <w:div w:id="1764690149">
      <w:marLeft w:val="0"/>
      <w:marRight w:val="0"/>
      <w:marTop w:val="0"/>
      <w:marBottom w:val="0"/>
      <w:divBdr>
        <w:top w:val="none" w:sz="0" w:space="0" w:color="auto"/>
        <w:left w:val="none" w:sz="0" w:space="0" w:color="auto"/>
        <w:bottom w:val="none" w:sz="0" w:space="0" w:color="auto"/>
        <w:right w:val="none" w:sz="0" w:space="0" w:color="auto"/>
      </w:divBdr>
      <w:divsChild>
        <w:div w:id="1764689351">
          <w:marLeft w:val="0"/>
          <w:marRight w:val="0"/>
          <w:marTop w:val="0"/>
          <w:marBottom w:val="0"/>
          <w:divBdr>
            <w:top w:val="none" w:sz="0" w:space="0" w:color="auto"/>
            <w:left w:val="none" w:sz="0" w:space="0" w:color="auto"/>
            <w:bottom w:val="none" w:sz="0" w:space="0" w:color="auto"/>
            <w:right w:val="none" w:sz="0" w:space="0" w:color="auto"/>
          </w:divBdr>
          <w:divsChild>
            <w:div w:id="1764689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158">
      <w:marLeft w:val="0"/>
      <w:marRight w:val="0"/>
      <w:marTop w:val="0"/>
      <w:marBottom w:val="0"/>
      <w:divBdr>
        <w:top w:val="none" w:sz="0" w:space="0" w:color="auto"/>
        <w:left w:val="none" w:sz="0" w:space="0" w:color="auto"/>
        <w:bottom w:val="none" w:sz="0" w:space="0" w:color="auto"/>
        <w:right w:val="none" w:sz="0" w:space="0" w:color="auto"/>
      </w:divBdr>
    </w:div>
    <w:div w:id="1764690162">
      <w:marLeft w:val="0"/>
      <w:marRight w:val="0"/>
      <w:marTop w:val="0"/>
      <w:marBottom w:val="0"/>
      <w:divBdr>
        <w:top w:val="none" w:sz="0" w:space="0" w:color="auto"/>
        <w:left w:val="none" w:sz="0" w:space="0" w:color="auto"/>
        <w:bottom w:val="none" w:sz="0" w:space="0" w:color="auto"/>
        <w:right w:val="none" w:sz="0" w:space="0" w:color="auto"/>
      </w:divBdr>
    </w:div>
    <w:div w:id="1764690163">
      <w:marLeft w:val="0"/>
      <w:marRight w:val="0"/>
      <w:marTop w:val="0"/>
      <w:marBottom w:val="0"/>
      <w:divBdr>
        <w:top w:val="none" w:sz="0" w:space="0" w:color="auto"/>
        <w:left w:val="none" w:sz="0" w:space="0" w:color="auto"/>
        <w:bottom w:val="none" w:sz="0" w:space="0" w:color="auto"/>
        <w:right w:val="none" w:sz="0" w:space="0" w:color="auto"/>
      </w:divBdr>
    </w:div>
    <w:div w:id="1764690165">
      <w:marLeft w:val="0"/>
      <w:marRight w:val="0"/>
      <w:marTop w:val="0"/>
      <w:marBottom w:val="0"/>
      <w:divBdr>
        <w:top w:val="none" w:sz="0" w:space="0" w:color="auto"/>
        <w:left w:val="none" w:sz="0" w:space="0" w:color="auto"/>
        <w:bottom w:val="none" w:sz="0" w:space="0" w:color="auto"/>
        <w:right w:val="none" w:sz="0" w:space="0" w:color="auto"/>
      </w:divBdr>
    </w:div>
    <w:div w:id="1764690166">
      <w:marLeft w:val="0"/>
      <w:marRight w:val="0"/>
      <w:marTop w:val="0"/>
      <w:marBottom w:val="0"/>
      <w:divBdr>
        <w:top w:val="none" w:sz="0" w:space="0" w:color="auto"/>
        <w:left w:val="none" w:sz="0" w:space="0" w:color="auto"/>
        <w:bottom w:val="none" w:sz="0" w:space="0" w:color="auto"/>
        <w:right w:val="none" w:sz="0" w:space="0" w:color="auto"/>
      </w:divBdr>
    </w:div>
    <w:div w:id="1764690169">
      <w:marLeft w:val="0"/>
      <w:marRight w:val="0"/>
      <w:marTop w:val="0"/>
      <w:marBottom w:val="0"/>
      <w:divBdr>
        <w:top w:val="none" w:sz="0" w:space="0" w:color="auto"/>
        <w:left w:val="none" w:sz="0" w:space="0" w:color="auto"/>
        <w:bottom w:val="none" w:sz="0" w:space="0" w:color="auto"/>
        <w:right w:val="none" w:sz="0" w:space="0" w:color="auto"/>
      </w:divBdr>
    </w:div>
    <w:div w:id="1764690176">
      <w:marLeft w:val="0"/>
      <w:marRight w:val="0"/>
      <w:marTop w:val="0"/>
      <w:marBottom w:val="0"/>
      <w:divBdr>
        <w:top w:val="none" w:sz="0" w:space="0" w:color="auto"/>
        <w:left w:val="none" w:sz="0" w:space="0" w:color="auto"/>
        <w:bottom w:val="none" w:sz="0" w:space="0" w:color="auto"/>
        <w:right w:val="none" w:sz="0" w:space="0" w:color="auto"/>
      </w:divBdr>
      <w:divsChild>
        <w:div w:id="1764689314">
          <w:marLeft w:val="0"/>
          <w:marRight w:val="0"/>
          <w:marTop w:val="0"/>
          <w:marBottom w:val="0"/>
          <w:divBdr>
            <w:top w:val="none" w:sz="0" w:space="0" w:color="auto"/>
            <w:left w:val="none" w:sz="0" w:space="0" w:color="auto"/>
            <w:bottom w:val="none" w:sz="0" w:space="0" w:color="auto"/>
            <w:right w:val="none" w:sz="0" w:space="0" w:color="auto"/>
          </w:divBdr>
          <w:divsChild>
            <w:div w:id="1764689046">
              <w:marLeft w:val="0"/>
              <w:marRight w:val="0"/>
              <w:marTop w:val="0"/>
              <w:marBottom w:val="0"/>
              <w:divBdr>
                <w:top w:val="none" w:sz="0" w:space="0" w:color="auto"/>
                <w:left w:val="none" w:sz="0" w:space="0" w:color="auto"/>
                <w:bottom w:val="none" w:sz="0" w:space="0" w:color="auto"/>
                <w:right w:val="none" w:sz="0" w:space="0" w:color="auto"/>
              </w:divBdr>
            </w:div>
            <w:div w:id="1764689161">
              <w:marLeft w:val="0"/>
              <w:marRight w:val="0"/>
              <w:marTop w:val="0"/>
              <w:marBottom w:val="0"/>
              <w:divBdr>
                <w:top w:val="none" w:sz="0" w:space="0" w:color="auto"/>
                <w:left w:val="none" w:sz="0" w:space="0" w:color="auto"/>
                <w:bottom w:val="none" w:sz="0" w:space="0" w:color="auto"/>
                <w:right w:val="none" w:sz="0" w:space="0" w:color="auto"/>
              </w:divBdr>
            </w:div>
            <w:div w:id="1764689366">
              <w:marLeft w:val="0"/>
              <w:marRight w:val="0"/>
              <w:marTop w:val="0"/>
              <w:marBottom w:val="0"/>
              <w:divBdr>
                <w:top w:val="none" w:sz="0" w:space="0" w:color="auto"/>
                <w:left w:val="none" w:sz="0" w:space="0" w:color="auto"/>
                <w:bottom w:val="none" w:sz="0" w:space="0" w:color="auto"/>
                <w:right w:val="none" w:sz="0" w:space="0" w:color="auto"/>
              </w:divBdr>
            </w:div>
            <w:div w:id="1764689572">
              <w:marLeft w:val="0"/>
              <w:marRight w:val="0"/>
              <w:marTop w:val="0"/>
              <w:marBottom w:val="0"/>
              <w:divBdr>
                <w:top w:val="none" w:sz="0" w:space="0" w:color="auto"/>
                <w:left w:val="none" w:sz="0" w:space="0" w:color="auto"/>
                <w:bottom w:val="none" w:sz="0" w:space="0" w:color="auto"/>
                <w:right w:val="none" w:sz="0" w:space="0" w:color="auto"/>
              </w:divBdr>
            </w:div>
            <w:div w:id="1764689610">
              <w:marLeft w:val="0"/>
              <w:marRight w:val="0"/>
              <w:marTop w:val="0"/>
              <w:marBottom w:val="0"/>
              <w:divBdr>
                <w:top w:val="none" w:sz="0" w:space="0" w:color="auto"/>
                <w:left w:val="none" w:sz="0" w:space="0" w:color="auto"/>
                <w:bottom w:val="none" w:sz="0" w:space="0" w:color="auto"/>
                <w:right w:val="none" w:sz="0" w:space="0" w:color="auto"/>
              </w:divBdr>
            </w:div>
            <w:div w:id="1764689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178">
      <w:marLeft w:val="0"/>
      <w:marRight w:val="0"/>
      <w:marTop w:val="0"/>
      <w:marBottom w:val="0"/>
      <w:divBdr>
        <w:top w:val="none" w:sz="0" w:space="0" w:color="auto"/>
        <w:left w:val="none" w:sz="0" w:space="0" w:color="auto"/>
        <w:bottom w:val="none" w:sz="0" w:space="0" w:color="auto"/>
        <w:right w:val="none" w:sz="0" w:space="0" w:color="auto"/>
      </w:divBdr>
      <w:divsChild>
        <w:div w:id="1764689711">
          <w:marLeft w:val="0"/>
          <w:marRight w:val="0"/>
          <w:marTop w:val="0"/>
          <w:marBottom w:val="0"/>
          <w:divBdr>
            <w:top w:val="none" w:sz="0" w:space="0" w:color="auto"/>
            <w:left w:val="none" w:sz="0" w:space="0" w:color="auto"/>
            <w:bottom w:val="none" w:sz="0" w:space="0" w:color="auto"/>
            <w:right w:val="none" w:sz="0" w:space="0" w:color="auto"/>
          </w:divBdr>
        </w:div>
      </w:divsChild>
    </w:div>
    <w:div w:id="1764690179">
      <w:marLeft w:val="0"/>
      <w:marRight w:val="0"/>
      <w:marTop w:val="0"/>
      <w:marBottom w:val="0"/>
      <w:divBdr>
        <w:top w:val="none" w:sz="0" w:space="0" w:color="auto"/>
        <w:left w:val="none" w:sz="0" w:space="0" w:color="auto"/>
        <w:bottom w:val="none" w:sz="0" w:space="0" w:color="auto"/>
        <w:right w:val="none" w:sz="0" w:space="0" w:color="auto"/>
      </w:divBdr>
    </w:div>
    <w:div w:id="1764690181">
      <w:marLeft w:val="0"/>
      <w:marRight w:val="0"/>
      <w:marTop w:val="0"/>
      <w:marBottom w:val="0"/>
      <w:divBdr>
        <w:top w:val="none" w:sz="0" w:space="0" w:color="auto"/>
        <w:left w:val="none" w:sz="0" w:space="0" w:color="auto"/>
        <w:bottom w:val="none" w:sz="0" w:space="0" w:color="auto"/>
        <w:right w:val="none" w:sz="0" w:space="0" w:color="auto"/>
      </w:divBdr>
    </w:div>
    <w:div w:id="1764690183">
      <w:marLeft w:val="0"/>
      <w:marRight w:val="0"/>
      <w:marTop w:val="0"/>
      <w:marBottom w:val="0"/>
      <w:divBdr>
        <w:top w:val="none" w:sz="0" w:space="0" w:color="auto"/>
        <w:left w:val="none" w:sz="0" w:space="0" w:color="auto"/>
        <w:bottom w:val="none" w:sz="0" w:space="0" w:color="auto"/>
        <w:right w:val="none" w:sz="0" w:space="0" w:color="auto"/>
      </w:divBdr>
      <w:divsChild>
        <w:div w:id="1764689575">
          <w:marLeft w:val="0"/>
          <w:marRight w:val="0"/>
          <w:marTop w:val="0"/>
          <w:marBottom w:val="0"/>
          <w:divBdr>
            <w:top w:val="none" w:sz="0" w:space="0" w:color="auto"/>
            <w:left w:val="none" w:sz="0" w:space="0" w:color="auto"/>
            <w:bottom w:val="none" w:sz="0" w:space="0" w:color="auto"/>
            <w:right w:val="none" w:sz="0" w:space="0" w:color="auto"/>
          </w:divBdr>
          <w:divsChild>
            <w:div w:id="1764689377">
              <w:marLeft w:val="0"/>
              <w:marRight w:val="0"/>
              <w:marTop w:val="0"/>
              <w:marBottom w:val="0"/>
              <w:divBdr>
                <w:top w:val="none" w:sz="0" w:space="0" w:color="auto"/>
                <w:left w:val="none" w:sz="0" w:space="0" w:color="auto"/>
                <w:bottom w:val="none" w:sz="0" w:space="0" w:color="auto"/>
                <w:right w:val="none" w:sz="0" w:space="0" w:color="auto"/>
              </w:divBdr>
            </w:div>
            <w:div w:id="1764689405">
              <w:marLeft w:val="0"/>
              <w:marRight w:val="0"/>
              <w:marTop w:val="0"/>
              <w:marBottom w:val="0"/>
              <w:divBdr>
                <w:top w:val="none" w:sz="0" w:space="0" w:color="auto"/>
                <w:left w:val="none" w:sz="0" w:space="0" w:color="auto"/>
                <w:bottom w:val="none" w:sz="0" w:space="0" w:color="auto"/>
                <w:right w:val="none" w:sz="0" w:space="0" w:color="auto"/>
              </w:divBdr>
            </w:div>
            <w:div w:id="1764689498">
              <w:marLeft w:val="0"/>
              <w:marRight w:val="0"/>
              <w:marTop w:val="0"/>
              <w:marBottom w:val="0"/>
              <w:divBdr>
                <w:top w:val="none" w:sz="0" w:space="0" w:color="auto"/>
                <w:left w:val="none" w:sz="0" w:space="0" w:color="auto"/>
                <w:bottom w:val="none" w:sz="0" w:space="0" w:color="auto"/>
                <w:right w:val="none" w:sz="0" w:space="0" w:color="auto"/>
              </w:divBdr>
            </w:div>
            <w:div w:id="1764689628">
              <w:marLeft w:val="0"/>
              <w:marRight w:val="0"/>
              <w:marTop w:val="0"/>
              <w:marBottom w:val="0"/>
              <w:divBdr>
                <w:top w:val="none" w:sz="0" w:space="0" w:color="auto"/>
                <w:left w:val="none" w:sz="0" w:space="0" w:color="auto"/>
                <w:bottom w:val="none" w:sz="0" w:space="0" w:color="auto"/>
                <w:right w:val="none" w:sz="0" w:space="0" w:color="auto"/>
              </w:divBdr>
            </w:div>
            <w:div w:id="1764689823">
              <w:marLeft w:val="0"/>
              <w:marRight w:val="0"/>
              <w:marTop w:val="0"/>
              <w:marBottom w:val="0"/>
              <w:divBdr>
                <w:top w:val="none" w:sz="0" w:space="0" w:color="auto"/>
                <w:left w:val="none" w:sz="0" w:space="0" w:color="auto"/>
                <w:bottom w:val="none" w:sz="0" w:space="0" w:color="auto"/>
                <w:right w:val="none" w:sz="0" w:space="0" w:color="auto"/>
              </w:divBdr>
            </w:div>
            <w:div w:id="1764689898">
              <w:marLeft w:val="0"/>
              <w:marRight w:val="0"/>
              <w:marTop w:val="0"/>
              <w:marBottom w:val="0"/>
              <w:divBdr>
                <w:top w:val="none" w:sz="0" w:space="0" w:color="auto"/>
                <w:left w:val="none" w:sz="0" w:space="0" w:color="auto"/>
                <w:bottom w:val="none" w:sz="0" w:space="0" w:color="auto"/>
                <w:right w:val="none" w:sz="0" w:space="0" w:color="auto"/>
              </w:divBdr>
            </w:div>
            <w:div w:id="1764690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188">
      <w:marLeft w:val="0"/>
      <w:marRight w:val="0"/>
      <w:marTop w:val="0"/>
      <w:marBottom w:val="0"/>
      <w:divBdr>
        <w:top w:val="none" w:sz="0" w:space="0" w:color="auto"/>
        <w:left w:val="none" w:sz="0" w:space="0" w:color="auto"/>
        <w:bottom w:val="none" w:sz="0" w:space="0" w:color="auto"/>
        <w:right w:val="none" w:sz="0" w:space="0" w:color="auto"/>
      </w:divBdr>
    </w:div>
    <w:div w:id="1764690189">
      <w:marLeft w:val="0"/>
      <w:marRight w:val="0"/>
      <w:marTop w:val="0"/>
      <w:marBottom w:val="0"/>
      <w:divBdr>
        <w:top w:val="none" w:sz="0" w:space="0" w:color="auto"/>
        <w:left w:val="none" w:sz="0" w:space="0" w:color="auto"/>
        <w:bottom w:val="none" w:sz="0" w:space="0" w:color="auto"/>
        <w:right w:val="none" w:sz="0" w:space="0" w:color="auto"/>
      </w:divBdr>
      <w:divsChild>
        <w:div w:id="1764689817">
          <w:marLeft w:val="0"/>
          <w:marRight w:val="0"/>
          <w:marTop w:val="0"/>
          <w:marBottom w:val="0"/>
          <w:divBdr>
            <w:top w:val="none" w:sz="0" w:space="0" w:color="auto"/>
            <w:left w:val="none" w:sz="0" w:space="0" w:color="auto"/>
            <w:bottom w:val="none" w:sz="0" w:space="0" w:color="auto"/>
            <w:right w:val="none" w:sz="0" w:space="0" w:color="auto"/>
          </w:divBdr>
        </w:div>
      </w:divsChild>
    </w:div>
    <w:div w:id="1764690190">
      <w:marLeft w:val="0"/>
      <w:marRight w:val="0"/>
      <w:marTop w:val="0"/>
      <w:marBottom w:val="0"/>
      <w:divBdr>
        <w:top w:val="none" w:sz="0" w:space="0" w:color="auto"/>
        <w:left w:val="none" w:sz="0" w:space="0" w:color="auto"/>
        <w:bottom w:val="none" w:sz="0" w:space="0" w:color="auto"/>
        <w:right w:val="none" w:sz="0" w:space="0" w:color="auto"/>
      </w:divBdr>
      <w:divsChild>
        <w:div w:id="1764689319">
          <w:marLeft w:val="0"/>
          <w:marRight w:val="0"/>
          <w:marTop w:val="0"/>
          <w:marBottom w:val="0"/>
          <w:divBdr>
            <w:top w:val="none" w:sz="0" w:space="0" w:color="auto"/>
            <w:left w:val="none" w:sz="0" w:space="0" w:color="auto"/>
            <w:bottom w:val="none" w:sz="0" w:space="0" w:color="auto"/>
            <w:right w:val="none" w:sz="0" w:space="0" w:color="auto"/>
          </w:divBdr>
          <w:divsChild>
            <w:div w:id="1764689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200">
      <w:marLeft w:val="0"/>
      <w:marRight w:val="0"/>
      <w:marTop w:val="0"/>
      <w:marBottom w:val="0"/>
      <w:divBdr>
        <w:top w:val="none" w:sz="0" w:space="0" w:color="auto"/>
        <w:left w:val="none" w:sz="0" w:space="0" w:color="auto"/>
        <w:bottom w:val="none" w:sz="0" w:space="0" w:color="auto"/>
        <w:right w:val="none" w:sz="0" w:space="0" w:color="auto"/>
      </w:divBdr>
    </w:div>
    <w:div w:id="1764690201">
      <w:marLeft w:val="0"/>
      <w:marRight w:val="0"/>
      <w:marTop w:val="0"/>
      <w:marBottom w:val="0"/>
      <w:divBdr>
        <w:top w:val="none" w:sz="0" w:space="0" w:color="auto"/>
        <w:left w:val="none" w:sz="0" w:space="0" w:color="auto"/>
        <w:bottom w:val="none" w:sz="0" w:space="0" w:color="auto"/>
        <w:right w:val="none" w:sz="0" w:space="0" w:color="auto"/>
      </w:divBdr>
      <w:divsChild>
        <w:div w:id="1764690029">
          <w:marLeft w:val="0"/>
          <w:marRight w:val="0"/>
          <w:marTop w:val="0"/>
          <w:marBottom w:val="0"/>
          <w:divBdr>
            <w:top w:val="none" w:sz="0" w:space="0" w:color="auto"/>
            <w:left w:val="none" w:sz="0" w:space="0" w:color="auto"/>
            <w:bottom w:val="none" w:sz="0" w:space="0" w:color="auto"/>
            <w:right w:val="none" w:sz="0" w:space="0" w:color="auto"/>
          </w:divBdr>
          <w:divsChild>
            <w:div w:id="1764689091">
              <w:marLeft w:val="0"/>
              <w:marRight w:val="0"/>
              <w:marTop w:val="0"/>
              <w:marBottom w:val="0"/>
              <w:divBdr>
                <w:top w:val="none" w:sz="0" w:space="0" w:color="auto"/>
                <w:left w:val="none" w:sz="0" w:space="0" w:color="auto"/>
                <w:bottom w:val="none" w:sz="0" w:space="0" w:color="auto"/>
                <w:right w:val="none" w:sz="0" w:space="0" w:color="auto"/>
              </w:divBdr>
            </w:div>
            <w:div w:id="1764689154">
              <w:marLeft w:val="0"/>
              <w:marRight w:val="0"/>
              <w:marTop w:val="0"/>
              <w:marBottom w:val="0"/>
              <w:divBdr>
                <w:top w:val="none" w:sz="0" w:space="0" w:color="auto"/>
                <w:left w:val="none" w:sz="0" w:space="0" w:color="auto"/>
                <w:bottom w:val="none" w:sz="0" w:space="0" w:color="auto"/>
                <w:right w:val="none" w:sz="0" w:space="0" w:color="auto"/>
              </w:divBdr>
            </w:div>
            <w:div w:id="1764689295">
              <w:marLeft w:val="0"/>
              <w:marRight w:val="0"/>
              <w:marTop w:val="0"/>
              <w:marBottom w:val="0"/>
              <w:divBdr>
                <w:top w:val="none" w:sz="0" w:space="0" w:color="auto"/>
                <w:left w:val="none" w:sz="0" w:space="0" w:color="auto"/>
                <w:bottom w:val="none" w:sz="0" w:space="0" w:color="auto"/>
                <w:right w:val="none" w:sz="0" w:space="0" w:color="auto"/>
              </w:divBdr>
            </w:div>
            <w:div w:id="1764689545">
              <w:marLeft w:val="0"/>
              <w:marRight w:val="0"/>
              <w:marTop w:val="0"/>
              <w:marBottom w:val="0"/>
              <w:divBdr>
                <w:top w:val="none" w:sz="0" w:space="0" w:color="auto"/>
                <w:left w:val="none" w:sz="0" w:space="0" w:color="auto"/>
                <w:bottom w:val="none" w:sz="0" w:space="0" w:color="auto"/>
                <w:right w:val="none" w:sz="0" w:space="0" w:color="auto"/>
              </w:divBdr>
            </w:div>
            <w:div w:id="1764689647">
              <w:marLeft w:val="0"/>
              <w:marRight w:val="0"/>
              <w:marTop w:val="0"/>
              <w:marBottom w:val="0"/>
              <w:divBdr>
                <w:top w:val="none" w:sz="0" w:space="0" w:color="auto"/>
                <w:left w:val="none" w:sz="0" w:space="0" w:color="auto"/>
                <w:bottom w:val="none" w:sz="0" w:space="0" w:color="auto"/>
                <w:right w:val="none" w:sz="0" w:space="0" w:color="auto"/>
              </w:divBdr>
            </w:div>
            <w:div w:id="1764690011">
              <w:marLeft w:val="0"/>
              <w:marRight w:val="0"/>
              <w:marTop w:val="0"/>
              <w:marBottom w:val="0"/>
              <w:divBdr>
                <w:top w:val="none" w:sz="0" w:space="0" w:color="auto"/>
                <w:left w:val="none" w:sz="0" w:space="0" w:color="auto"/>
                <w:bottom w:val="none" w:sz="0" w:space="0" w:color="auto"/>
                <w:right w:val="none" w:sz="0" w:space="0" w:color="auto"/>
              </w:divBdr>
            </w:div>
            <w:div w:id="1764690066">
              <w:marLeft w:val="0"/>
              <w:marRight w:val="0"/>
              <w:marTop w:val="0"/>
              <w:marBottom w:val="0"/>
              <w:divBdr>
                <w:top w:val="none" w:sz="0" w:space="0" w:color="auto"/>
                <w:left w:val="none" w:sz="0" w:space="0" w:color="auto"/>
                <w:bottom w:val="none" w:sz="0" w:space="0" w:color="auto"/>
                <w:right w:val="none" w:sz="0" w:space="0" w:color="auto"/>
              </w:divBdr>
            </w:div>
            <w:div w:id="1764690202">
              <w:marLeft w:val="0"/>
              <w:marRight w:val="0"/>
              <w:marTop w:val="0"/>
              <w:marBottom w:val="0"/>
              <w:divBdr>
                <w:top w:val="none" w:sz="0" w:space="0" w:color="auto"/>
                <w:left w:val="none" w:sz="0" w:space="0" w:color="auto"/>
                <w:bottom w:val="none" w:sz="0" w:space="0" w:color="auto"/>
                <w:right w:val="none" w:sz="0" w:space="0" w:color="auto"/>
              </w:divBdr>
            </w:div>
            <w:div w:id="1764690262">
              <w:marLeft w:val="0"/>
              <w:marRight w:val="0"/>
              <w:marTop w:val="0"/>
              <w:marBottom w:val="0"/>
              <w:divBdr>
                <w:top w:val="none" w:sz="0" w:space="0" w:color="auto"/>
                <w:left w:val="none" w:sz="0" w:space="0" w:color="auto"/>
                <w:bottom w:val="none" w:sz="0" w:space="0" w:color="auto"/>
                <w:right w:val="none" w:sz="0" w:space="0" w:color="auto"/>
              </w:divBdr>
            </w:div>
            <w:div w:id="1764690395">
              <w:marLeft w:val="0"/>
              <w:marRight w:val="0"/>
              <w:marTop w:val="0"/>
              <w:marBottom w:val="0"/>
              <w:divBdr>
                <w:top w:val="none" w:sz="0" w:space="0" w:color="auto"/>
                <w:left w:val="none" w:sz="0" w:space="0" w:color="auto"/>
                <w:bottom w:val="none" w:sz="0" w:space="0" w:color="auto"/>
                <w:right w:val="none" w:sz="0" w:space="0" w:color="auto"/>
              </w:divBdr>
            </w:div>
            <w:div w:id="1764690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204">
      <w:marLeft w:val="0"/>
      <w:marRight w:val="0"/>
      <w:marTop w:val="0"/>
      <w:marBottom w:val="0"/>
      <w:divBdr>
        <w:top w:val="none" w:sz="0" w:space="0" w:color="auto"/>
        <w:left w:val="none" w:sz="0" w:space="0" w:color="auto"/>
        <w:bottom w:val="none" w:sz="0" w:space="0" w:color="auto"/>
        <w:right w:val="none" w:sz="0" w:space="0" w:color="auto"/>
      </w:divBdr>
      <w:divsChild>
        <w:div w:id="1764689383">
          <w:marLeft w:val="0"/>
          <w:marRight w:val="0"/>
          <w:marTop w:val="0"/>
          <w:marBottom w:val="0"/>
          <w:divBdr>
            <w:top w:val="none" w:sz="0" w:space="0" w:color="auto"/>
            <w:left w:val="none" w:sz="0" w:space="0" w:color="auto"/>
            <w:bottom w:val="none" w:sz="0" w:space="0" w:color="auto"/>
            <w:right w:val="none" w:sz="0" w:space="0" w:color="auto"/>
          </w:divBdr>
          <w:divsChild>
            <w:div w:id="1764689282">
              <w:marLeft w:val="0"/>
              <w:marRight w:val="0"/>
              <w:marTop w:val="0"/>
              <w:marBottom w:val="0"/>
              <w:divBdr>
                <w:top w:val="none" w:sz="0" w:space="0" w:color="auto"/>
                <w:left w:val="none" w:sz="0" w:space="0" w:color="auto"/>
                <w:bottom w:val="none" w:sz="0" w:space="0" w:color="auto"/>
                <w:right w:val="none" w:sz="0" w:space="0" w:color="auto"/>
              </w:divBdr>
            </w:div>
            <w:div w:id="1764689508">
              <w:marLeft w:val="0"/>
              <w:marRight w:val="0"/>
              <w:marTop w:val="0"/>
              <w:marBottom w:val="0"/>
              <w:divBdr>
                <w:top w:val="none" w:sz="0" w:space="0" w:color="auto"/>
                <w:left w:val="none" w:sz="0" w:space="0" w:color="auto"/>
                <w:bottom w:val="none" w:sz="0" w:space="0" w:color="auto"/>
                <w:right w:val="none" w:sz="0" w:space="0" w:color="auto"/>
              </w:divBdr>
            </w:div>
            <w:div w:id="1764690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207">
      <w:marLeft w:val="0"/>
      <w:marRight w:val="0"/>
      <w:marTop w:val="0"/>
      <w:marBottom w:val="0"/>
      <w:divBdr>
        <w:top w:val="none" w:sz="0" w:space="0" w:color="auto"/>
        <w:left w:val="none" w:sz="0" w:space="0" w:color="auto"/>
        <w:bottom w:val="none" w:sz="0" w:space="0" w:color="auto"/>
        <w:right w:val="none" w:sz="0" w:space="0" w:color="auto"/>
      </w:divBdr>
      <w:divsChild>
        <w:div w:id="1764689564">
          <w:marLeft w:val="0"/>
          <w:marRight w:val="0"/>
          <w:marTop w:val="0"/>
          <w:marBottom w:val="0"/>
          <w:divBdr>
            <w:top w:val="none" w:sz="0" w:space="0" w:color="auto"/>
            <w:left w:val="none" w:sz="0" w:space="0" w:color="auto"/>
            <w:bottom w:val="none" w:sz="0" w:space="0" w:color="auto"/>
            <w:right w:val="none" w:sz="0" w:space="0" w:color="auto"/>
          </w:divBdr>
        </w:div>
      </w:divsChild>
    </w:div>
    <w:div w:id="1764690210">
      <w:marLeft w:val="0"/>
      <w:marRight w:val="0"/>
      <w:marTop w:val="0"/>
      <w:marBottom w:val="0"/>
      <w:divBdr>
        <w:top w:val="none" w:sz="0" w:space="0" w:color="auto"/>
        <w:left w:val="none" w:sz="0" w:space="0" w:color="auto"/>
        <w:bottom w:val="none" w:sz="0" w:space="0" w:color="auto"/>
        <w:right w:val="none" w:sz="0" w:space="0" w:color="auto"/>
      </w:divBdr>
      <w:divsChild>
        <w:div w:id="1764689310">
          <w:marLeft w:val="0"/>
          <w:marRight w:val="0"/>
          <w:marTop w:val="0"/>
          <w:marBottom w:val="0"/>
          <w:divBdr>
            <w:top w:val="none" w:sz="0" w:space="0" w:color="auto"/>
            <w:left w:val="none" w:sz="0" w:space="0" w:color="auto"/>
            <w:bottom w:val="none" w:sz="0" w:space="0" w:color="auto"/>
            <w:right w:val="none" w:sz="0" w:space="0" w:color="auto"/>
          </w:divBdr>
          <w:divsChild>
            <w:div w:id="1764689245">
              <w:marLeft w:val="0"/>
              <w:marRight w:val="0"/>
              <w:marTop w:val="0"/>
              <w:marBottom w:val="0"/>
              <w:divBdr>
                <w:top w:val="none" w:sz="0" w:space="0" w:color="auto"/>
                <w:left w:val="none" w:sz="0" w:space="0" w:color="auto"/>
                <w:bottom w:val="none" w:sz="0" w:space="0" w:color="auto"/>
                <w:right w:val="none" w:sz="0" w:space="0" w:color="auto"/>
              </w:divBdr>
            </w:div>
            <w:div w:id="1764689702">
              <w:marLeft w:val="0"/>
              <w:marRight w:val="0"/>
              <w:marTop w:val="0"/>
              <w:marBottom w:val="0"/>
              <w:divBdr>
                <w:top w:val="none" w:sz="0" w:space="0" w:color="auto"/>
                <w:left w:val="none" w:sz="0" w:space="0" w:color="auto"/>
                <w:bottom w:val="none" w:sz="0" w:space="0" w:color="auto"/>
                <w:right w:val="none" w:sz="0" w:space="0" w:color="auto"/>
              </w:divBdr>
            </w:div>
            <w:div w:id="1764689889">
              <w:marLeft w:val="0"/>
              <w:marRight w:val="0"/>
              <w:marTop w:val="0"/>
              <w:marBottom w:val="0"/>
              <w:divBdr>
                <w:top w:val="none" w:sz="0" w:space="0" w:color="auto"/>
                <w:left w:val="none" w:sz="0" w:space="0" w:color="auto"/>
                <w:bottom w:val="none" w:sz="0" w:space="0" w:color="auto"/>
                <w:right w:val="none" w:sz="0" w:space="0" w:color="auto"/>
              </w:divBdr>
            </w:div>
            <w:div w:id="1764690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216">
      <w:marLeft w:val="0"/>
      <w:marRight w:val="0"/>
      <w:marTop w:val="0"/>
      <w:marBottom w:val="0"/>
      <w:divBdr>
        <w:top w:val="none" w:sz="0" w:space="0" w:color="auto"/>
        <w:left w:val="none" w:sz="0" w:space="0" w:color="auto"/>
        <w:bottom w:val="none" w:sz="0" w:space="0" w:color="auto"/>
        <w:right w:val="none" w:sz="0" w:space="0" w:color="auto"/>
      </w:divBdr>
      <w:divsChild>
        <w:div w:id="1764690403">
          <w:marLeft w:val="0"/>
          <w:marRight w:val="0"/>
          <w:marTop w:val="0"/>
          <w:marBottom w:val="0"/>
          <w:divBdr>
            <w:top w:val="none" w:sz="0" w:space="0" w:color="auto"/>
            <w:left w:val="none" w:sz="0" w:space="0" w:color="auto"/>
            <w:bottom w:val="none" w:sz="0" w:space="0" w:color="auto"/>
            <w:right w:val="none" w:sz="0" w:space="0" w:color="auto"/>
          </w:divBdr>
          <w:divsChild>
            <w:div w:id="1764689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217">
      <w:marLeft w:val="0"/>
      <w:marRight w:val="0"/>
      <w:marTop w:val="0"/>
      <w:marBottom w:val="0"/>
      <w:divBdr>
        <w:top w:val="none" w:sz="0" w:space="0" w:color="auto"/>
        <w:left w:val="none" w:sz="0" w:space="0" w:color="auto"/>
        <w:bottom w:val="none" w:sz="0" w:space="0" w:color="auto"/>
        <w:right w:val="none" w:sz="0" w:space="0" w:color="auto"/>
      </w:divBdr>
      <w:divsChild>
        <w:div w:id="1764690341">
          <w:marLeft w:val="0"/>
          <w:marRight w:val="0"/>
          <w:marTop w:val="0"/>
          <w:marBottom w:val="0"/>
          <w:divBdr>
            <w:top w:val="none" w:sz="0" w:space="0" w:color="auto"/>
            <w:left w:val="none" w:sz="0" w:space="0" w:color="auto"/>
            <w:bottom w:val="none" w:sz="0" w:space="0" w:color="auto"/>
            <w:right w:val="none" w:sz="0" w:space="0" w:color="auto"/>
          </w:divBdr>
          <w:divsChild>
            <w:div w:id="1764689095">
              <w:marLeft w:val="0"/>
              <w:marRight w:val="0"/>
              <w:marTop w:val="0"/>
              <w:marBottom w:val="0"/>
              <w:divBdr>
                <w:top w:val="none" w:sz="0" w:space="0" w:color="auto"/>
                <w:left w:val="none" w:sz="0" w:space="0" w:color="auto"/>
                <w:bottom w:val="none" w:sz="0" w:space="0" w:color="auto"/>
                <w:right w:val="none" w:sz="0" w:space="0" w:color="auto"/>
              </w:divBdr>
            </w:div>
            <w:div w:id="1764689672">
              <w:marLeft w:val="0"/>
              <w:marRight w:val="0"/>
              <w:marTop w:val="0"/>
              <w:marBottom w:val="0"/>
              <w:divBdr>
                <w:top w:val="none" w:sz="0" w:space="0" w:color="auto"/>
                <w:left w:val="none" w:sz="0" w:space="0" w:color="auto"/>
                <w:bottom w:val="none" w:sz="0" w:space="0" w:color="auto"/>
                <w:right w:val="none" w:sz="0" w:space="0" w:color="auto"/>
              </w:divBdr>
            </w:div>
            <w:div w:id="1764689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218">
      <w:marLeft w:val="0"/>
      <w:marRight w:val="0"/>
      <w:marTop w:val="0"/>
      <w:marBottom w:val="0"/>
      <w:divBdr>
        <w:top w:val="none" w:sz="0" w:space="0" w:color="auto"/>
        <w:left w:val="none" w:sz="0" w:space="0" w:color="auto"/>
        <w:bottom w:val="none" w:sz="0" w:space="0" w:color="auto"/>
        <w:right w:val="none" w:sz="0" w:space="0" w:color="auto"/>
      </w:divBdr>
      <w:divsChild>
        <w:div w:id="1764690379">
          <w:marLeft w:val="0"/>
          <w:marRight w:val="0"/>
          <w:marTop w:val="0"/>
          <w:marBottom w:val="0"/>
          <w:divBdr>
            <w:top w:val="none" w:sz="0" w:space="0" w:color="auto"/>
            <w:left w:val="none" w:sz="0" w:space="0" w:color="auto"/>
            <w:bottom w:val="none" w:sz="0" w:space="0" w:color="auto"/>
            <w:right w:val="none" w:sz="0" w:space="0" w:color="auto"/>
          </w:divBdr>
          <w:divsChild>
            <w:div w:id="1764689562">
              <w:marLeft w:val="0"/>
              <w:marRight w:val="0"/>
              <w:marTop w:val="0"/>
              <w:marBottom w:val="0"/>
              <w:divBdr>
                <w:top w:val="none" w:sz="0" w:space="0" w:color="auto"/>
                <w:left w:val="none" w:sz="0" w:space="0" w:color="auto"/>
                <w:bottom w:val="none" w:sz="0" w:space="0" w:color="auto"/>
                <w:right w:val="none" w:sz="0" w:space="0" w:color="auto"/>
              </w:divBdr>
            </w:div>
            <w:div w:id="1764690055">
              <w:marLeft w:val="0"/>
              <w:marRight w:val="0"/>
              <w:marTop w:val="0"/>
              <w:marBottom w:val="0"/>
              <w:divBdr>
                <w:top w:val="none" w:sz="0" w:space="0" w:color="auto"/>
                <w:left w:val="none" w:sz="0" w:space="0" w:color="auto"/>
                <w:bottom w:val="none" w:sz="0" w:space="0" w:color="auto"/>
                <w:right w:val="none" w:sz="0" w:space="0" w:color="auto"/>
              </w:divBdr>
            </w:div>
            <w:div w:id="1764690113">
              <w:marLeft w:val="0"/>
              <w:marRight w:val="0"/>
              <w:marTop w:val="0"/>
              <w:marBottom w:val="0"/>
              <w:divBdr>
                <w:top w:val="none" w:sz="0" w:space="0" w:color="auto"/>
                <w:left w:val="none" w:sz="0" w:space="0" w:color="auto"/>
                <w:bottom w:val="none" w:sz="0" w:space="0" w:color="auto"/>
                <w:right w:val="none" w:sz="0" w:space="0" w:color="auto"/>
              </w:divBdr>
            </w:div>
            <w:div w:id="1764690491">
              <w:marLeft w:val="0"/>
              <w:marRight w:val="0"/>
              <w:marTop w:val="0"/>
              <w:marBottom w:val="0"/>
              <w:divBdr>
                <w:top w:val="none" w:sz="0" w:space="0" w:color="auto"/>
                <w:left w:val="none" w:sz="0" w:space="0" w:color="auto"/>
                <w:bottom w:val="none" w:sz="0" w:space="0" w:color="auto"/>
                <w:right w:val="none" w:sz="0" w:space="0" w:color="auto"/>
              </w:divBdr>
            </w:div>
            <w:div w:id="1764690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220">
      <w:marLeft w:val="0"/>
      <w:marRight w:val="0"/>
      <w:marTop w:val="0"/>
      <w:marBottom w:val="0"/>
      <w:divBdr>
        <w:top w:val="none" w:sz="0" w:space="0" w:color="auto"/>
        <w:left w:val="none" w:sz="0" w:space="0" w:color="auto"/>
        <w:bottom w:val="none" w:sz="0" w:space="0" w:color="auto"/>
        <w:right w:val="none" w:sz="0" w:space="0" w:color="auto"/>
      </w:divBdr>
    </w:div>
    <w:div w:id="1764690221">
      <w:marLeft w:val="0"/>
      <w:marRight w:val="0"/>
      <w:marTop w:val="0"/>
      <w:marBottom w:val="0"/>
      <w:divBdr>
        <w:top w:val="none" w:sz="0" w:space="0" w:color="auto"/>
        <w:left w:val="none" w:sz="0" w:space="0" w:color="auto"/>
        <w:bottom w:val="none" w:sz="0" w:space="0" w:color="auto"/>
        <w:right w:val="none" w:sz="0" w:space="0" w:color="auto"/>
      </w:divBdr>
      <w:divsChild>
        <w:div w:id="1764689776">
          <w:marLeft w:val="0"/>
          <w:marRight w:val="0"/>
          <w:marTop w:val="0"/>
          <w:marBottom w:val="0"/>
          <w:divBdr>
            <w:top w:val="none" w:sz="0" w:space="0" w:color="auto"/>
            <w:left w:val="none" w:sz="0" w:space="0" w:color="auto"/>
            <w:bottom w:val="none" w:sz="0" w:space="0" w:color="auto"/>
            <w:right w:val="none" w:sz="0" w:space="0" w:color="auto"/>
          </w:divBdr>
          <w:divsChild>
            <w:div w:id="1764689914">
              <w:marLeft w:val="0"/>
              <w:marRight w:val="0"/>
              <w:marTop w:val="0"/>
              <w:marBottom w:val="0"/>
              <w:divBdr>
                <w:top w:val="none" w:sz="0" w:space="0" w:color="auto"/>
                <w:left w:val="none" w:sz="0" w:space="0" w:color="auto"/>
                <w:bottom w:val="none" w:sz="0" w:space="0" w:color="auto"/>
                <w:right w:val="none" w:sz="0" w:space="0" w:color="auto"/>
              </w:divBdr>
            </w:div>
            <w:div w:id="1764690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224">
      <w:marLeft w:val="0"/>
      <w:marRight w:val="0"/>
      <w:marTop w:val="0"/>
      <w:marBottom w:val="0"/>
      <w:divBdr>
        <w:top w:val="none" w:sz="0" w:space="0" w:color="auto"/>
        <w:left w:val="none" w:sz="0" w:space="0" w:color="auto"/>
        <w:bottom w:val="none" w:sz="0" w:space="0" w:color="auto"/>
        <w:right w:val="none" w:sz="0" w:space="0" w:color="auto"/>
      </w:divBdr>
      <w:divsChild>
        <w:div w:id="1764689669">
          <w:marLeft w:val="0"/>
          <w:marRight w:val="0"/>
          <w:marTop w:val="0"/>
          <w:marBottom w:val="0"/>
          <w:divBdr>
            <w:top w:val="none" w:sz="0" w:space="0" w:color="auto"/>
            <w:left w:val="none" w:sz="0" w:space="0" w:color="auto"/>
            <w:bottom w:val="none" w:sz="0" w:space="0" w:color="auto"/>
            <w:right w:val="none" w:sz="0" w:space="0" w:color="auto"/>
          </w:divBdr>
        </w:div>
      </w:divsChild>
    </w:div>
    <w:div w:id="1764690225">
      <w:marLeft w:val="0"/>
      <w:marRight w:val="0"/>
      <w:marTop w:val="0"/>
      <w:marBottom w:val="0"/>
      <w:divBdr>
        <w:top w:val="none" w:sz="0" w:space="0" w:color="auto"/>
        <w:left w:val="none" w:sz="0" w:space="0" w:color="auto"/>
        <w:bottom w:val="none" w:sz="0" w:space="0" w:color="auto"/>
        <w:right w:val="none" w:sz="0" w:space="0" w:color="auto"/>
      </w:divBdr>
    </w:div>
    <w:div w:id="1764690226">
      <w:marLeft w:val="0"/>
      <w:marRight w:val="0"/>
      <w:marTop w:val="0"/>
      <w:marBottom w:val="0"/>
      <w:divBdr>
        <w:top w:val="none" w:sz="0" w:space="0" w:color="auto"/>
        <w:left w:val="none" w:sz="0" w:space="0" w:color="auto"/>
        <w:bottom w:val="none" w:sz="0" w:space="0" w:color="auto"/>
        <w:right w:val="none" w:sz="0" w:space="0" w:color="auto"/>
      </w:divBdr>
    </w:div>
    <w:div w:id="1764690228">
      <w:marLeft w:val="0"/>
      <w:marRight w:val="0"/>
      <w:marTop w:val="0"/>
      <w:marBottom w:val="0"/>
      <w:divBdr>
        <w:top w:val="none" w:sz="0" w:space="0" w:color="auto"/>
        <w:left w:val="none" w:sz="0" w:space="0" w:color="auto"/>
        <w:bottom w:val="none" w:sz="0" w:space="0" w:color="auto"/>
        <w:right w:val="none" w:sz="0" w:space="0" w:color="auto"/>
      </w:divBdr>
      <w:divsChild>
        <w:div w:id="1764690541">
          <w:marLeft w:val="0"/>
          <w:marRight w:val="0"/>
          <w:marTop w:val="0"/>
          <w:marBottom w:val="0"/>
          <w:divBdr>
            <w:top w:val="none" w:sz="0" w:space="0" w:color="auto"/>
            <w:left w:val="none" w:sz="0" w:space="0" w:color="auto"/>
            <w:bottom w:val="none" w:sz="0" w:space="0" w:color="auto"/>
            <w:right w:val="none" w:sz="0" w:space="0" w:color="auto"/>
          </w:divBdr>
          <w:divsChild>
            <w:div w:id="1764689220">
              <w:marLeft w:val="0"/>
              <w:marRight w:val="0"/>
              <w:marTop w:val="0"/>
              <w:marBottom w:val="0"/>
              <w:divBdr>
                <w:top w:val="none" w:sz="0" w:space="0" w:color="auto"/>
                <w:left w:val="none" w:sz="0" w:space="0" w:color="auto"/>
                <w:bottom w:val="none" w:sz="0" w:space="0" w:color="auto"/>
                <w:right w:val="none" w:sz="0" w:space="0" w:color="auto"/>
              </w:divBdr>
            </w:div>
            <w:div w:id="1764689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230">
      <w:marLeft w:val="0"/>
      <w:marRight w:val="0"/>
      <w:marTop w:val="0"/>
      <w:marBottom w:val="0"/>
      <w:divBdr>
        <w:top w:val="none" w:sz="0" w:space="0" w:color="auto"/>
        <w:left w:val="none" w:sz="0" w:space="0" w:color="auto"/>
        <w:bottom w:val="none" w:sz="0" w:space="0" w:color="auto"/>
        <w:right w:val="none" w:sz="0" w:space="0" w:color="auto"/>
      </w:divBdr>
    </w:div>
    <w:div w:id="1764690232">
      <w:marLeft w:val="0"/>
      <w:marRight w:val="0"/>
      <w:marTop w:val="0"/>
      <w:marBottom w:val="0"/>
      <w:divBdr>
        <w:top w:val="none" w:sz="0" w:space="0" w:color="auto"/>
        <w:left w:val="none" w:sz="0" w:space="0" w:color="auto"/>
        <w:bottom w:val="none" w:sz="0" w:space="0" w:color="auto"/>
        <w:right w:val="none" w:sz="0" w:space="0" w:color="auto"/>
      </w:divBdr>
      <w:divsChild>
        <w:div w:id="1764689985">
          <w:marLeft w:val="0"/>
          <w:marRight w:val="0"/>
          <w:marTop w:val="0"/>
          <w:marBottom w:val="0"/>
          <w:divBdr>
            <w:top w:val="none" w:sz="0" w:space="0" w:color="auto"/>
            <w:left w:val="none" w:sz="0" w:space="0" w:color="auto"/>
            <w:bottom w:val="none" w:sz="0" w:space="0" w:color="auto"/>
            <w:right w:val="none" w:sz="0" w:space="0" w:color="auto"/>
          </w:divBdr>
          <w:divsChild>
            <w:div w:id="1764689433">
              <w:marLeft w:val="0"/>
              <w:marRight w:val="0"/>
              <w:marTop w:val="0"/>
              <w:marBottom w:val="0"/>
              <w:divBdr>
                <w:top w:val="none" w:sz="0" w:space="0" w:color="auto"/>
                <w:left w:val="none" w:sz="0" w:space="0" w:color="auto"/>
                <w:bottom w:val="none" w:sz="0" w:space="0" w:color="auto"/>
                <w:right w:val="none" w:sz="0" w:space="0" w:color="auto"/>
              </w:divBdr>
            </w:div>
            <w:div w:id="1764689920">
              <w:marLeft w:val="0"/>
              <w:marRight w:val="0"/>
              <w:marTop w:val="0"/>
              <w:marBottom w:val="0"/>
              <w:divBdr>
                <w:top w:val="none" w:sz="0" w:space="0" w:color="auto"/>
                <w:left w:val="none" w:sz="0" w:space="0" w:color="auto"/>
                <w:bottom w:val="none" w:sz="0" w:space="0" w:color="auto"/>
                <w:right w:val="none" w:sz="0" w:space="0" w:color="auto"/>
              </w:divBdr>
            </w:div>
            <w:div w:id="1764690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234">
      <w:marLeft w:val="0"/>
      <w:marRight w:val="0"/>
      <w:marTop w:val="0"/>
      <w:marBottom w:val="0"/>
      <w:divBdr>
        <w:top w:val="none" w:sz="0" w:space="0" w:color="auto"/>
        <w:left w:val="none" w:sz="0" w:space="0" w:color="auto"/>
        <w:bottom w:val="none" w:sz="0" w:space="0" w:color="auto"/>
        <w:right w:val="none" w:sz="0" w:space="0" w:color="auto"/>
      </w:divBdr>
    </w:div>
    <w:div w:id="1764690237">
      <w:marLeft w:val="0"/>
      <w:marRight w:val="0"/>
      <w:marTop w:val="0"/>
      <w:marBottom w:val="0"/>
      <w:divBdr>
        <w:top w:val="none" w:sz="0" w:space="0" w:color="auto"/>
        <w:left w:val="none" w:sz="0" w:space="0" w:color="auto"/>
        <w:bottom w:val="none" w:sz="0" w:space="0" w:color="auto"/>
        <w:right w:val="none" w:sz="0" w:space="0" w:color="auto"/>
      </w:divBdr>
    </w:div>
    <w:div w:id="1764690239">
      <w:marLeft w:val="0"/>
      <w:marRight w:val="0"/>
      <w:marTop w:val="0"/>
      <w:marBottom w:val="0"/>
      <w:divBdr>
        <w:top w:val="none" w:sz="0" w:space="0" w:color="auto"/>
        <w:left w:val="none" w:sz="0" w:space="0" w:color="auto"/>
        <w:bottom w:val="none" w:sz="0" w:space="0" w:color="auto"/>
        <w:right w:val="none" w:sz="0" w:space="0" w:color="auto"/>
      </w:divBdr>
    </w:div>
    <w:div w:id="1764690242">
      <w:marLeft w:val="0"/>
      <w:marRight w:val="0"/>
      <w:marTop w:val="0"/>
      <w:marBottom w:val="0"/>
      <w:divBdr>
        <w:top w:val="none" w:sz="0" w:space="0" w:color="auto"/>
        <w:left w:val="none" w:sz="0" w:space="0" w:color="auto"/>
        <w:bottom w:val="none" w:sz="0" w:space="0" w:color="auto"/>
        <w:right w:val="none" w:sz="0" w:space="0" w:color="auto"/>
      </w:divBdr>
      <w:divsChild>
        <w:div w:id="1764689820">
          <w:marLeft w:val="0"/>
          <w:marRight w:val="0"/>
          <w:marTop w:val="0"/>
          <w:marBottom w:val="0"/>
          <w:divBdr>
            <w:top w:val="none" w:sz="0" w:space="0" w:color="auto"/>
            <w:left w:val="none" w:sz="0" w:space="0" w:color="auto"/>
            <w:bottom w:val="none" w:sz="0" w:space="0" w:color="auto"/>
            <w:right w:val="none" w:sz="0" w:space="0" w:color="auto"/>
          </w:divBdr>
          <w:divsChild>
            <w:div w:id="1764689348">
              <w:marLeft w:val="0"/>
              <w:marRight w:val="0"/>
              <w:marTop w:val="0"/>
              <w:marBottom w:val="0"/>
              <w:divBdr>
                <w:top w:val="none" w:sz="0" w:space="0" w:color="auto"/>
                <w:left w:val="none" w:sz="0" w:space="0" w:color="auto"/>
                <w:bottom w:val="none" w:sz="0" w:space="0" w:color="auto"/>
                <w:right w:val="none" w:sz="0" w:space="0" w:color="auto"/>
              </w:divBdr>
            </w:div>
            <w:div w:id="1764689563">
              <w:marLeft w:val="0"/>
              <w:marRight w:val="0"/>
              <w:marTop w:val="0"/>
              <w:marBottom w:val="0"/>
              <w:divBdr>
                <w:top w:val="none" w:sz="0" w:space="0" w:color="auto"/>
                <w:left w:val="none" w:sz="0" w:space="0" w:color="auto"/>
                <w:bottom w:val="none" w:sz="0" w:space="0" w:color="auto"/>
                <w:right w:val="none" w:sz="0" w:space="0" w:color="auto"/>
              </w:divBdr>
            </w:div>
            <w:div w:id="1764689795">
              <w:marLeft w:val="0"/>
              <w:marRight w:val="0"/>
              <w:marTop w:val="0"/>
              <w:marBottom w:val="0"/>
              <w:divBdr>
                <w:top w:val="none" w:sz="0" w:space="0" w:color="auto"/>
                <w:left w:val="none" w:sz="0" w:space="0" w:color="auto"/>
                <w:bottom w:val="none" w:sz="0" w:space="0" w:color="auto"/>
                <w:right w:val="none" w:sz="0" w:space="0" w:color="auto"/>
              </w:divBdr>
            </w:div>
            <w:div w:id="1764689900">
              <w:marLeft w:val="0"/>
              <w:marRight w:val="0"/>
              <w:marTop w:val="0"/>
              <w:marBottom w:val="0"/>
              <w:divBdr>
                <w:top w:val="none" w:sz="0" w:space="0" w:color="auto"/>
                <w:left w:val="none" w:sz="0" w:space="0" w:color="auto"/>
                <w:bottom w:val="none" w:sz="0" w:space="0" w:color="auto"/>
                <w:right w:val="none" w:sz="0" w:space="0" w:color="auto"/>
              </w:divBdr>
            </w:div>
            <w:div w:id="1764690080">
              <w:marLeft w:val="0"/>
              <w:marRight w:val="0"/>
              <w:marTop w:val="0"/>
              <w:marBottom w:val="0"/>
              <w:divBdr>
                <w:top w:val="none" w:sz="0" w:space="0" w:color="auto"/>
                <w:left w:val="none" w:sz="0" w:space="0" w:color="auto"/>
                <w:bottom w:val="none" w:sz="0" w:space="0" w:color="auto"/>
                <w:right w:val="none" w:sz="0" w:space="0" w:color="auto"/>
              </w:divBdr>
            </w:div>
            <w:div w:id="1764690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243">
      <w:marLeft w:val="0"/>
      <w:marRight w:val="0"/>
      <w:marTop w:val="0"/>
      <w:marBottom w:val="0"/>
      <w:divBdr>
        <w:top w:val="none" w:sz="0" w:space="0" w:color="auto"/>
        <w:left w:val="none" w:sz="0" w:space="0" w:color="auto"/>
        <w:bottom w:val="none" w:sz="0" w:space="0" w:color="auto"/>
        <w:right w:val="none" w:sz="0" w:space="0" w:color="auto"/>
      </w:divBdr>
    </w:div>
    <w:div w:id="1764690246">
      <w:marLeft w:val="0"/>
      <w:marRight w:val="0"/>
      <w:marTop w:val="0"/>
      <w:marBottom w:val="0"/>
      <w:divBdr>
        <w:top w:val="none" w:sz="0" w:space="0" w:color="auto"/>
        <w:left w:val="none" w:sz="0" w:space="0" w:color="auto"/>
        <w:bottom w:val="none" w:sz="0" w:space="0" w:color="auto"/>
        <w:right w:val="none" w:sz="0" w:space="0" w:color="auto"/>
      </w:divBdr>
      <w:divsChild>
        <w:div w:id="1764689871">
          <w:marLeft w:val="0"/>
          <w:marRight w:val="0"/>
          <w:marTop w:val="0"/>
          <w:marBottom w:val="0"/>
          <w:divBdr>
            <w:top w:val="none" w:sz="0" w:space="0" w:color="auto"/>
            <w:left w:val="none" w:sz="0" w:space="0" w:color="auto"/>
            <w:bottom w:val="none" w:sz="0" w:space="0" w:color="auto"/>
            <w:right w:val="none" w:sz="0" w:space="0" w:color="auto"/>
          </w:divBdr>
          <w:divsChild>
            <w:div w:id="1764689077">
              <w:marLeft w:val="0"/>
              <w:marRight w:val="0"/>
              <w:marTop w:val="0"/>
              <w:marBottom w:val="0"/>
              <w:divBdr>
                <w:top w:val="none" w:sz="0" w:space="0" w:color="auto"/>
                <w:left w:val="none" w:sz="0" w:space="0" w:color="auto"/>
                <w:bottom w:val="none" w:sz="0" w:space="0" w:color="auto"/>
                <w:right w:val="none" w:sz="0" w:space="0" w:color="auto"/>
              </w:divBdr>
            </w:div>
            <w:div w:id="1764689861">
              <w:marLeft w:val="0"/>
              <w:marRight w:val="0"/>
              <w:marTop w:val="0"/>
              <w:marBottom w:val="0"/>
              <w:divBdr>
                <w:top w:val="none" w:sz="0" w:space="0" w:color="auto"/>
                <w:left w:val="none" w:sz="0" w:space="0" w:color="auto"/>
                <w:bottom w:val="none" w:sz="0" w:space="0" w:color="auto"/>
                <w:right w:val="none" w:sz="0" w:space="0" w:color="auto"/>
              </w:divBdr>
            </w:div>
            <w:div w:id="1764690035">
              <w:marLeft w:val="0"/>
              <w:marRight w:val="0"/>
              <w:marTop w:val="0"/>
              <w:marBottom w:val="0"/>
              <w:divBdr>
                <w:top w:val="none" w:sz="0" w:space="0" w:color="auto"/>
                <w:left w:val="none" w:sz="0" w:space="0" w:color="auto"/>
                <w:bottom w:val="none" w:sz="0" w:space="0" w:color="auto"/>
                <w:right w:val="none" w:sz="0" w:space="0" w:color="auto"/>
              </w:divBdr>
            </w:div>
            <w:div w:id="1764690089">
              <w:marLeft w:val="0"/>
              <w:marRight w:val="0"/>
              <w:marTop w:val="0"/>
              <w:marBottom w:val="0"/>
              <w:divBdr>
                <w:top w:val="none" w:sz="0" w:space="0" w:color="auto"/>
                <w:left w:val="none" w:sz="0" w:space="0" w:color="auto"/>
                <w:bottom w:val="none" w:sz="0" w:space="0" w:color="auto"/>
                <w:right w:val="none" w:sz="0" w:space="0" w:color="auto"/>
              </w:divBdr>
            </w:div>
            <w:div w:id="1764690277">
              <w:marLeft w:val="0"/>
              <w:marRight w:val="0"/>
              <w:marTop w:val="0"/>
              <w:marBottom w:val="0"/>
              <w:divBdr>
                <w:top w:val="none" w:sz="0" w:space="0" w:color="auto"/>
                <w:left w:val="none" w:sz="0" w:space="0" w:color="auto"/>
                <w:bottom w:val="none" w:sz="0" w:space="0" w:color="auto"/>
                <w:right w:val="none" w:sz="0" w:space="0" w:color="auto"/>
              </w:divBdr>
            </w:div>
            <w:div w:id="1764690509">
              <w:marLeft w:val="0"/>
              <w:marRight w:val="0"/>
              <w:marTop w:val="0"/>
              <w:marBottom w:val="0"/>
              <w:divBdr>
                <w:top w:val="none" w:sz="0" w:space="0" w:color="auto"/>
                <w:left w:val="none" w:sz="0" w:space="0" w:color="auto"/>
                <w:bottom w:val="none" w:sz="0" w:space="0" w:color="auto"/>
                <w:right w:val="none" w:sz="0" w:space="0" w:color="auto"/>
              </w:divBdr>
            </w:div>
            <w:div w:id="1764690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247">
      <w:marLeft w:val="0"/>
      <w:marRight w:val="0"/>
      <w:marTop w:val="0"/>
      <w:marBottom w:val="0"/>
      <w:divBdr>
        <w:top w:val="none" w:sz="0" w:space="0" w:color="auto"/>
        <w:left w:val="none" w:sz="0" w:space="0" w:color="auto"/>
        <w:bottom w:val="none" w:sz="0" w:space="0" w:color="auto"/>
        <w:right w:val="none" w:sz="0" w:space="0" w:color="auto"/>
      </w:divBdr>
      <w:divsChild>
        <w:div w:id="1764689865">
          <w:marLeft w:val="0"/>
          <w:marRight w:val="0"/>
          <w:marTop w:val="0"/>
          <w:marBottom w:val="0"/>
          <w:divBdr>
            <w:top w:val="none" w:sz="0" w:space="0" w:color="auto"/>
            <w:left w:val="none" w:sz="0" w:space="0" w:color="auto"/>
            <w:bottom w:val="none" w:sz="0" w:space="0" w:color="auto"/>
            <w:right w:val="none" w:sz="0" w:space="0" w:color="auto"/>
          </w:divBdr>
        </w:div>
      </w:divsChild>
    </w:div>
    <w:div w:id="1764690249">
      <w:marLeft w:val="0"/>
      <w:marRight w:val="0"/>
      <w:marTop w:val="0"/>
      <w:marBottom w:val="0"/>
      <w:divBdr>
        <w:top w:val="none" w:sz="0" w:space="0" w:color="auto"/>
        <w:left w:val="none" w:sz="0" w:space="0" w:color="auto"/>
        <w:bottom w:val="none" w:sz="0" w:space="0" w:color="auto"/>
        <w:right w:val="none" w:sz="0" w:space="0" w:color="auto"/>
      </w:divBdr>
    </w:div>
    <w:div w:id="1764690255">
      <w:marLeft w:val="0"/>
      <w:marRight w:val="0"/>
      <w:marTop w:val="0"/>
      <w:marBottom w:val="0"/>
      <w:divBdr>
        <w:top w:val="none" w:sz="0" w:space="0" w:color="auto"/>
        <w:left w:val="none" w:sz="0" w:space="0" w:color="auto"/>
        <w:bottom w:val="none" w:sz="0" w:space="0" w:color="auto"/>
        <w:right w:val="none" w:sz="0" w:space="0" w:color="auto"/>
      </w:divBdr>
      <w:divsChild>
        <w:div w:id="1764689482">
          <w:marLeft w:val="0"/>
          <w:marRight w:val="0"/>
          <w:marTop w:val="0"/>
          <w:marBottom w:val="0"/>
          <w:divBdr>
            <w:top w:val="none" w:sz="0" w:space="0" w:color="auto"/>
            <w:left w:val="none" w:sz="0" w:space="0" w:color="auto"/>
            <w:bottom w:val="none" w:sz="0" w:space="0" w:color="auto"/>
            <w:right w:val="none" w:sz="0" w:space="0" w:color="auto"/>
          </w:divBdr>
          <w:divsChild>
            <w:div w:id="1764689131">
              <w:marLeft w:val="0"/>
              <w:marRight w:val="0"/>
              <w:marTop w:val="0"/>
              <w:marBottom w:val="0"/>
              <w:divBdr>
                <w:top w:val="none" w:sz="0" w:space="0" w:color="auto"/>
                <w:left w:val="none" w:sz="0" w:space="0" w:color="auto"/>
                <w:bottom w:val="none" w:sz="0" w:space="0" w:color="auto"/>
                <w:right w:val="none" w:sz="0" w:space="0" w:color="auto"/>
              </w:divBdr>
            </w:div>
            <w:div w:id="1764690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258">
      <w:marLeft w:val="0"/>
      <w:marRight w:val="0"/>
      <w:marTop w:val="0"/>
      <w:marBottom w:val="0"/>
      <w:divBdr>
        <w:top w:val="none" w:sz="0" w:space="0" w:color="auto"/>
        <w:left w:val="none" w:sz="0" w:space="0" w:color="auto"/>
        <w:bottom w:val="none" w:sz="0" w:space="0" w:color="auto"/>
        <w:right w:val="none" w:sz="0" w:space="0" w:color="auto"/>
      </w:divBdr>
    </w:div>
    <w:div w:id="1764690260">
      <w:marLeft w:val="0"/>
      <w:marRight w:val="0"/>
      <w:marTop w:val="0"/>
      <w:marBottom w:val="0"/>
      <w:divBdr>
        <w:top w:val="none" w:sz="0" w:space="0" w:color="auto"/>
        <w:left w:val="none" w:sz="0" w:space="0" w:color="auto"/>
        <w:bottom w:val="none" w:sz="0" w:space="0" w:color="auto"/>
        <w:right w:val="none" w:sz="0" w:space="0" w:color="auto"/>
      </w:divBdr>
      <w:divsChild>
        <w:div w:id="1764689280">
          <w:marLeft w:val="0"/>
          <w:marRight w:val="0"/>
          <w:marTop w:val="0"/>
          <w:marBottom w:val="0"/>
          <w:divBdr>
            <w:top w:val="none" w:sz="0" w:space="0" w:color="auto"/>
            <w:left w:val="none" w:sz="0" w:space="0" w:color="auto"/>
            <w:bottom w:val="none" w:sz="0" w:space="0" w:color="auto"/>
            <w:right w:val="none" w:sz="0" w:space="0" w:color="auto"/>
          </w:divBdr>
        </w:div>
      </w:divsChild>
    </w:div>
    <w:div w:id="1764690261">
      <w:marLeft w:val="0"/>
      <w:marRight w:val="0"/>
      <w:marTop w:val="0"/>
      <w:marBottom w:val="0"/>
      <w:divBdr>
        <w:top w:val="none" w:sz="0" w:space="0" w:color="auto"/>
        <w:left w:val="none" w:sz="0" w:space="0" w:color="auto"/>
        <w:bottom w:val="none" w:sz="0" w:space="0" w:color="auto"/>
        <w:right w:val="none" w:sz="0" w:space="0" w:color="auto"/>
      </w:divBdr>
      <w:divsChild>
        <w:div w:id="1764690168">
          <w:marLeft w:val="0"/>
          <w:marRight w:val="0"/>
          <w:marTop w:val="0"/>
          <w:marBottom w:val="0"/>
          <w:divBdr>
            <w:top w:val="none" w:sz="0" w:space="0" w:color="auto"/>
            <w:left w:val="none" w:sz="0" w:space="0" w:color="auto"/>
            <w:bottom w:val="none" w:sz="0" w:space="0" w:color="auto"/>
            <w:right w:val="none" w:sz="0" w:space="0" w:color="auto"/>
          </w:divBdr>
        </w:div>
      </w:divsChild>
    </w:div>
    <w:div w:id="1764690263">
      <w:marLeft w:val="0"/>
      <w:marRight w:val="0"/>
      <w:marTop w:val="0"/>
      <w:marBottom w:val="0"/>
      <w:divBdr>
        <w:top w:val="none" w:sz="0" w:space="0" w:color="auto"/>
        <w:left w:val="none" w:sz="0" w:space="0" w:color="auto"/>
        <w:bottom w:val="none" w:sz="0" w:space="0" w:color="auto"/>
        <w:right w:val="none" w:sz="0" w:space="0" w:color="auto"/>
      </w:divBdr>
    </w:div>
    <w:div w:id="1764690268">
      <w:marLeft w:val="0"/>
      <w:marRight w:val="0"/>
      <w:marTop w:val="0"/>
      <w:marBottom w:val="0"/>
      <w:divBdr>
        <w:top w:val="none" w:sz="0" w:space="0" w:color="auto"/>
        <w:left w:val="none" w:sz="0" w:space="0" w:color="auto"/>
        <w:bottom w:val="none" w:sz="0" w:space="0" w:color="auto"/>
        <w:right w:val="none" w:sz="0" w:space="0" w:color="auto"/>
      </w:divBdr>
      <w:divsChild>
        <w:div w:id="1764690108">
          <w:marLeft w:val="0"/>
          <w:marRight w:val="0"/>
          <w:marTop w:val="0"/>
          <w:marBottom w:val="0"/>
          <w:divBdr>
            <w:top w:val="none" w:sz="0" w:space="0" w:color="auto"/>
            <w:left w:val="none" w:sz="0" w:space="0" w:color="auto"/>
            <w:bottom w:val="none" w:sz="0" w:space="0" w:color="auto"/>
            <w:right w:val="none" w:sz="0" w:space="0" w:color="auto"/>
          </w:divBdr>
          <w:divsChild>
            <w:div w:id="1764689097">
              <w:marLeft w:val="0"/>
              <w:marRight w:val="0"/>
              <w:marTop w:val="0"/>
              <w:marBottom w:val="0"/>
              <w:divBdr>
                <w:top w:val="none" w:sz="0" w:space="0" w:color="auto"/>
                <w:left w:val="none" w:sz="0" w:space="0" w:color="auto"/>
                <w:bottom w:val="none" w:sz="0" w:space="0" w:color="auto"/>
                <w:right w:val="none" w:sz="0" w:space="0" w:color="auto"/>
              </w:divBdr>
            </w:div>
            <w:div w:id="1764690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272">
      <w:marLeft w:val="0"/>
      <w:marRight w:val="0"/>
      <w:marTop w:val="0"/>
      <w:marBottom w:val="0"/>
      <w:divBdr>
        <w:top w:val="none" w:sz="0" w:space="0" w:color="auto"/>
        <w:left w:val="none" w:sz="0" w:space="0" w:color="auto"/>
        <w:bottom w:val="none" w:sz="0" w:space="0" w:color="auto"/>
        <w:right w:val="none" w:sz="0" w:space="0" w:color="auto"/>
      </w:divBdr>
      <w:divsChild>
        <w:div w:id="1764690120">
          <w:marLeft w:val="0"/>
          <w:marRight w:val="0"/>
          <w:marTop w:val="0"/>
          <w:marBottom w:val="0"/>
          <w:divBdr>
            <w:top w:val="none" w:sz="0" w:space="0" w:color="auto"/>
            <w:left w:val="none" w:sz="0" w:space="0" w:color="auto"/>
            <w:bottom w:val="none" w:sz="0" w:space="0" w:color="auto"/>
            <w:right w:val="none" w:sz="0" w:space="0" w:color="auto"/>
          </w:divBdr>
          <w:divsChild>
            <w:div w:id="1764689074">
              <w:marLeft w:val="0"/>
              <w:marRight w:val="0"/>
              <w:marTop w:val="0"/>
              <w:marBottom w:val="0"/>
              <w:divBdr>
                <w:top w:val="none" w:sz="0" w:space="0" w:color="auto"/>
                <w:left w:val="none" w:sz="0" w:space="0" w:color="auto"/>
                <w:bottom w:val="none" w:sz="0" w:space="0" w:color="auto"/>
                <w:right w:val="none" w:sz="0" w:space="0" w:color="auto"/>
              </w:divBdr>
            </w:div>
            <w:div w:id="1764689353">
              <w:marLeft w:val="0"/>
              <w:marRight w:val="0"/>
              <w:marTop w:val="0"/>
              <w:marBottom w:val="0"/>
              <w:divBdr>
                <w:top w:val="none" w:sz="0" w:space="0" w:color="auto"/>
                <w:left w:val="none" w:sz="0" w:space="0" w:color="auto"/>
                <w:bottom w:val="none" w:sz="0" w:space="0" w:color="auto"/>
                <w:right w:val="none" w:sz="0" w:space="0" w:color="auto"/>
              </w:divBdr>
            </w:div>
            <w:div w:id="1764689499">
              <w:marLeft w:val="0"/>
              <w:marRight w:val="0"/>
              <w:marTop w:val="0"/>
              <w:marBottom w:val="0"/>
              <w:divBdr>
                <w:top w:val="none" w:sz="0" w:space="0" w:color="auto"/>
                <w:left w:val="none" w:sz="0" w:space="0" w:color="auto"/>
                <w:bottom w:val="none" w:sz="0" w:space="0" w:color="auto"/>
                <w:right w:val="none" w:sz="0" w:space="0" w:color="auto"/>
              </w:divBdr>
            </w:div>
            <w:div w:id="1764689528">
              <w:marLeft w:val="0"/>
              <w:marRight w:val="0"/>
              <w:marTop w:val="0"/>
              <w:marBottom w:val="0"/>
              <w:divBdr>
                <w:top w:val="none" w:sz="0" w:space="0" w:color="auto"/>
                <w:left w:val="none" w:sz="0" w:space="0" w:color="auto"/>
                <w:bottom w:val="none" w:sz="0" w:space="0" w:color="auto"/>
                <w:right w:val="none" w:sz="0" w:space="0" w:color="auto"/>
              </w:divBdr>
            </w:div>
            <w:div w:id="1764689608">
              <w:marLeft w:val="0"/>
              <w:marRight w:val="0"/>
              <w:marTop w:val="0"/>
              <w:marBottom w:val="0"/>
              <w:divBdr>
                <w:top w:val="none" w:sz="0" w:space="0" w:color="auto"/>
                <w:left w:val="none" w:sz="0" w:space="0" w:color="auto"/>
                <w:bottom w:val="none" w:sz="0" w:space="0" w:color="auto"/>
                <w:right w:val="none" w:sz="0" w:space="0" w:color="auto"/>
              </w:divBdr>
            </w:div>
            <w:div w:id="1764689705">
              <w:marLeft w:val="0"/>
              <w:marRight w:val="0"/>
              <w:marTop w:val="0"/>
              <w:marBottom w:val="0"/>
              <w:divBdr>
                <w:top w:val="none" w:sz="0" w:space="0" w:color="auto"/>
                <w:left w:val="none" w:sz="0" w:space="0" w:color="auto"/>
                <w:bottom w:val="none" w:sz="0" w:space="0" w:color="auto"/>
                <w:right w:val="none" w:sz="0" w:space="0" w:color="auto"/>
              </w:divBdr>
            </w:div>
            <w:div w:id="1764689769">
              <w:marLeft w:val="0"/>
              <w:marRight w:val="0"/>
              <w:marTop w:val="0"/>
              <w:marBottom w:val="0"/>
              <w:divBdr>
                <w:top w:val="none" w:sz="0" w:space="0" w:color="auto"/>
                <w:left w:val="none" w:sz="0" w:space="0" w:color="auto"/>
                <w:bottom w:val="none" w:sz="0" w:space="0" w:color="auto"/>
                <w:right w:val="none" w:sz="0" w:space="0" w:color="auto"/>
              </w:divBdr>
            </w:div>
            <w:div w:id="1764689797">
              <w:marLeft w:val="0"/>
              <w:marRight w:val="0"/>
              <w:marTop w:val="0"/>
              <w:marBottom w:val="0"/>
              <w:divBdr>
                <w:top w:val="none" w:sz="0" w:space="0" w:color="auto"/>
                <w:left w:val="none" w:sz="0" w:space="0" w:color="auto"/>
                <w:bottom w:val="none" w:sz="0" w:space="0" w:color="auto"/>
                <w:right w:val="none" w:sz="0" w:space="0" w:color="auto"/>
              </w:divBdr>
            </w:div>
            <w:div w:id="1764689925">
              <w:marLeft w:val="0"/>
              <w:marRight w:val="0"/>
              <w:marTop w:val="0"/>
              <w:marBottom w:val="0"/>
              <w:divBdr>
                <w:top w:val="none" w:sz="0" w:space="0" w:color="auto"/>
                <w:left w:val="none" w:sz="0" w:space="0" w:color="auto"/>
                <w:bottom w:val="none" w:sz="0" w:space="0" w:color="auto"/>
                <w:right w:val="none" w:sz="0" w:space="0" w:color="auto"/>
              </w:divBdr>
            </w:div>
            <w:div w:id="1764690064">
              <w:marLeft w:val="0"/>
              <w:marRight w:val="0"/>
              <w:marTop w:val="0"/>
              <w:marBottom w:val="0"/>
              <w:divBdr>
                <w:top w:val="none" w:sz="0" w:space="0" w:color="auto"/>
                <w:left w:val="none" w:sz="0" w:space="0" w:color="auto"/>
                <w:bottom w:val="none" w:sz="0" w:space="0" w:color="auto"/>
                <w:right w:val="none" w:sz="0" w:space="0" w:color="auto"/>
              </w:divBdr>
            </w:div>
            <w:div w:id="1764690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274">
      <w:marLeft w:val="0"/>
      <w:marRight w:val="0"/>
      <w:marTop w:val="0"/>
      <w:marBottom w:val="0"/>
      <w:divBdr>
        <w:top w:val="none" w:sz="0" w:space="0" w:color="auto"/>
        <w:left w:val="none" w:sz="0" w:space="0" w:color="auto"/>
        <w:bottom w:val="none" w:sz="0" w:space="0" w:color="auto"/>
        <w:right w:val="none" w:sz="0" w:space="0" w:color="auto"/>
      </w:divBdr>
    </w:div>
    <w:div w:id="1764690276">
      <w:marLeft w:val="0"/>
      <w:marRight w:val="0"/>
      <w:marTop w:val="0"/>
      <w:marBottom w:val="0"/>
      <w:divBdr>
        <w:top w:val="none" w:sz="0" w:space="0" w:color="auto"/>
        <w:left w:val="none" w:sz="0" w:space="0" w:color="auto"/>
        <w:bottom w:val="none" w:sz="0" w:space="0" w:color="auto"/>
        <w:right w:val="none" w:sz="0" w:space="0" w:color="auto"/>
      </w:divBdr>
      <w:divsChild>
        <w:div w:id="1764690331">
          <w:marLeft w:val="0"/>
          <w:marRight w:val="0"/>
          <w:marTop w:val="0"/>
          <w:marBottom w:val="0"/>
          <w:divBdr>
            <w:top w:val="none" w:sz="0" w:space="0" w:color="auto"/>
            <w:left w:val="none" w:sz="0" w:space="0" w:color="auto"/>
            <w:bottom w:val="none" w:sz="0" w:space="0" w:color="auto"/>
            <w:right w:val="none" w:sz="0" w:space="0" w:color="auto"/>
          </w:divBdr>
          <w:divsChild>
            <w:div w:id="1764689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279">
      <w:marLeft w:val="0"/>
      <w:marRight w:val="0"/>
      <w:marTop w:val="0"/>
      <w:marBottom w:val="0"/>
      <w:divBdr>
        <w:top w:val="none" w:sz="0" w:space="0" w:color="auto"/>
        <w:left w:val="none" w:sz="0" w:space="0" w:color="auto"/>
        <w:bottom w:val="none" w:sz="0" w:space="0" w:color="auto"/>
        <w:right w:val="none" w:sz="0" w:space="0" w:color="auto"/>
      </w:divBdr>
      <w:divsChild>
        <w:div w:id="1764689872">
          <w:marLeft w:val="0"/>
          <w:marRight w:val="0"/>
          <w:marTop w:val="0"/>
          <w:marBottom w:val="0"/>
          <w:divBdr>
            <w:top w:val="none" w:sz="0" w:space="0" w:color="auto"/>
            <w:left w:val="none" w:sz="0" w:space="0" w:color="auto"/>
            <w:bottom w:val="none" w:sz="0" w:space="0" w:color="auto"/>
            <w:right w:val="none" w:sz="0" w:space="0" w:color="auto"/>
          </w:divBdr>
        </w:div>
      </w:divsChild>
    </w:div>
    <w:div w:id="1764690280">
      <w:marLeft w:val="0"/>
      <w:marRight w:val="0"/>
      <w:marTop w:val="0"/>
      <w:marBottom w:val="0"/>
      <w:divBdr>
        <w:top w:val="none" w:sz="0" w:space="0" w:color="auto"/>
        <w:left w:val="none" w:sz="0" w:space="0" w:color="auto"/>
        <w:bottom w:val="none" w:sz="0" w:space="0" w:color="auto"/>
        <w:right w:val="none" w:sz="0" w:space="0" w:color="auto"/>
      </w:divBdr>
      <w:divsChild>
        <w:div w:id="1764690572">
          <w:marLeft w:val="0"/>
          <w:marRight w:val="0"/>
          <w:marTop w:val="0"/>
          <w:marBottom w:val="0"/>
          <w:divBdr>
            <w:top w:val="none" w:sz="0" w:space="0" w:color="auto"/>
            <w:left w:val="none" w:sz="0" w:space="0" w:color="auto"/>
            <w:bottom w:val="none" w:sz="0" w:space="0" w:color="auto"/>
            <w:right w:val="none" w:sz="0" w:space="0" w:color="auto"/>
          </w:divBdr>
        </w:div>
      </w:divsChild>
    </w:div>
    <w:div w:id="1764690284">
      <w:marLeft w:val="0"/>
      <w:marRight w:val="0"/>
      <w:marTop w:val="0"/>
      <w:marBottom w:val="0"/>
      <w:divBdr>
        <w:top w:val="none" w:sz="0" w:space="0" w:color="auto"/>
        <w:left w:val="none" w:sz="0" w:space="0" w:color="auto"/>
        <w:bottom w:val="none" w:sz="0" w:space="0" w:color="auto"/>
        <w:right w:val="none" w:sz="0" w:space="0" w:color="auto"/>
      </w:divBdr>
      <w:divsChild>
        <w:div w:id="1764689476">
          <w:marLeft w:val="0"/>
          <w:marRight w:val="0"/>
          <w:marTop w:val="0"/>
          <w:marBottom w:val="0"/>
          <w:divBdr>
            <w:top w:val="none" w:sz="0" w:space="0" w:color="auto"/>
            <w:left w:val="none" w:sz="0" w:space="0" w:color="auto"/>
            <w:bottom w:val="none" w:sz="0" w:space="0" w:color="auto"/>
            <w:right w:val="none" w:sz="0" w:space="0" w:color="auto"/>
          </w:divBdr>
        </w:div>
      </w:divsChild>
    </w:div>
    <w:div w:id="1764690285">
      <w:marLeft w:val="0"/>
      <w:marRight w:val="0"/>
      <w:marTop w:val="0"/>
      <w:marBottom w:val="0"/>
      <w:divBdr>
        <w:top w:val="none" w:sz="0" w:space="0" w:color="auto"/>
        <w:left w:val="none" w:sz="0" w:space="0" w:color="auto"/>
        <w:bottom w:val="none" w:sz="0" w:space="0" w:color="auto"/>
        <w:right w:val="none" w:sz="0" w:space="0" w:color="auto"/>
      </w:divBdr>
    </w:div>
    <w:div w:id="1764690287">
      <w:marLeft w:val="0"/>
      <w:marRight w:val="0"/>
      <w:marTop w:val="0"/>
      <w:marBottom w:val="0"/>
      <w:divBdr>
        <w:top w:val="none" w:sz="0" w:space="0" w:color="auto"/>
        <w:left w:val="none" w:sz="0" w:space="0" w:color="auto"/>
        <w:bottom w:val="none" w:sz="0" w:space="0" w:color="auto"/>
        <w:right w:val="none" w:sz="0" w:space="0" w:color="auto"/>
      </w:divBdr>
      <w:divsChild>
        <w:div w:id="1764689748">
          <w:marLeft w:val="0"/>
          <w:marRight w:val="0"/>
          <w:marTop w:val="0"/>
          <w:marBottom w:val="0"/>
          <w:divBdr>
            <w:top w:val="none" w:sz="0" w:space="0" w:color="auto"/>
            <w:left w:val="none" w:sz="0" w:space="0" w:color="auto"/>
            <w:bottom w:val="none" w:sz="0" w:space="0" w:color="auto"/>
            <w:right w:val="none" w:sz="0" w:space="0" w:color="auto"/>
          </w:divBdr>
        </w:div>
      </w:divsChild>
    </w:div>
    <w:div w:id="1764690288">
      <w:marLeft w:val="0"/>
      <w:marRight w:val="0"/>
      <w:marTop w:val="0"/>
      <w:marBottom w:val="0"/>
      <w:divBdr>
        <w:top w:val="none" w:sz="0" w:space="0" w:color="auto"/>
        <w:left w:val="none" w:sz="0" w:space="0" w:color="auto"/>
        <w:bottom w:val="none" w:sz="0" w:space="0" w:color="auto"/>
        <w:right w:val="none" w:sz="0" w:space="0" w:color="auto"/>
      </w:divBdr>
    </w:div>
    <w:div w:id="1764690289">
      <w:marLeft w:val="0"/>
      <w:marRight w:val="0"/>
      <w:marTop w:val="0"/>
      <w:marBottom w:val="0"/>
      <w:divBdr>
        <w:top w:val="none" w:sz="0" w:space="0" w:color="auto"/>
        <w:left w:val="none" w:sz="0" w:space="0" w:color="auto"/>
        <w:bottom w:val="none" w:sz="0" w:space="0" w:color="auto"/>
        <w:right w:val="none" w:sz="0" w:space="0" w:color="auto"/>
      </w:divBdr>
    </w:div>
    <w:div w:id="1764690291">
      <w:marLeft w:val="0"/>
      <w:marRight w:val="0"/>
      <w:marTop w:val="0"/>
      <w:marBottom w:val="0"/>
      <w:divBdr>
        <w:top w:val="none" w:sz="0" w:space="0" w:color="auto"/>
        <w:left w:val="none" w:sz="0" w:space="0" w:color="auto"/>
        <w:bottom w:val="none" w:sz="0" w:space="0" w:color="auto"/>
        <w:right w:val="none" w:sz="0" w:space="0" w:color="auto"/>
      </w:divBdr>
    </w:div>
    <w:div w:id="1764690294">
      <w:marLeft w:val="0"/>
      <w:marRight w:val="0"/>
      <w:marTop w:val="0"/>
      <w:marBottom w:val="0"/>
      <w:divBdr>
        <w:top w:val="none" w:sz="0" w:space="0" w:color="auto"/>
        <w:left w:val="none" w:sz="0" w:space="0" w:color="auto"/>
        <w:bottom w:val="none" w:sz="0" w:space="0" w:color="auto"/>
        <w:right w:val="none" w:sz="0" w:space="0" w:color="auto"/>
      </w:divBdr>
    </w:div>
    <w:div w:id="1764690295">
      <w:marLeft w:val="0"/>
      <w:marRight w:val="0"/>
      <w:marTop w:val="0"/>
      <w:marBottom w:val="0"/>
      <w:divBdr>
        <w:top w:val="none" w:sz="0" w:space="0" w:color="auto"/>
        <w:left w:val="none" w:sz="0" w:space="0" w:color="auto"/>
        <w:bottom w:val="none" w:sz="0" w:space="0" w:color="auto"/>
        <w:right w:val="none" w:sz="0" w:space="0" w:color="auto"/>
      </w:divBdr>
    </w:div>
    <w:div w:id="1764690298">
      <w:marLeft w:val="0"/>
      <w:marRight w:val="0"/>
      <w:marTop w:val="0"/>
      <w:marBottom w:val="0"/>
      <w:divBdr>
        <w:top w:val="none" w:sz="0" w:space="0" w:color="auto"/>
        <w:left w:val="none" w:sz="0" w:space="0" w:color="auto"/>
        <w:bottom w:val="none" w:sz="0" w:space="0" w:color="auto"/>
        <w:right w:val="none" w:sz="0" w:space="0" w:color="auto"/>
      </w:divBdr>
      <w:divsChild>
        <w:div w:id="1764690470">
          <w:marLeft w:val="0"/>
          <w:marRight w:val="0"/>
          <w:marTop w:val="0"/>
          <w:marBottom w:val="0"/>
          <w:divBdr>
            <w:top w:val="none" w:sz="0" w:space="0" w:color="auto"/>
            <w:left w:val="none" w:sz="0" w:space="0" w:color="auto"/>
            <w:bottom w:val="none" w:sz="0" w:space="0" w:color="auto"/>
            <w:right w:val="none" w:sz="0" w:space="0" w:color="auto"/>
          </w:divBdr>
          <w:divsChild>
            <w:div w:id="1764689107">
              <w:marLeft w:val="0"/>
              <w:marRight w:val="0"/>
              <w:marTop w:val="0"/>
              <w:marBottom w:val="0"/>
              <w:divBdr>
                <w:top w:val="none" w:sz="0" w:space="0" w:color="auto"/>
                <w:left w:val="none" w:sz="0" w:space="0" w:color="auto"/>
                <w:bottom w:val="none" w:sz="0" w:space="0" w:color="auto"/>
                <w:right w:val="none" w:sz="0" w:space="0" w:color="auto"/>
              </w:divBdr>
            </w:div>
            <w:div w:id="1764689479">
              <w:marLeft w:val="0"/>
              <w:marRight w:val="0"/>
              <w:marTop w:val="0"/>
              <w:marBottom w:val="0"/>
              <w:divBdr>
                <w:top w:val="none" w:sz="0" w:space="0" w:color="auto"/>
                <w:left w:val="none" w:sz="0" w:space="0" w:color="auto"/>
                <w:bottom w:val="none" w:sz="0" w:space="0" w:color="auto"/>
                <w:right w:val="none" w:sz="0" w:space="0" w:color="auto"/>
              </w:divBdr>
            </w:div>
            <w:div w:id="1764689646">
              <w:marLeft w:val="0"/>
              <w:marRight w:val="0"/>
              <w:marTop w:val="0"/>
              <w:marBottom w:val="0"/>
              <w:divBdr>
                <w:top w:val="none" w:sz="0" w:space="0" w:color="auto"/>
                <w:left w:val="none" w:sz="0" w:space="0" w:color="auto"/>
                <w:bottom w:val="none" w:sz="0" w:space="0" w:color="auto"/>
                <w:right w:val="none" w:sz="0" w:space="0" w:color="auto"/>
              </w:divBdr>
            </w:div>
            <w:div w:id="1764689754">
              <w:marLeft w:val="0"/>
              <w:marRight w:val="0"/>
              <w:marTop w:val="0"/>
              <w:marBottom w:val="0"/>
              <w:divBdr>
                <w:top w:val="none" w:sz="0" w:space="0" w:color="auto"/>
                <w:left w:val="none" w:sz="0" w:space="0" w:color="auto"/>
                <w:bottom w:val="none" w:sz="0" w:space="0" w:color="auto"/>
                <w:right w:val="none" w:sz="0" w:space="0" w:color="auto"/>
              </w:divBdr>
            </w:div>
            <w:div w:id="1764690059">
              <w:marLeft w:val="0"/>
              <w:marRight w:val="0"/>
              <w:marTop w:val="0"/>
              <w:marBottom w:val="0"/>
              <w:divBdr>
                <w:top w:val="none" w:sz="0" w:space="0" w:color="auto"/>
                <w:left w:val="none" w:sz="0" w:space="0" w:color="auto"/>
                <w:bottom w:val="none" w:sz="0" w:space="0" w:color="auto"/>
                <w:right w:val="none" w:sz="0" w:space="0" w:color="auto"/>
              </w:divBdr>
            </w:div>
            <w:div w:id="1764690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300">
      <w:marLeft w:val="0"/>
      <w:marRight w:val="0"/>
      <w:marTop w:val="0"/>
      <w:marBottom w:val="0"/>
      <w:divBdr>
        <w:top w:val="none" w:sz="0" w:space="0" w:color="auto"/>
        <w:left w:val="none" w:sz="0" w:space="0" w:color="auto"/>
        <w:bottom w:val="none" w:sz="0" w:space="0" w:color="auto"/>
        <w:right w:val="none" w:sz="0" w:space="0" w:color="auto"/>
      </w:divBdr>
      <w:divsChild>
        <w:div w:id="1764689691">
          <w:marLeft w:val="0"/>
          <w:marRight w:val="0"/>
          <w:marTop w:val="0"/>
          <w:marBottom w:val="0"/>
          <w:divBdr>
            <w:top w:val="none" w:sz="0" w:space="0" w:color="auto"/>
            <w:left w:val="none" w:sz="0" w:space="0" w:color="auto"/>
            <w:bottom w:val="none" w:sz="0" w:space="0" w:color="auto"/>
            <w:right w:val="none" w:sz="0" w:space="0" w:color="auto"/>
          </w:divBdr>
        </w:div>
      </w:divsChild>
    </w:div>
    <w:div w:id="1764690302">
      <w:marLeft w:val="0"/>
      <w:marRight w:val="0"/>
      <w:marTop w:val="0"/>
      <w:marBottom w:val="0"/>
      <w:divBdr>
        <w:top w:val="none" w:sz="0" w:space="0" w:color="auto"/>
        <w:left w:val="none" w:sz="0" w:space="0" w:color="auto"/>
        <w:bottom w:val="none" w:sz="0" w:space="0" w:color="auto"/>
        <w:right w:val="none" w:sz="0" w:space="0" w:color="auto"/>
      </w:divBdr>
      <w:divsChild>
        <w:div w:id="1764690252">
          <w:marLeft w:val="0"/>
          <w:marRight w:val="0"/>
          <w:marTop w:val="0"/>
          <w:marBottom w:val="0"/>
          <w:divBdr>
            <w:top w:val="none" w:sz="0" w:space="0" w:color="auto"/>
            <w:left w:val="none" w:sz="0" w:space="0" w:color="auto"/>
            <w:bottom w:val="none" w:sz="0" w:space="0" w:color="auto"/>
            <w:right w:val="none" w:sz="0" w:space="0" w:color="auto"/>
          </w:divBdr>
        </w:div>
      </w:divsChild>
    </w:div>
    <w:div w:id="1764690305">
      <w:marLeft w:val="0"/>
      <w:marRight w:val="0"/>
      <w:marTop w:val="0"/>
      <w:marBottom w:val="0"/>
      <w:divBdr>
        <w:top w:val="none" w:sz="0" w:space="0" w:color="auto"/>
        <w:left w:val="none" w:sz="0" w:space="0" w:color="auto"/>
        <w:bottom w:val="none" w:sz="0" w:space="0" w:color="auto"/>
        <w:right w:val="none" w:sz="0" w:space="0" w:color="auto"/>
      </w:divBdr>
      <w:divsChild>
        <w:div w:id="1764689668">
          <w:marLeft w:val="0"/>
          <w:marRight w:val="0"/>
          <w:marTop w:val="0"/>
          <w:marBottom w:val="0"/>
          <w:divBdr>
            <w:top w:val="none" w:sz="0" w:space="0" w:color="auto"/>
            <w:left w:val="none" w:sz="0" w:space="0" w:color="auto"/>
            <w:bottom w:val="none" w:sz="0" w:space="0" w:color="auto"/>
            <w:right w:val="none" w:sz="0" w:space="0" w:color="auto"/>
          </w:divBdr>
          <w:divsChild>
            <w:div w:id="1764689106">
              <w:marLeft w:val="0"/>
              <w:marRight w:val="0"/>
              <w:marTop w:val="0"/>
              <w:marBottom w:val="0"/>
              <w:divBdr>
                <w:top w:val="none" w:sz="0" w:space="0" w:color="auto"/>
                <w:left w:val="none" w:sz="0" w:space="0" w:color="auto"/>
                <w:bottom w:val="none" w:sz="0" w:space="0" w:color="auto"/>
                <w:right w:val="none" w:sz="0" w:space="0" w:color="auto"/>
              </w:divBdr>
            </w:div>
            <w:div w:id="1764689205">
              <w:marLeft w:val="0"/>
              <w:marRight w:val="0"/>
              <w:marTop w:val="0"/>
              <w:marBottom w:val="0"/>
              <w:divBdr>
                <w:top w:val="none" w:sz="0" w:space="0" w:color="auto"/>
                <w:left w:val="none" w:sz="0" w:space="0" w:color="auto"/>
                <w:bottom w:val="none" w:sz="0" w:space="0" w:color="auto"/>
                <w:right w:val="none" w:sz="0" w:space="0" w:color="auto"/>
              </w:divBdr>
            </w:div>
            <w:div w:id="1764689251">
              <w:marLeft w:val="0"/>
              <w:marRight w:val="0"/>
              <w:marTop w:val="0"/>
              <w:marBottom w:val="0"/>
              <w:divBdr>
                <w:top w:val="none" w:sz="0" w:space="0" w:color="auto"/>
                <w:left w:val="none" w:sz="0" w:space="0" w:color="auto"/>
                <w:bottom w:val="none" w:sz="0" w:space="0" w:color="auto"/>
                <w:right w:val="none" w:sz="0" w:space="0" w:color="auto"/>
              </w:divBdr>
            </w:div>
            <w:div w:id="1764689448">
              <w:marLeft w:val="0"/>
              <w:marRight w:val="0"/>
              <w:marTop w:val="0"/>
              <w:marBottom w:val="0"/>
              <w:divBdr>
                <w:top w:val="none" w:sz="0" w:space="0" w:color="auto"/>
                <w:left w:val="none" w:sz="0" w:space="0" w:color="auto"/>
                <w:bottom w:val="none" w:sz="0" w:space="0" w:color="auto"/>
                <w:right w:val="none" w:sz="0" w:space="0" w:color="auto"/>
              </w:divBdr>
            </w:div>
            <w:div w:id="1764689659">
              <w:marLeft w:val="0"/>
              <w:marRight w:val="0"/>
              <w:marTop w:val="0"/>
              <w:marBottom w:val="0"/>
              <w:divBdr>
                <w:top w:val="none" w:sz="0" w:space="0" w:color="auto"/>
                <w:left w:val="none" w:sz="0" w:space="0" w:color="auto"/>
                <w:bottom w:val="none" w:sz="0" w:space="0" w:color="auto"/>
                <w:right w:val="none" w:sz="0" w:space="0" w:color="auto"/>
              </w:divBdr>
            </w:div>
            <w:div w:id="1764689736">
              <w:marLeft w:val="0"/>
              <w:marRight w:val="0"/>
              <w:marTop w:val="0"/>
              <w:marBottom w:val="0"/>
              <w:divBdr>
                <w:top w:val="none" w:sz="0" w:space="0" w:color="auto"/>
                <w:left w:val="none" w:sz="0" w:space="0" w:color="auto"/>
                <w:bottom w:val="none" w:sz="0" w:space="0" w:color="auto"/>
                <w:right w:val="none" w:sz="0" w:space="0" w:color="auto"/>
              </w:divBdr>
            </w:div>
            <w:div w:id="1764690125">
              <w:marLeft w:val="0"/>
              <w:marRight w:val="0"/>
              <w:marTop w:val="0"/>
              <w:marBottom w:val="0"/>
              <w:divBdr>
                <w:top w:val="none" w:sz="0" w:space="0" w:color="auto"/>
                <w:left w:val="none" w:sz="0" w:space="0" w:color="auto"/>
                <w:bottom w:val="none" w:sz="0" w:space="0" w:color="auto"/>
                <w:right w:val="none" w:sz="0" w:space="0" w:color="auto"/>
              </w:divBdr>
            </w:div>
            <w:div w:id="1764690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308">
      <w:marLeft w:val="0"/>
      <w:marRight w:val="0"/>
      <w:marTop w:val="0"/>
      <w:marBottom w:val="0"/>
      <w:divBdr>
        <w:top w:val="none" w:sz="0" w:space="0" w:color="auto"/>
        <w:left w:val="none" w:sz="0" w:space="0" w:color="auto"/>
        <w:bottom w:val="none" w:sz="0" w:space="0" w:color="auto"/>
        <w:right w:val="none" w:sz="0" w:space="0" w:color="auto"/>
      </w:divBdr>
      <w:divsChild>
        <w:div w:id="1764689712">
          <w:marLeft w:val="0"/>
          <w:marRight w:val="0"/>
          <w:marTop w:val="0"/>
          <w:marBottom w:val="0"/>
          <w:divBdr>
            <w:top w:val="none" w:sz="0" w:space="0" w:color="auto"/>
            <w:left w:val="none" w:sz="0" w:space="0" w:color="auto"/>
            <w:bottom w:val="none" w:sz="0" w:space="0" w:color="auto"/>
            <w:right w:val="none" w:sz="0" w:space="0" w:color="auto"/>
          </w:divBdr>
          <w:divsChild>
            <w:div w:id="1764689047">
              <w:marLeft w:val="0"/>
              <w:marRight w:val="0"/>
              <w:marTop w:val="0"/>
              <w:marBottom w:val="0"/>
              <w:divBdr>
                <w:top w:val="none" w:sz="0" w:space="0" w:color="auto"/>
                <w:left w:val="none" w:sz="0" w:space="0" w:color="auto"/>
                <w:bottom w:val="none" w:sz="0" w:space="0" w:color="auto"/>
                <w:right w:val="none" w:sz="0" w:space="0" w:color="auto"/>
              </w:divBdr>
            </w:div>
            <w:div w:id="1764689142">
              <w:marLeft w:val="0"/>
              <w:marRight w:val="0"/>
              <w:marTop w:val="0"/>
              <w:marBottom w:val="0"/>
              <w:divBdr>
                <w:top w:val="none" w:sz="0" w:space="0" w:color="auto"/>
                <w:left w:val="none" w:sz="0" w:space="0" w:color="auto"/>
                <w:bottom w:val="none" w:sz="0" w:space="0" w:color="auto"/>
                <w:right w:val="none" w:sz="0" w:space="0" w:color="auto"/>
              </w:divBdr>
            </w:div>
            <w:div w:id="1764689159">
              <w:marLeft w:val="0"/>
              <w:marRight w:val="0"/>
              <w:marTop w:val="0"/>
              <w:marBottom w:val="0"/>
              <w:divBdr>
                <w:top w:val="none" w:sz="0" w:space="0" w:color="auto"/>
                <w:left w:val="none" w:sz="0" w:space="0" w:color="auto"/>
                <w:bottom w:val="none" w:sz="0" w:space="0" w:color="auto"/>
                <w:right w:val="none" w:sz="0" w:space="0" w:color="auto"/>
              </w:divBdr>
            </w:div>
            <w:div w:id="1764689423">
              <w:marLeft w:val="0"/>
              <w:marRight w:val="0"/>
              <w:marTop w:val="0"/>
              <w:marBottom w:val="0"/>
              <w:divBdr>
                <w:top w:val="none" w:sz="0" w:space="0" w:color="auto"/>
                <w:left w:val="none" w:sz="0" w:space="0" w:color="auto"/>
                <w:bottom w:val="none" w:sz="0" w:space="0" w:color="auto"/>
                <w:right w:val="none" w:sz="0" w:space="0" w:color="auto"/>
              </w:divBdr>
            </w:div>
            <w:div w:id="1764689577">
              <w:marLeft w:val="0"/>
              <w:marRight w:val="0"/>
              <w:marTop w:val="0"/>
              <w:marBottom w:val="0"/>
              <w:divBdr>
                <w:top w:val="none" w:sz="0" w:space="0" w:color="auto"/>
                <w:left w:val="none" w:sz="0" w:space="0" w:color="auto"/>
                <w:bottom w:val="none" w:sz="0" w:space="0" w:color="auto"/>
                <w:right w:val="none" w:sz="0" w:space="0" w:color="auto"/>
              </w:divBdr>
            </w:div>
            <w:div w:id="1764689582">
              <w:marLeft w:val="0"/>
              <w:marRight w:val="0"/>
              <w:marTop w:val="0"/>
              <w:marBottom w:val="0"/>
              <w:divBdr>
                <w:top w:val="none" w:sz="0" w:space="0" w:color="auto"/>
                <w:left w:val="none" w:sz="0" w:space="0" w:color="auto"/>
                <w:bottom w:val="none" w:sz="0" w:space="0" w:color="auto"/>
                <w:right w:val="none" w:sz="0" w:space="0" w:color="auto"/>
              </w:divBdr>
            </w:div>
            <w:div w:id="1764689731">
              <w:marLeft w:val="0"/>
              <w:marRight w:val="0"/>
              <w:marTop w:val="0"/>
              <w:marBottom w:val="0"/>
              <w:divBdr>
                <w:top w:val="none" w:sz="0" w:space="0" w:color="auto"/>
                <w:left w:val="none" w:sz="0" w:space="0" w:color="auto"/>
                <w:bottom w:val="none" w:sz="0" w:space="0" w:color="auto"/>
                <w:right w:val="none" w:sz="0" w:space="0" w:color="auto"/>
              </w:divBdr>
            </w:div>
            <w:div w:id="1764689967">
              <w:marLeft w:val="0"/>
              <w:marRight w:val="0"/>
              <w:marTop w:val="0"/>
              <w:marBottom w:val="0"/>
              <w:divBdr>
                <w:top w:val="none" w:sz="0" w:space="0" w:color="auto"/>
                <w:left w:val="none" w:sz="0" w:space="0" w:color="auto"/>
                <w:bottom w:val="none" w:sz="0" w:space="0" w:color="auto"/>
                <w:right w:val="none" w:sz="0" w:space="0" w:color="auto"/>
              </w:divBdr>
            </w:div>
            <w:div w:id="1764690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309">
      <w:marLeft w:val="0"/>
      <w:marRight w:val="0"/>
      <w:marTop w:val="0"/>
      <w:marBottom w:val="0"/>
      <w:divBdr>
        <w:top w:val="none" w:sz="0" w:space="0" w:color="auto"/>
        <w:left w:val="none" w:sz="0" w:space="0" w:color="auto"/>
        <w:bottom w:val="none" w:sz="0" w:space="0" w:color="auto"/>
        <w:right w:val="none" w:sz="0" w:space="0" w:color="auto"/>
      </w:divBdr>
    </w:div>
    <w:div w:id="1764690311">
      <w:marLeft w:val="0"/>
      <w:marRight w:val="0"/>
      <w:marTop w:val="0"/>
      <w:marBottom w:val="0"/>
      <w:divBdr>
        <w:top w:val="none" w:sz="0" w:space="0" w:color="auto"/>
        <w:left w:val="none" w:sz="0" w:space="0" w:color="auto"/>
        <w:bottom w:val="none" w:sz="0" w:space="0" w:color="auto"/>
        <w:right w:val="none" w:sz="0" w:space="0" w:color="auto"/>
      </w:divBdr>
      <w:divsChild>
        <w:div w:id="1764690042">
          <w:marLeft w:val="0"/>
          <w:marRight w:val="0"/>
          <w:marTop w:val="0"/>
          <w:marBottom w:val="0"/>
          <w:divBdr>
            <w:top w:val="none" w:sz="0" w:space="0" w:color="auto"/>
            <w:left w:val="none" w:sz="0" w:space="0" w:color="auto"/>
            <w:bottom w:val="none" w:sz="0" w:space="0" w:color="auto"/>
            <w:right w:val="none" w:sz="0" w:space="0" w:color="auto"/>
          </w:divBdr>
        </w:div>
      </w:divsChild>
    </w:div>
    <w:div w:id="1764690332">
      <w:marLeft w:val="0"/>
      <w:marRight w:val="0"/>
      <w:marTop w:val="0"/>
      <w:marBottom w:val="0"/>
      <w:divBdr>
        <w:top w:val="none" w:sz="0" w:space="0" w:color="auto"/>
        <w:left w:val="none" w:sz="0" w:space="0" w:color="auto"/>
        <w:bottom w:val="none" w:sz="0" w:space="0" w:color="auto"/>
        <w:right w:val="none" w:sz="0" w:space="0" w:color="auto"/>
      </w:divBdr>
      <w:divsChild>
        <w:div w:id="1764689838">
          <w:marLeft w:val="0"/>
          <w:marRight w:val="0"/>
          <w:marTop w:val="0"/>
          <w:marBottom w:val="0"/>
          <w:divBdr>
            <w:top w:val="none" w:sz="0" w:space="0" w:color="auto"/>
            <w:left w:val="none" w:sz="0" w:space="0" w:color="auto"/>
            <w:bottom w:val="none" w:sz="0" w:space="0" w:color="auto"/>
            <w:right w:val="none" w:sz="0" w:space="0" w:color="auto"/>
          </w:divBdr>
        </w:div>
      </w:divsChild>
    </w:div>
    <w:div w:id="1764690336">
      <w:marLeft w:val="0"/>
      <w:marRight w:val="0"/>
      <w:marTop w:val="0"/>
      <w:marBottom w:val="0"/>
      <w:divBdr>
        <w:top w:val="none" w:sz="0" w:space="0" w:color="auto"/>
        <w:left w:val="none" w:sz="0" w:space="0" w:color="auto"/>
        <w:bottom w:val="none" w:sz="0" w:space="0" w:color="auto"/>
        <w:right w:val="none" w:sz="0" w:space="0" w:color="auto"/>
      </w:divBdr>
    </w:div>
    <w:div w:id="1764690337">
      <w:marLeft w:val="0"/>
      <w:marRight w:val="0"/>
      <w:marTop w:val="0"/>
      <w:marBottom w:val="0"/>
      <w:divBdr>
        <w:top w:val="none" w:sz="0" w:space="0" w:color="auto"/>
        <w:left w:val="none" w:sz="0" w:space="0" w:color="auto"/>
        <w:bottom w:val="none" w:sz="0" w:space="0" w:color="auto"/>
        <w:right w:val="none" w:sz="0" w:space="0" w:color="auto"/>
      </w:divBdr>
    </w:div>
    <w:div w:id="1764690340">
      <w:marLeft w:val="0"/>
      <w:marRight w:val="0"/>
      <w:marTop w:val="0"/>
      <w:marBottom w:val="0"/>
      <w:divBdr>
        <w:top w:val="none" w:sz="0" w:space="0" w:color="auto"/>
        <w:left w:val="none" w:sz="0" w:space="0" w:color="auto"/>
        <w:bottom w:val="none" w:sz="0" w:space="0" w:color="auto"/>
        <w:right w:val="none" w:sz="0" w:space="0" w:color="auto"/>
      </w:divBdr>
      <w:divsChild>
        <w:div w:id="1764690271">
          <w:marLeft w:val="0"/>
          <w:marRight w:val="0"/>
          <w:marTop w:val="0"/>
          <w:marBottom w:val="0"/>
          <w:divBdr>
            <w:top w:val="none" w:sz="0" w:space="0" w:color="auto"/>
            <w:left w:val="none" w:sz="0" w:space="0" w:color="auto"/>
            <w:bottom w:val="none" w:sz="0" w:space="0" w:color="auto"/>
            <w:right w:val="none" w:sz="0" w:space="0" w:color="auto"/>
          </w:divBdr>
          <w:divsChild>
            <w:div w:id="1764689175">
              <w:marLeft w:val="0"/>
              <w:marRight w:val="0"/>
              <w:marTop w:val="0"/>
              <w:marBottom w:val="0"/>
              <w:divBdr>
                <w:top w:val="none" w:sz="0" w:space="0" w:color="auto"/>
                <w:left w:val="none" w:sz="0" w:space="0" w:color="auto"/>
                <w:bottom w:val="none" w:sz="0" w:space="0" w:color="auto"/>
                <w:right w:val="none" w:sz="0" w:space="0" w:color="auto"/>
              </w:divBdr>
            </w:div>
            <w:div w:id="1764689327">
              <w:marLeft w:val="0"/>
              <w:marRight w:val="0"/>
              <w:marTop w:val="0"/>
              <w:marBottom w:val="0"/>
              <w:divBdr>
                <w:top w:val="none" w:sz="0" w:space="0" w:color="auto"/>
                <w:left w:val="none" w:sz="0" w:space="0" w:color="auto"/>
                <w:bottom w:val="none" w:sz="0" w:space="0" w:color="auto"/>
                <w:right w:val="none" w:sz="0" w:space="0" w:color="auto"/>
              </w:divBdr>
            </w:div>
            <w:div w:id="1764689391">
              <w:marLeft w:val="0"/>
              <w:marRight w:val="0"/>
              <w:marTop w:val="0"/>
              <w:marBottom w:val="0"/>
              <w:divBdr>
                <w:top w:val="none" w:sz="0" w:space="0" w:color="auto"/>
                <w:left w:val="none" w:sz="0" w:space="0" w:color="auto"/>
                <w:bottom w:val="none" w:sz="0" w:space="0" w:color="auto"/>
                <w:right w:val="none" w:sz="0" w:space="0" w:color="auto"/>
              </w:divBdr>
            </w:div>
            <w:div w:id="1764689600">
              <w:marLeft w:val="0"/>
              <w:marRight w:val="0"/>
              <w:marTop w:val="0"/>
              <w:marBottom w:val="0"/>
              <w:divBdr>
                <w:top w:val="none" w:sz="0" w:space="0" w:color="auto"/>
                <w:left w:val="none" w:sz="0" w:space="0" w:color="auto"/>
                <w:bottom w:val="none" w:sz="0" w:space="0" w:color="auto"/>
                <w:right w:val="none" w:sz="0" w:space="0" w:color="auto"/>
              </w:divBdr>
            </w:div>
            <w:div w:id="1764689678">
              <w:marLeft w:val="0"/>
              <w:marRight w:val="0"/>
              <w:marTop w:val="0"/>
              <w:marBottom w:val="0"/>
              <w:divBdr>
                <w:top w:val="none" w:sz="0" w:space="0" w:color="auto"/>
                <w:left w:val="none" w:sz="0" w:space="0" w:color="auto"/>
                <w:bottom w:val="none" w:sz="0" w:space="0" w:color="auto"/>
                <w:right w:val="none" w:sz="0" w:space="0" w:color="auto"/>
              </w:divBdr>
            </w:div>
            <w:div w:id="1764689933">
              <w:marLeft w:val="0"/>
              <w:marRight w:val="0"/>
              <w:marTop w:val="0"/>
              <w:marBottom w:val="0"/>
              <w:divBdr>
                <w:top w:val="none" w:sz="0" w:space="0" w:color="auto"/>
                <w:left w:val="none" w:sz="0" w:space="0" w:color="auto"/>
                <w:bottom w:val="none" w:sz="0" w:space="0" w:color="auto"/>
                <w:right w:val="none" w:sz="0" w:space="0" w:color="auto"/>
              </w:divBdr>
            </w:div>
            <w:div w:id="1764689997">
              <w:marLeft w:val="0"/>
              <w:marRight w:val="0"/>
              <w:marTop w:val="0"/>
              <w:marBottom w:val="0"/>
              <w:divBdr>
                <w:top w:val="none" w:sz="0" w:space="0" w:color="auto"/>
                <w:left w:val="none" w:sz="0" w:space="0" w:color="auto"/>
                <w:bottom w:val="none" w:sz="0" w:space="0" w:color="auto"/>
                <w:right w:val="none" w:sz="0" w:space="0" w:color="auto"/>
              </w:divBdr>
            </w:div>
            <w:div w:id="1764690044">
              <w:marLeft w:val="0"/>
              <w:marRight w:val="0"/>
              <w:marTop w:val="0"/>
              <w:marBottom w:val="0"/>
              <w:divBdr>
                <w:top w:val="none" w:sz="0" w:space="0" w:color="auto"/>
                <w:left w:val="none" w:sz="0" w:space="0" w:color="auto"/>
                <w:bottom w:val="none" w:sz="0" w:space="0" w:color="auto"/>
                <w:right w:val="none" w:sz="0" w:space="0" w:color="auto"/>
              </w:divBdr>
            </w:div>
            <w:div w:id="1764690186">
              <w:marLeft w:val="0"/>
              <w:marRight w:val="0"/>
              <w:marTop w:val="0"/>
              <w:marBottom w:val="0"/>
              <w:divBdr>
                <w:top w:val="none" w:sz="0" w:space="0" w:color="auto"/>
                <w:left w:val="none" w:sz="0" w:space="0" w:color="auto"/>
                <w:bottom w:val="none" w:sz="0" w:space="0" w:color="auto"/>
                <w:right w:val="none" w:sz="0" w:space="0" w:color="auto"/>
              </w:divBdr>
            </w:div>
            <w:div w:id="1764690354">
              <w:marLeft w:val="0"/>
              <w:marRight w:val="0"/>
              <w:marTop w:val="0"/>
              <w:marBottom w:val="0"/>
              <w:divBdr>
                <w:top w:val="none" w:sz="0" w:space="0" w:color="auto"/>
                <w:left w:val="none" w:sz="0" w:space="0" w:color="auto"/>
                <w:bottom w:val="none" w:sz="0" w:space="0" w:color="auto"/>
                <w:right w:val="none" w:sz="0" w:space="0" w:color="auto"/>
              </w:divBdr>
            </w:div>
            <w:div w:id="1764690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343">
      <w:marLeft w:val="0"/>
      <w:marRight w:val="0"/>
      <w:marTop w:val="0"/>
      <w:marBottom w:val="0"/>
      <w:divBdr>
        <w:top w:val="none" w:sz="0" w:space="0" w:color="auto"/>
        <w:left w:val="none" w:sz="0" w:space="0" w:color="auto"/>
        <w:bottom w:val="none" w:sz="0" w:space="0" w:color="auto"/>
        <w:right w:val="none" w:sz="0" w:space="0" w:color="auto"/>
      </w:divBdr>
      <w:divsChild>
        <w:div w:id="1764690576">
          <w:marLeft w:val="0"/>
          <w:marRight w:val="0"/>
          <w:marTop w:val="0"/>
          <w:marBottom w:val="0"/>
          <w:divBdr>
            <w:top w:val="none" w:sz="0" w:space="0" w:color="auto"/>
            <w:left w:val="none" w:sz="0" w:space="0" w:color="auto"/>
            <w:bottom w:val="none" w:sz="0" w:space="0" w:color="auto"/>
            <w:right w:val="none" w:sz="0" w:space="0" w:color="auto"/>
          </w:divBdr>
          <w:divsChild>
            <w:div w:id="1764689211">
              <w:marLeft w:val="0"/>
              <w:marRight w:val="0"/>
              <w:marTop w:val="0"/>
              <w:marBottom w:val="0"/>
              <w:divBdr>
                <w:top w:val="none" w:sz="0" w:space="0" w:color="auto"/>
                <w:left w:val="none" w:sz="0" w:space="0" w:color="auto"/>
                <w:bottom w:val="none" w:sz="0" w:space="0" w:color="auto"/>
                <w:right w:val="none" w:sz="0" w:space="0" w:color="auto"/>
              </w:divBdr>
            </w:div>
            <w:div w:id="1764689281">
              <w:marLeft w:val="0"/>
              <w:marRight w:val="0"/>
              <w:marTop w:val="0"/>
              <w:marBottom w:val="0"/>
              <w:divBdr>
                <w:top w:val="none" w:sz="0" w:space="0" w:color="auto"/>
                <w:left w:val="none" w:sz="0" w:space="0" w:color="auto"/>
                <w:bottom w:val="none" w:sz="0" w:space="0" w:color="auto"/>
                <w:right w:val="none" w:sz="0" w:space="0" w:color="auto"/>
              </w:divBdr>
            </w:div>
            <w:div w:id="1764689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355">
      <w:marLeft w:val="0"/>
      <w:marRight w:val="0"/>
      <w:marTop w:val="0"/>
      <w:marBottom w:val="0"/>
      <w:divBdr>
        <w:top w:val="none" w:sz="0" w:space="0" w:color="auto"/>
        <w:left w:val="none" w:sz="0" w:space="0" w:color="auto"/>
        <w:bottom w:val="none" w:sz="0" w:space="0" w:color="auto"/>
        <w:right w:val="none" w:sz="0" w:space="0" w:color="auto"/>
      </w:divBdr>
    </w:div>
    <w:div w:id="1764690357">
      <w:marLeft w:val="0"/>
      <w:marRight w:val="0"/>
      <w:marTop w:val="0"/>
      <w:marBottom w:val="0"/>
      <w:divBdr>
        <w:top w:val="none" w:sz="0" w:space="0" w:color="auto"/>
        <w:left w:val="none" w:sz="0" w:space="0" w:color="auto"/>
        <w:bottom w:val="none" w:sz="0" w:space="0" w:color="auto"/>
        <w:right w:val="none" w:sz="0" w:space="0" w:color="auto"/>
      </w:divBdr>
      <w:divsChild>
        <w:div w:id="1764689427">
          <w:marLeft w:val="0"/>
          <w:marRight w:val="0"/>
          <w:marTop w:val="0"/>
          <w:marBottom w:val="0"/>
          <w:divBdr>
            <w:top w:val="none" w:sz="0" w:space="0" w:color="auto"/>
            <w:left w:val="none" w:sz="0" w:space="0" w:color="auto"/>
            <w:bottom w:val="none" w:sz="0" w:space="0" w:color="auto"/>
            <w:right w:val="none" w:sz="0" w:space="0" w:color="auto"/>
          </w:divBdr>
          <w:divsChild>
            <w:div w:id="1764689145">
              <w:marLeft w:val="0"/>
              <w:marRight w:val="0"/>
              <w:marTop w:val="0"/>
              <w:marBottom w:val="0"/>
              <w:divBdr>
                <w:top w:val="none" w:sz="0" w:space="0" w:color="auto"/>
                <w:left w:val="none" w:sz="0" w:space="0" w:color="auto"/>
                <w:bottom w:val="none" w:sz="0" w:space="0" w:color="auto"/>
                <w:right w:val="none" w:sz="0" w:space="0" w:color="auto"/>
              </w:divBdr>
            </w:div>
            <w:div w:id="1764689477">
              <w:marLeft w:val="0"/>
              <w:marRight w:val="0"/>
              <w:marTop w:val="0"/>
              <w:marBottom w:val="0"/>
              <w:divBdr>
                <w:top w:val="none" w:sz="0" w:space="0" w:color="auto"/>
                <w:left w:val="none" w:sz="0" w:space="0" w:color="auto"/>
                <w:bottom w:val="none" w:sz="0" w:space="0" w:color="auto"/>
                <w:right w:val="none" w:sz="0" w:space="0" w:color="auto"/>
              </w:divBdr>
            </w:div>
            <w:div w:id="1764689503">
              <w:marLeft w:val="0"/>
              <w:marRight w:val="0"/>
              <w:marTop w:val="0"/>
              <w:marBottom w:val="0"/>
              <w:divBdr>
                <w:top w:val="none" w:sz="0" w:space="0" w:color="auto"/>
                <w:left w:val="none" w:sz="0" w:space="0" w:color="auto"/>
                <w:bottom w:val="none" w:sz="0" w:space="0" w:color="auto"/>
                <w:right w:val="none" w:sz="0" w:space="0" w:color="auto"/>
              </w:divBdr>
            </w:div>
            <w:div w:id="1764689793">
              <w:marLeft w:val="0"/>
              <w:marRight w:val="0"/>
              <w:marTop w:val="0"/>
              <w:marBottom w:val="0"/>
              <w:divBdr>
                <w:top w:val="none" w:sz="0" w:space="0" w:color="auto"/>
                <w:left w:val="none" w:sz="0" w:space="0" w:color="auto"/>
                <w:bottom w:val="none" w:sz="0" w:space="0" w:color="auto"/>
                <w:right w:val="none" w:sz="0" w:space="0" w:color="auto"/>
              </w:divBdr>
            </w:div>
            <w:div w:id="1764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361">
      <w:marLeft w:val="0"/>
      <w:marRight w:val="0"/>
      <w:marTop w:val="0"/>
      <w:marBottom w:val="0"/>
      <w:divBdr>
        <w:top w:val="none" w:sz="0" w:space="0" w:color="auto"/>
        <w:left w:val="none" w:sz="0" w:space="0" w:color="auto"/>
        <w:bottom w:val="none" w:sz="0" w:space="0" w:color="auto"/>
        <w:right w:val="none" w:sz="0" w:space="0" w:color="auto"/>
      </w:divBdr>
      <w:divsChild>
        <w:div w:id="1764690405">
          <w:marLeft w:val="0"/>
          <w:marRight w:val="0"/>
          <w:marTop w:val="0"/>
          <w:marBottom w:val="0"/>
          <w:divBdr>
            <w:top w:val="none" w:sz="0" w:space="0" w:color="auto"/>
            <w:left w:val="none" w:sz="0" w:space="0" w:color="auto"/>
            <w:bottom w:val="none" w:sz="0" w:space="0" w:color="auto"/>
            <w:right w:val="none" w:sz="0" w:space="0" w:color="auto"/>
          </w:divBdr>
        </w:div>
      </w:divsChild>
    </w:div>
    <w:div w:id="1764690368">
      <w:marLeft w:val="0"/>
      <w:marRight w:val="0"/>
      <w:marTop w:val="0"/>
      <w:marBottom w:val="0"/>
      <w:divBdr>
        <w:top w:val="none" w:sz="0" w:space="0" w:color="auto"/>
        <w:left w:val="none" w:sz="0" w:space="0" w:color="auto"/>
        <w:bottom w:val="none" w:sz="0" w:space="0" w:color="auto"/>
        <w:right w:val="none" w:sz="0" w:space="0" w:color="auto"/>
      </w:divBdr>
      <w:divsChild>
        <w:div w:id="1764690018">
          <w:marLeft w:val="0"/>
          <w:marRight w:val="0"/>
          <w:marTop w:val="0"/>
          <w:marBottom w:val="0"/>
          <w:divBdr>
            <w:top w:val="none" w:sz="0" w:space="0" w:color="auto"/>
            <w:left w:val="none" w:sz="0" w:space="0" w:color="auto"/>
            <w:bottom w:val="none" w:sz="0" w:space="0" w:color="auto"/>
            <w:right w:val="none" w:sz="0" w:space="0" w:color="auto"/>
          </w:divBdr>
          <w:divsChild>
            <w:div w:id="1764689092">
              <w:marLeft w:val="0"/>
              <w:marRight w:val="0"/>
              <w:marTop w:val="0"/>
              <w:marBottom w:val="0"/>
              <w:divBdr>
                <w:top w:val="none" w:sz="0" w:space="0" w:color="auto"/>
                <w:left w:val="none" w:sz="0" w:space="0" w:color="auto"/>
                <w:bottom w:val="none" w:sz="0" w:space="0" w:color="auto"/>
                <w:right w:val="none" w:sz="0" w:space="0" w:color="auto"/>
              </w:divBdr>
            </w:div>
            <w:div w:id="1764689186">
              <w:marLeft w:val="0"/>
              <w:marRight w:val="0"/>
              <w:marTop w:val="0"/>
              <w:marBottom w:val="0"/>
              <w:divBdr>
                <w:top w:val="none" w:sz="0" w:space="0" w:color="auto"/>
                <w:left w:val="none" w:sz="0" w:space="0" w:color="auto"/>
                <w:bottom w:val="none" w:sz="0" w:space="0" w:color="auto"/>
                <w:right w:val="none" w:sz="0" w:space="0" w:color="auto"/>
              </w:divBdr>
            </w:div>
            <w:div w:id="1764689440">
              <w:marLeft w:val="0"/>
              <w:marRight w:val="0"/>
              <w:marTop w:val="0"/>
              <w:marBottom w:val="0"/>
              <w:divBdr>
                <w:top w:val="none" w:sz="0" w:space="0" w:color="auto"/>
                <w:left w:val="none" w:sz="0" w:space="0" w:color="auto"/>
                <w:bottom w:val="none" w:sz="0" w:space="0" w:color="auto"/>
                <w:right w:val="none" w:sz="0" w:space="0" w:color="auto"/>
              </w:divBdr>
            </w:div>
            <w:div w:id="1764689724">
              <w:marLeft w:val="0"/>
              <w:marRight w:val="0"/>
              <w:marTop w:val="0"/>
              <w:marBottom w:val="0"/>
              <w:divBdr>
                <w:top w:val="none" w:sz="0" w:space="0" w:color="auto"/>
                <w:left w:val="none" w:sz="0" w:space="0" w:color="auto"/>
                <w:bottom w:val="none" w:sz="0" w:space="0" w:color="auto"/>
                <w:right w:val="none" w:sz="0" w:space="0" w:color="auto"/>
              </w:divBdr>
            </w:div>
            <w:div w:id="1764689864">
              <w:marLeft w:val="0"/>
              <w:marRight w:val="0"/>
              <w:marTop w:val="0"/>
              <w:marBottom w:val="0"/>
              <w:divBdr>
                <w:top w:val="none" w:sz="0" w:space="0" w:color="auto"/>
                <w:left w:val="none" w:sz="0" w:space="0" w:color="auto"/>
                <w:bottom w:val="none" w:sz="0" w:space="0" w:color="auto"/>
                <w:right w:val="none" w:sz="0" w:space="0" w:color="auto"/>
              </w:divBdr>
            </w:div>
            <w:div w:id="1764690001">
              <w:marLeft w:val="0"/>
              <w:marRight w:val="0"/>
              <w:marTop w:val="0"/>
              <w:marBottom w:val="0"/>
              <w:divBdr>
                <w:top w:val="none" w:sz="0" w:space="0" w:color="auto"/>
                <w:left w:val="none" w:sz="0" w:space="0" w:color="auto"/>
                <w:bottom w:val="none" w:sz="0" w:space="0" w:color="auto"/>
                <w:right w:val="none" w:sz="0" w:space="0" w:color="auto"/>
              </w:divBdr>
            </w:div>
            <w:div w:id="176469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369">
      <w:marLeft w:val="0"/>
      <w:marRight w:val="0"/>
      <w:marTop w:val="0"/>
      <w:marBottom w:val="0"/>
      <w:divBdr>
        <w:top w:val="none" w:sz="0" w:space="0" w:color="auto"/>
        <w:left w:val="none" w:sz="0" w:space="0" w:color="auto"/>
        <w:bottom w:val="none" w:sz="0" w:space="0" w:color="auto"/>
        <w:right w:val="none" w:sz="0" w:space="0" w:color="auto"/>
      </w:divBdr>
      <w:divsChild>
        <w:div w:id="1764690570">
          <w:marLeft w:val="0"/>
          <w:marRight w:val="0"/>
          <w:marTop w:val="0"/>
          <w:marBottom w:val="0"/>
          <w:divBdr>
            <w:top w:val="none" w:sz="0" w:space="0" w:color="auto"/>
            <w:left w:val="none" w:sz="0" w:space="0" w:color="auto"/>
            <w:bottom w:val="none" w:sz="0" w:space="0" w:color="auto"/>
            <w:right w:val="none" w:sz="0" w:space="0" w:color="auto"/>
          </w:divBdr>
        </w:div>
      </w:divsChild>
    </w:div>
    <w:div w:id="1764690373">
      <w:marLeft w:val="0"/>
      <w:marRight w:val="0"/>
      <w:marTop w:val="0"/>
      <w:marBottom w:val="0"/>
      <w:divBdr>
        <w:top w:val="none" w:sz="0" w:space="0" w:color="auto"/>
        <w:left w:val="none" w:sz="0" w:space="0" w:color="auto"/>
        <w:bottom w:val="none" w:sz="0" w:space="0" w:color="auto"/>
        <w:right w:val="none" w:sz="0" w:space="0" w:color="auto"/>
      </w:divBdr>
      <w:divsChild>
        <w:div w:id="1764689964">
          <w:marLeft w:val="0"/>
          <w:marRight w:val="0"/>
          <w:marTop w:val="0"/>
          <w:marBottom w:val="0"/>
          <w:divBdr>
            <w:top w:val="none" w:sz="0" w:space="0" w:color="auto"/>
            <w:left w:val="none" w:sz="0" w:space="0" w:color="auto"/>
            <w:bottom w:val="none" w:sz="0" w:space="0" w:color="auto"/>
            <w:right w:val="none" w:sz="0" w:space="0" w:color="auto"/>
          </w:divBdr>
        </w:div>
      </w:divsChild>
    </w:div>
    <w:div w:id="1764690377">
      <w:marLeft w:val="0"/>
      <w:marRight w:val="0"/>
      <w:marTop w:val="0"/>
      <w:marBottom w:val="0"/>
      <w:divBdr>
        <w:top w:val="none" w:sz="0" w:space="0" w:color="auto"/>
        <w:left w:val="none" w:sz="0" w:space="0" w:color="auto"/>
        <w:bottom w:val="none" w:sz="0" w:space="0" w:color="auto"/>
        <w:right w:val="none" w:sz="0" w:space="0" w:color="auto"/>
      </w:divBdr>
      <w:divsChild>
        <w:div w:id="1764689837">
          <w:marLeft w:val="0"/>
          <w:marRight w:val="0"/>
          <w:marTop w:val="0"/>
          <w:marBottom w:val="0"/>
          <w:divBdr>
            <w:top w:val="none" w:sz="0" w:space="0" w:color="auto"/>
            <w:left w:val="none" w:sz="0" w:space="0" w:color="auto"/>
            <w:bottom w:val="none" w:sz="0" w:space="0" w:color="auto"/>
            <w:right w:val="none" w:sz="0" w:space="0" w:color="auto"/>
          </w:divBdr>
          <w:divsChild>
            <w:div w:id="1764689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378">
      <w:marLeft w:val="0"/>
      <w:marRight w:val="0"/>
      <w:marTop w:val="0"/>
      <w:marBottom w:val="0"/>
      <w:divBdr>
        <w:top w:val="none" w:sz="0" w:space="0" w:color="auto"/>
        <w:left w:val="none" w:sz="0" w:space="0" w:color="auto"/>
        <w:bottom w:val="none" w:sz="0" w:space="0" w:color="auto"/>
        <w:right w:val="none" w:sz="0" w:space="0" w:color="auto"/>
      </w:divBdr>
    </w:div>
    <w:div w:id="1764690381">
      <w:marLeft w:val="0"/>
      <w:marRight w:val="0"/>
      <w:marTop w:val="0"/>
      <w:marBottom w:val="0"/>
      <w:divBdr>
        <w:top w:val="none" w:sz="0" w:space="0" w:color="auto"/>
        <w:left w:val="none" w:sz="0" w:space="0" w:color="auto"/>
        <w:bottom w:val="none" w:sz="0" w:space="0" w:color="auto"/>
        <w:right w:val="none" w:sz="0" w:space="0" w:color="auto"/>
      </w:divBdr>
    </w:div>
    <w:div w:id="1764690388">
      <w:marLeft w:val="0"/>
      <w:marRight w:val="0"/>
      <w:marTop w:val="0"/>
      <w:marBottom w:val="0"/>
      <w:divBdr>
        <w:top w:val="none" w:sz="0" w:space="0" w:color="auto"/>
        <w:left w:val="none" w:sz="0" w:space="0" w:color="auto"/>
        <w:bottom w:val="none" w:sz="0" w:space="0" w:color="auto"/>
        <w:right w:val="none" w:sz="0" w:space="0" w:color="auto"/>
      </w:divBdr>
      <w:divsChild>
        <w:div w:id="1764689822">
          <w:marLeft w:val="0"/>
          <w:marRight w:val="0"/>
          <w:marTop w:val="0"/>
          <w:marBottom w:val="0"/>
          <w:divBdr>
            <w:top w:val="none" w:sz="0" w:space="0" w:color="auto"/>
            <w:left w:val="none" w:sz="0" w:space="0" w:color="auto"/>
            <w:bottom w:val="none" w:sz="0" w:space="0" w:color="auto"/>
            <w:right w:val="none" w:sz="0" w:space="0" w:color="auto"/>
          </w:divBdr>
        </w:div>
      </w:divsChild>
    </w:div>
    <w:div w:id="1764690390">
      <w:marLeft w:val="0"/>
      <w:marRight w:val="0"/>
      <w:marTop w:val="0"/>
      <w:marBottom w:val="0"/>
      <w:divBdr>
        <w:top w:val="none" w:sz="0" w:space="0" w:color="auto"/>
        <w:left w:val="none" w:sz="0" w:space="0" w:color="auto"/>
        <w:bottom w:val="none" w:sz="0" w:space="0" w:color="auto"/>
        <w:right w:val="none" w:sz="0" w:space="0" w:color="auto"/>
      </w:divBdr>
      <w:divsChild>
        <w:div w:id="1764689523">
          <w:marLeft w:val="0"/>
          <w:marRight w:val="0"/>
          <w:marTop w:val="0"/>
          <w:marBottom w:val="0"/>
          <w:divBdr>
            <w:top w:val="none" w:sz="0" w:space="0" w:color="auto"/>
            <w:left w:val="none" w:sz="0" w:space="0" w:color="auto"/>
            <w:bottom w:val="none" w:sz="0" w:space="0" w:color="auto"/>
            <w:right w:val="none" w:sz="0" w:space="0" w:color="auto"/>
          </w:divBdr>
        </w:div>
      </w:divsChild>
    </w:div>
    <w:div w:id="1764690392">
      <w:marLeft w:val="0"/>
      <w:marRight w:val="0"/>
      <w:marTop w:val="0"/>
      <w:marBottom w:val="0"/>
      <w:divBdr>
        <w:top w:val="none" w:sz="0" w:space="0" w:color="auto"/>
        <w:left w:val="none" w:sz="0" w:space="0" w:color="auto"/>
        <w:bottom w:val="none" w:sz="0" w:space="0" w:color="auto"/>
        <w:right w:val="none" w:sz="0" w:space="0" w:color="auto"/>
      </w:divBdr>
    </w:div>
    <w:div w:id="1764690396">
      <w:marLeft w:val="0"/>
      <w:marRight w:val="0"/>
      <w:marTop w:val="0"/>
      <w:marBottom w:val="0"/>
      <w:divBdr>
        <w:top w:val="none" w:sz="0" w:space="0" w:color="auto"/>
        <w:left w:val="none" w:sz="0" w:space="0" w:color="auto"/>
        <w:bottom w:val="none" w:sz="0" w:space="0" w:color="auto"/>
        <w:right w:val="none" w:sz="0" w:space="0" w:color="auto"/>
      </w:divBdr>
    </w:div>
    <w:div w:id="1764690399">
      <w:marLeft w:val="0"/>
      <w:marRight w:val="0"/>
      <w:marTop w:val="0"/>
      <w:marBottom w:val="0"/>
      <w:divBdr>
        <w:top w:val="none" w:sz="0" w:space="0" w:color="auto"/>
        <w:left w:val="none" w:sz="0" w:space="0" w:color="auto"/>
        <w:bottom w:val="none" w:sz="0" w:space="0" w:color="auto"/>
        <w:right w:val="none" w:sz="0" w:space="0" w:color="auto"/>
      </w:divBdr>
      <w:divsChild>
        <w:div w:id="1764690495">
          <w:marLeft w:val="0"/>
          <w:marRight w:val="0"/>
          <w:marTop w:val="0"/>
          <w:marBottom w:val="0"/>
          <w:divBdr>
            <w:top w:val="none" w:sz="0" w:space="0" w:color="auto"/>
            <w:left w:val="none" w:sz="0" w:space="0" w:color="auto"/>
            <w:bottom w:val="none" w:sz="0" w:space="0" w:color="auto"/>
            <w:right w:val="none" w:sz="0" w:space="0" w:color="auto"/>
          </w:divBdr>
          <w:divsChild>
            <w:div w:id="1764689196">
              <w:marLeft w:val="0"/>
              <w:marRight w:val="0"/>
              <w:marTop w:val="0"/>
              <w:marBottom w:val="0"/>
              <w:divBdr>
                <w:top w:val="none" w:sz="0" w:space="0" w:color="auto"/>
                <w:left w:val="none" w:sz="0" w:space="0" w:color="auto"/>
                <w:bottom w:val="none" w:sz="0" w:space="0" w:color="auto"/>
                <w:right w:val="none" w:sz="0" w:space="0" w:color="auto"/>
              </w:divBdr>
            </w:div>
            <w:div w:id="176468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401">
      <w:marLeft w:val="0"/>
      <w:marRight w:val="0"/>
      <w:marTop w:val="0"/>
      <w:marBottom w:val="0"/>
      <w:divBdr>
        <w:top w:val="none" w:sz="0" w:space="0" w:color="auto"/>
        <w:left w:val="none" w:sz="0" w:space="0" w:color="auto"/>
        <w:bottom w:val="none" w:sz="0" w:space="0" w:color="auto"/>
        <w:right w:val="none" w:sz="0" w:space="0" w:color="auto"/>
      </w:divBdr>
      <w:divsChild>
        <w:div w:id="1764690131">
          <w:marLeft w:val="0"/>
          <w:marRight w:val="0"/>
          <w:marTop w:val="0"/>
          <w:marBottom w:val="0"/>
          <w:divBdr>
            <w:top w:val="none" w:sz="0" w:space="0" w:color="auto"/>
            <w:left w:val="none" w:sz="0" w:space="0" w:color="auto"/>
            <w:bottom w:val="none" w:sz="0" w:space="0" w:color="auto"/>
            <w:right w:val="none" w:sz="0" w:space="0" w:color="auto"/>
          </w:divBdr>
        </w:div>
      </w:divsChild>
    </w:div>
    <w:div w:id="1764690404">
      <w:marLeft w:val="0"/>
      <w:marRight w:val="0"/>
      <w:marTop w:val="0"/>
      <w:marBottom w:val="0"/>
      <w:divBdr>
        <w:top w:val="none" w:sz="0" w:space="0" w:color="auto"/>
        <w:left w:val="none" w:sz="0" w:space="0" w:color="auto"/>
        <w:bottom w:val="none" w:sz="0" w:space="0" w:color="auto"/>
        <w:right w:val="none" w:sz="0" w:space="0" w:color="auto"/>
      </w:divBdr>
    </w:div>
    <w:div w:id="1764690408">
      <w:marLeft w:val="0"/>
      <w:marRight w:val="0"/>
      <w:marTop w:val="0"/>
      <w:marBottom w:val="0"/>
      <w:divBdr>
        <w:top w:val="none" w:sz="0" w:space="0" w:color="auto"/>
        <w:left w:val="none" w:sz="0" w:space="0" w:color="auto"/>
        <w:bottom w:val="none" w:sz="0" w:space="0" w:color="auto"/>
        <w:right w:val="none" w:sz="0" w:space="0" w:color="auto"/>
      </w:divBdr>
      <w:divsChild>
        <w:div w:id="1764689443">
          <w:marLeft w:val="0"/>
          <w:marRight w:val="0"/>
          <w:marTop w:val="0"/>
          <w:marBottom w:val="0"/>
          <w:divBdr>
            <w:top w:val="none" w:sz="0" w:space="0" w:color="auto"/>
            <w:left w:val="none" w:sz="0" w:space="0" w:color="auto"/>
            <w:bottom w:val="none" w:sz="0" w:space="0" w:color="auto"/>
            <w:right w:val="none" w:sz="0" w:space="0" w:color="auto"/>
          </w:divBdr>
          <w:divsChild>
            <w:div w:id="1764689302">
              <w:marLeft w:val="0"/>
              <w:marRight w:val="0"/>
              <w:marTop w:val="0"/>
              <w:marBottom w:val="0"/>
              <w:divBdr>
                <w:top w:val="none" w:sz="0" w:space="0" w:color="auto"/>
                <w:left w:val="none" w:sz="0" w:space="0" w:color="auto"/>
                <w:bottom w:val="none" w:sz="0" w:space="0" w:color="auto"/>
                <w:right w:val="none" w:sz="0" w:space="0" w:color="auto"/>
              </w:divBdr>
            </w:div>
            <w:div w:id="1764690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411">
      <w:marLeft w:val="0"/>
      <w:marRight w:val="0"/>
      <w:marTop w:val="0"/>
      <w:marBottom w:val="0"/>
      <w:divBdr>
        <w:top w:val="none" w:sz="0" w:space="0" w:color="auto"/>
        <w:left w:val="none" w:sz="0" w:space="0" w:color="auto"/>
        <w:bottom w:val="none" w:sz="0" w:space="0" w:color="auto"/>
        <w:right w:val="none" w:sz="0" w:space="0" w:color="auto"/>
      </w:divBdr>
    </w:div>
    <w:div w:id="1764690416">
      <w:marLeft w:val="0"/>
      <w:marRight w:val="0"/>
      <w:marTop w:val="0"/>
      <w:marBottom w:val="0"/>
      <w:divBdr>
        <w:top w:val="none" w:sz="0" w:space="0" w:color="auto"/>
        <w:left w:val="none" w:sz="0" w:space="0" w:color="auto"/>
        <w:bottom w:val="none" w:sz="0" w:space="0" w:color="auto"/>
        <w:right w:val="none" w:sz="0" w:space="0" w:color="auto"/>
      </w:divBdr>
      <w:divsChild>
        <w:div w:id="1764690023">
          <w:marLeft w:val="0"/>
          <w:marRight w:val="0"/>
          <w:marTop w:val="0"/>
          <w:marBottom w:val="0"/>
          <w:divBdr>
            <w:top w:val="none" w:sz="0" w:space="0" w:color="auto"/>
            <w:left w:val="none" w:sz="0" w:space="0" w:color="auto"/>
            <w:bottom w:val="none" w:sz="0" w:space="0" w:color="auto"/>
            <w:right w:val="none" w:sz="0" w:space="0" w:color="auto"/>
          </w:divBdr>
        </w:div>
      </w:divsChild>
    </w:div>
    <w:div w:id="1764690417">
      <w:marLeft w:val="0"/>
      <w:marRight w:val="0"/>
      <w:marTop w:val="0"/>
      <w:marBottom w:val="0"/>
      <w:divBdr>
        <w:top w:val="none" w:sz="0" w:space="0" w:color="auto"/>
        <w:left w:val="none" w:sz="0" w:space="0" w:color="auto"/>
        <w:bottom w:val="none" w:sz="0" w:space="0" w:color="auto"/>
        <w:right w:val="none" w:sz="0" w:space="0" w:color="auto"/>
      </w:divBdr>
      <w:divsChild>
        <w:div w:id="1764689108">
          <w:marLeft w:val="0"/>
          <w:marRight w:val="0"/>
          <w:marTop w:val="0"/>
          <w:marBottom w:val="0"/>
          <w:divBdr>
            <w:top w:val="none" w:sz="0" w:space="0" w:color="auto"/>
            <w:left w:val="none" w:sz="0" w:space="0" w:color="auto"/>
            <w:bottom w:val="none" w:sz="0" w:space="0" w:color="auto"/>
            <w:right w:val="none" w:sz="0" w:space="0" w:color="auto"/>
          </w:divBdr>
          <w:divsChild>
            <w:div w:id="1764689083">
              <w:marLeft w:val="0"/>
              <w:marRight w:val="0"/>
              <w:marTop w:val="0"/>
              <w:marBottom w:val="0"/>
              <w:divBdr>
                <w:top w:val="none" w:sz="0" w:space="0" w:color="auto"/>
                <w:left w:val="none" w:sz="0" w:space="0" w:color="auto"/>
                <w:bottom w:val="none" w:sz="0" w:space="0" w:color="auto"/>
                <w:right w:val="none" w:sz="0" w:space="0" w:color="auto"/>
              </w:divBdr>
            </w:div>
            <w:div w:id="1764689994">
              <w:marLeft w:val="0"/>
              <w:marRight w:val="0"/>
              <w:marTop w:val="0"/>
              <w:marBottom w:val="0"/>
              <w:divBdr>
                <w:top w:val="none" w:sz="0" w:space="0" w:color="auto"/>
                <w:left w:val="none" w:sz="0" w:space="0" w:color="auto"/>
                <w:bottom w:val="none" w:sz="0" w:space="0" w:color="auto"/>
                <w:right w:val="none" w:sz="0" w:space="0" w:color="auto"/>
              </w:divBdr>
            </w:div>
            <w:div w:id="1764690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421">
      <w:marLeft w:val="0"/>
      <w:marRight w:val="0"/>
      <w:marTop w:val="0"/>
      <w:marBottom w:val="0"/>
      <w:divBdr>
        <w:top w:val="none" w:sz="0" w:space="0" w:color="auto"/>
        <w:left w:val="none" w:sz="0" w:space="0" w:color="auto"/>
        <w:bottom w:val="none" w:sz="0" w:space="0" w:color="auto"/>
        <w:right w:val="none" w:sz="0" w:space="0" w:color="auto"/>
      </w:divBdr>
      <w:divsChild>
        <w:div w:id="1764689135">
          <w:marLeft w:val="0"/>
          <w:marRight w:val="0"/>
          <w:marTop w:val="0"/>
          <w:marBottom w:val="0"/>
          <w:divBdr>
            <w:top w:val="none" w:sz="0" w:space="0" w:color="auto"/>
            <w:left w:val="none" w:sz="0" w:space="0" w:color="auto"/>
            <w:bottom w:val="none" w:sz="0" w:space="0" w:color="auto"/>
            <w:right w:val="none" w:sz="0" w:space="0" w:color="auto"/>
          </w:divBdr>
        </w:div>
      </w:divsChild>
    </w:div>
    <w:div w:id="1764690424">
      <w:marLeft w:val="0"/>
      <w:marRight w:val="0"/>
      <w:marTop w:val="0"/>
      <w:marBottom w:val="0"/>
      <w:divBdr>
        <w:top w:val="none" w:sz="0" w:space="0" w:color="auto"/>
        <w:left w:val="none" w:sz="0" w:space="0" w:color="auto"/>
        <w:bottom w:val="none" w:sz="0" w:space="0" w:color="auto"/>
        <w:right w:val="none" w:sz="0" w:space="0" w:color="auto"/>
      </w:divBdr>
      <w:divsChild>
        <w:div w:id="1764690530">
          <w:marLeft w:val="0"/>
          <w:marRight w:val="0"/>
          <w:marTop w:val="0"/>
          <w:marBottom w:val="0"/>
          <w:divBdr>
            <w:top w:val="none" w:sz="0" w:space="0" w:color="auto"/>
            <w:left w:val="none" w:sz="0" w:space="0" w:color="auto"/>
            <w:bottom w:val="none" w:sz="0" w:space="0" w:color="auto"/>
            <w:right w:val="none" w:sz="0" w:space="0" w:color="auto"/>
          </w:divBdr>
        </w:div>
      </w:divsChild>
    </w:div>
    <w:div w:id="1764690428">
      <w:marLeft w:val="0"/>
      <w:marRight w:val="0"/>
      <w:marTop w:val="0"/>
      <w:marBottom w:val="0"/>
      <w:divBdr>
        <w:top w:val="none" w:sz="0" w:space="0" w:color="auto"/>
        <w:left w:val="none" w:sz="0" w:space="0" w:color="auto"/>
        <w:bottom w:val="none" w:sz="0" w:space="0" w:color="auto"/>
        <w:right w:val="none" w:sz="0" w:space="0" w:color="auto"/>
      </w:divBdr>
      <w:divsChild>
        <w:div w:id="1764689676">
          <w:marLeft w:val="0"/>
          <w:marRight w:val="0"/>
          <w:marTop w:val="0"/>
          <w:marBottom w:val="0"/>
          <w:divBdr>
            <w:top w:val="none" w:sz="0" w:space="0" w:color="auto"/>
            <w:left w:val="none" w:sz="0" w:space="0" w:color="auto"/>
            <w:bottom w:val="none" w:sz="0" w:space="0" w:color="auto"/>
            <w:right w:val="none" w:sz="0" w:space="0" w:color="auto"/>
          </w:divBdr>
        </w:div>
      </w:divsChild>
    </w:div>
    <w:div w:id="1764690431">
      <w:marLeft w:val="0"/>
      <w:marRight w:val="0"/>
      <w:marTop w:val="0"/>
      <w:marBottom w:val="0"/>
      <w:divBdr>
        <w:top w:val="none" w:sz="0" w:space="0" w:color="auto"/>
        <w:left w:val="none" w:sz="0" w:space="0" w:color="auto"/>
        <w:bottom w:val="none" w:sz="0" w:space="0" w:color="auto"/>
        <w:right w:val="none" w:sz="0" w:space="0" w:color="auto"/>
      </w:divBdr>
    </w:div>
    <w:div w:id="1764690433">
      <w:marLeft w:val="0"/>
      <w:marRight w:val="0"/>
      <w:marTop w:val="0"/>
      <w:marBottom w:val="0"/>
      <w:divBdr>
        <w:top w:val="none" w:sz="0" w:space="0" w:color="auto"/>
        <w:left w:val="none" w:sz="0" w:space="0" w:color="auto"/>
        <w:bottom w:val="none" w:sz="0" w:space="0" w:color="auto"/>
        <w:right w:val="none" w:sz="0" w:space="0" w:color="auto"/>
      </w:divBdr>
    </w:div>
    <w:div w:id="1764690435">
      <w:marLeft w:val="0"/>
      <w:marRight w:val="0"/>
      <w:marTop w:val="0"/>
      <w:marBottom w:val="0"/>
      <w:divBdr>
        <w:top w:val="none" w:sz="0" w:space="0" w:color="auto"/>
        <w:left w:val="none" w:sz="0" w:space="0" w:color="auto"/>
        <w:bottom w:val="none" w:sz="0" w:space="0" w:color="auto"/>
        <w:right w:val="none" w:sz="0" w:space="0" w:color="auto"/>
      </w:divBdr>
      <w:divsChild>
        <w:div w:id="1764690407">
          <w:marLeft w:val="0"/>
          <w:marRight w:val="0"/>
          <w:marTop w:val="0"/>
          <w:marBottom w:val="0"/>
          <w:divBdr>
            <w:top w:val="none" w:sz="0" w:space="0" w:color="auto"/>
            <w:left w:val="none" w:sz="0" w:space="0" w:color="auto"/>
            <w:bottom w:val="none" w:sz="0" w:space="0" w:color="auto"/>
            <w:right w:val="none" w:sz="0" w:space="0" w:color="auto"/>
          </w:divBdr>
          <w:divsChild>
            <w:div w:id="1764689073">
              <w:marLeft w:val="0"/>
              <w:marRight w:val="0"/>
              <w:marTop w:val="0"/>
              <w:marBottom w:val="0"/>
              <w:divBdr>
                <w:top w:val="none" w:sz="0" w:space="0" w:color="auto"/>
                <w:left w:val="none" w:sz="0" w:space="0" w:color="auto"/>
                <w:bottom w:val="none" w:sz="0" w:space="0" w:color="auto"/>
                <w:right w:val="none" w:sz="0" w:space="0" w:color="auto"/>
              </w:divBdr>
            </w:div>
            <w:div w:id="1764689113">
              <w:marLeft w:val="0"/>
              <w:marRight w:val="0"/>
              <w:marTop w:val="0"/>
              <w:marBottom w:val="0"/>
              <w:divBdr>
                <w:top w:val="none" w:sz="0" w:space="0" w:color="auto"/>
                <w:left w:val="none" w:sz="0" w:space="0" w:color="auto"/>
                <w:bottom w:val="none" w:sz="0" w:space="0" w:color="auto"/>
                <w:right w:val="none" w:sz="0" w:space="0" w:color="auto"/>
              </w:divBdr>
            </w:div>
            <w:div w:id="1764689255">
              <w:marLeft w:val="0"/>
              <w:marRight w:val="0"/>
              <w:marTop w:val="0"/>
              <w:marBottom w:val="0"/>
              <w:divBdr>
                <w:top w:val="none" w:sz="0" w:space="0" w:color="auto"/>
                <w:left w:val="none" w:sz="0" w:space="0" w:color="auto"/>
                <w:bottom w:val="none" w:sz="0" w:space="0" w:color="auto"/>
                <w:right w:val="none" w:sz="0" w:space="0" w:color="auto"/>
              </w:divBdr>
            </w:div>
            <w:div w:id="1764689651">
              <w:marLeft w:val="0"/>
              <w:marRight w:val="0"/>
              <w:marTop w:val="0"/>
              <w:marBottom w:val="0"/>
              <w:divBdr>
                <w:top w:val="none" w:sz="0" w:space="0" w:color="auto"/>
                <w:left w:val="none" w:sz="0" w:space="0" w:color="auto"/>
                <w:bottom w:val="none" w:sz="0" w:space="0" w:color="auto"/>
                <w:right w:val="none" w:sz="0" w:space="0" w:color="auto"/>
              </w:divBdr>
            </w:div>
            <w:div w:id="1764689893">
              <w:marLeft w:val="0"/>
              <w:marRight w:val="0"/>
              <w:marTop w:val="0"/>
              <w:marBottom w:val="0"/>
              <w:divBdr>
                <w:top w:val="none" w:sz="0" w:space="0" w:color="auto"/>
                <w:left w:val="none" w:sz="0" w:space="0" w:color="auto"/>
                <w:bottom w:val="none" w:sz="0" w:space="0" w:color="auto"/>
                <w:right w:val="none" w:sz="0" w:space="0" w:color="auto"/>
              </w:divBdr>
            </w:div>
            <w:div w:id="1764689987">
              <w:marLeft w:val="0"/>
              <w:marRight w:val="0"/>
              <w:marTop w:val="0"/>
              <w:marBottom w:val="0"/>
              <w:divBdr>
                <w:top w:val="none" w:sz="0" w:space="0" w:color="auto"/>
                <w:left w:val="none" w:sz="0" w:space="0" w:color="auto"/>
                <w:bottom w:val="none" w:sz="0" w:space="0" w:color="auto"/>
                <w:right w:val="none" w:sz="0" w:space="0" w:color="auto"/>
              </w:divBdr>
            </w:div>
            <w:div w:id="1764690371">
              <w:marLeft w:val="0"/>
              <w:marRight w:val="0"/>
              <w:marTop w:val="0"/>
              <w:marBottom w:val="0"/>
              <w:divBdr>
                <w:top w:val="none" w:sz="0" w:space="0" w:color="auto"/>
                <w:left w:val="none" w:sz="0" w:space="0" w:color="auto"/>
                <w:bottom w:val="none" w:sz="0" w:space="0" w:color="auto"/>
                <w:right w:val="none" w:sz="0" w:space="0" w:color="auto"/>
              </w:divBdr>
            </w:div>
            <w:div w:id="1764690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436">
      <w:marLeft w:val="0"/>
      <w:marRight w:val="0"/>
      <w:marTop w:val="0"/>
      <w:marBottom w:val="0"/>
      <w:divBdr>
        <w:top w:val="none" w:sz="0" w:space="0" w:color="auto"/>
        <w:left w:val="none" w:sz="0" w:space="0" w:color="auto"/>
        <w:bottom w:val="none" w:sz="0" w:space="0" w:color="auto"/>
        <w:right w:val="none" w:sz="0" w:space="0" w:color="auto"/>
      </w:divBdr>
    </w:div>
    <w:div w:id="1764690438">
      <w:marLeft w:val="0"/>
      <w:marRight w:val="0"/>
      <w:marTop w:val="0"/>
      <w:marBottom w:val="0"/>
      <w:divBdr>
        <w:top w:val="none" w:sz="0" w:space="0" w:color="auto"/>
        <w:left w:val="none" w:sz="0" w:space="0" w:color="auto"/>
        <w:bottom w:val="none" w:sz="0" w:space="0" w:color="auto"/>
        <w:right w:val="none" w:sz="0" w:space="0" w:color="auto"/>
      </w:divBdr>
      <w:divsChild>
        <w:div w:id="1764690030">
          <w:marLeft w:val="0"/>
          <w:marRight w:val="0"/>
          <w:marTop w:val="0"/>
          <w:marBottom w:val="0"/>
          <w:divBdr>
            <w:top w:val="none" w:sz="0" w:space="0" w:color="auto"/>
            <w:left w:val="none" w:sz="0" w:space="0" w:color="auto"/>
            <w:bottom w:val="none" w:sz="0" w:space="0" w:color="auto"/>
            <w:right w:val="none" w:sz="0" w:space="0" w:color="auto"/>
          </w:divBdr>
        </w:div>
      </w:divsChild>
    </w:div>
    <w:div w:id="1764690441">
      <w:marLeft w:val="0"/>
      <w:marRight w:val="0"/>
      <w:marTop w:val="0"/>
      <w:marBottom w:val="0"/>
      <w:divBdr>
        <w:top w:val="none" w:sz="0" w:space="0" w:color="auto"/>
        <w:left w:val="none" w:sz="0" w:space="0" w:color="auto"/>
        <w:bottom w:val="none" w:sz="0" w:space="0" w:color="auto"/>
        <w:right w:val="none" w:sz="0" w:space="0" w:color="auto"/>
      </w:divBdr>
    </w:div>
    <w:div w:id="1764690447">
      <w:marLeft w:val="0"/>
      <w:marRight w:val="0"/>
      <w:marTop w:val="0"/>
      <w:marBottom w:val="0"/>
      <w:divBdr>
        <w:top w:val="none" w:sz="0" w:space="0" w:color="auto"/>
        <w:left w:val="none" w:sz="0" w:space="0" w:color="auto"/>
        <w:bottom w:val="none" w:sz="0" w:space="0" w:color="auto"/>
        <w:right w:val="none" w:sz="0" w:space="0" w:color="auto"/>
      </w:divBdr>
    </w:div>
    <w:div w:id="1764690448">
      <w:marLeft w:val="0"/>
      <w:marRight w:val="0"/>
      <w:marTop w:val="0"/>
      <w:marBottom w:val="0"/>
      <w:divBdr>
        <w:top w:val="none" w:sz="0" w:space="0" w:color="auto"/>
        <w:left w:val="none" w:sz="0" w:space="0" w:color="auto"/>
        <w:bottom w:val="none" w:sz="0" w:space="0" w:color="auto"/>
        <w:right w:val="none" w:sz="0" w:space="0" w:color="auto"/>
      </w:divBdr>
      <w:divsChild>
        <w:div w:id="1764689356">
          <w:marLeft w:val="0"/>
          <w:marRight w:val="0"/>
          <w:marTop w:val="0"/>
          <w:marBottom w:val="0"/>
          <w:divBdr>
            <w:top w:val="none" w:sz="0" w:space="0" w:color="auto"/>
            <w:left w:val="none" w:sz="0" w:space="0" w:color="auto"/>
            <w:bottom w:val="none" w:sz="0" w:space="0" w:color="auto"/>
            <w:right w:val="none" w:sz="0" w:space="0" w:color="auto"/>
          </w:divBdr>
          <w:divsChild>
            <w:div w:id="1764689380">
              <w:marLeft w:val="0"/>
              <w:marRight w:val="0"/>
              <w:marTop w:val="0"/>
              <w:marBottom w:val="0"/>
              <w:divBdr>
                <w:top w:val="none" w:sz="0" w:space="0" w:color="auto"/>
                <w:left w:val="none" w:sz="0" w:space="0" w:color="auto"/>
                <w:bottom w:val="none" w:sz="0" w:space="0" w:color="auto"/>
                <w:right w:val="none" w:sz="0" w:space="0" w:color="auto"/>
              </w:divBdr>
            </w:div>
            <w:div w:id="1764689556">
              <w:marLeft w:val="0"/>
              <w:marRight w:val="0"/>
              <w:marTop w:val="0"/>
              <w:marBottom w:val="0"/>
              <w:divBdr>
                <w:top w:val="none" w:sz="0" w:space="0" w:color="auto"/>
                <w:left w:val="none" w:sz="0" w:space="0" w:color="auto"/>
                <w:bottom w:val="none" w:sz="0" w:space="0" w:color="auto"/>
                <w:right w:val="none" w:sz="0" w:space="0" w:color="auto"/>
              </w:divBdr>
            </w:div>
            <w:div w:id="1764689598">
              <w:marLeft w:val="0"/>
              <w:marRight w:val="0"/>
              <w:marTop w:val="0"/>
              <w:marBottom w:val="0"/>
              <w:divBdr>
                <w:top w:val="none" w:sz="0" w:space="0" w:color="auto"/>
                <w:left w:val="none" w:sz="0" w:space="0" w:color="auto"/>
                <w:bottom w:val="none" w:sz="0" w:space="0" w:color="auto"/>
                <w:right w:val="none" w:sz="0" w:space="0" w:color="auto"/>
              </w:divBdr>
            </w:div>
            <w:div w:id="1764689631">
              <w:marLeft w:val="0"/>
              <w:marRight w:val="0"/>
              <w:marTop w:val="0"/>
              <w:marBottom w:val="0"/>
              <w:divBdr>
                <w:top w:val="none" w:sz="0" w:space="0" w:color="auto"/>
                <w:left w:val="none" w:sz="0" w:space="0" w:color="auto"/>
                <w:bottom w:val="none" w:sz="0" w:space="0" w:color="auto"/>
                <w:right w:val="none" w:sz="0" w:space="0" w:color="auto"/>
              </w:divBdr>
            </w:div>
            <w:div w:id="1764689847">
              <w:marLeft w:val="0"/>
              <w:marRight w:val="0"/>
              <w:marTop w:val="0"/>
              <w:marBottom w:val="0"/>
              <w:divBdr>
                <w:top w:val="none" w:sz="0" w:space="0" w:color="auto"/>
                <w:left w:val="none" w:sz="0" w:space="0" w:color="auto"/>
                <w:bottom w:val="none" w:sz="0" w:space="0" w:color="auto"/>
                <w:right w:val="none" w:sz="0" w:space="0" w:color="auto"/>
              </w:divBdr>
            </w:div>
            <w:div w:id="1764690037">
              <w:marLeft w:val="0"/>
              <w:marRight w:val="0"/>
              <w:marTop w:val="0"/>
              <w:marBottom w:val="0"/>
              <w:divBdr>
                <w:top w:val="none" w:sz="0" w:space="0" w:color="auto"/>
                <w:left w:val="none" w:sz="0" w:space="0" w:color="auto"/>
                <w:bottom w:val="none" w:sz="0" w:space="0" w:color="auto"/>
                <w:right w:val="none" w:sz="0" w:space="0" w:color="auto"/>
              </w:divBdr>
            </w:div>
            <w:div w:id="1764690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449">
      <w:marLeft w:val="0"/>
      <w:marRight w:val="0"/>
      <w:marTop w:val="0"/>
      <w:marBottom w:val="0"/>
      <w:divBdr>
        <w:top w:val="none" w:sz="0" w:space="0" w:color="auto"/>
        <w:left w:val="none" w:sz="0" w:space="0" w:color="auto"/>
        <w:bottom w:val="none" w:sz="0" w:space="0" w:color="auto"/>
        <w:right w:val="none" w:sz="0" w:space="0" w:color="auto"/>
      </w:divBdr>
    </w:div>
    <w:div w:id="1764690452">
      <w:marLeft w:val="0"/>
      <w:marRight w:val="0"/>
      <w:marTop w:val="0"/>
      <w:marBottom w:val="0"/>
      <w:divBdr>
        <w:top w:val="none" w:sz="0" w:space="0" w:color="auto"/>
        <w:left w:val="none" w:sz="0" w:space="0" w:color="auto"/>
        <w:bottom w:val="none" w:sz="0" w:space="0" w:color="auto"/>
        <w:right w:val="none" w:sz="0" w:space="0" w:color="auto"/>
      </w:divBdr>
      <w:divsChild>
        <w:div w:id="1764689679">
          <w:marLeft w:val="0"/>
          <w:marRight w:val="0"/>
          <w:marTop w:val="0"/>
          <w:marBottom w:val="0"/>
          <w:divBdr>
            <w:top w:val="none" w:sz="0" w:space="0" w:color="auto"/>
            <w:left w:val="none" w:sz="0" w:space="0" w:color="auto"/>
            <w:bottom w:val="none" w:sz="0" w:space="0" w:color="auto"/>
            <w:right w:val="none" w:sz="0" w:space="0" w:color="auto"/>
          </w:divBdr>
          <w:divsChild>
            <w:div w:id="1764689713">
              <w:marLeft w:val="0"/>
              <w:marRight w:val="0"/>
              <w:marTop w:val="0"/>
              <w:marBottom w:val="0"/>
              <w:divBdr>
                <w:top w:val="none" w:sz="0" w:space="0" w:color="auto"/>
                <w:left w:val="none" w:sz="0" w:space="0" w:color="auto"/>
                <w:bottom w:val="none" w:sz="0" w:space="0" w:color="auto"/>
                <w:right w:val="none" w:sz="0" w:space="0" w:color="auto"/>
              </w:divBdr>
            </w:div>
            <w:div w:id="1764689827">
              <w:marLeft w:val="0"/>
              <w:marRight w:val="0"/>
              <w:marTop w:val="0"/>
              <w:marBottom w:val="0"/>
              <w:divBdr>
                <w:top w:val="none" w:sz="0" w:space="0" w:color="auto"/>
                <w:left w:val="none" w:sz="0" w:space="0" w:color="auto"/>
                <w:bottom w:val="none" w:sz="0" w:space="0" w:color="auto"/>
                <w:right w:val="none" w:sz="0" w:space="0" w:color="auto"/>
              </w:divBdr>
            </w:div>
            <w:div w:id="1764690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453">
      <w:marLeft w:val="0"/>
      <w:marRight w:val="0"/>
      <w:marTop w:val="0"/>
      <w:marBottom w:val="0"/>
      <w:divBdr>
        <w:top w:val="none" w:sz="0" w:space="0" w:color="auto"/>
        <w:left w:val="none" w:sz="0" w:space="0" w:color="auto"/>
        <w:bottom w:val="none" w:sz="0" w:space="0" w:color="auto"/>
        <w:right w:val="none" w:sz="0" w:space="0" w:color="auto"/>
      </w:divBdr>
      <w:divsChild>
        <w:div w:id="1764689438">
          <w:marLeft w:val="0"/>
          <w:marRight w:val="0"/>
          <w:marTop w:val="0"/>
          <w:marBottom w:val="0"/>
          <w:divBdr>
            <w:top w:val="none" w:sz="0" w:space="0" w:color="auto"/>
            <w:left w:val="none" w:sz="0" w:space="0" w:color="auto"/>
            <w:bottom w:val="none" w:sz="0" w:space="0" w:color="auto"/>
            <w:right w:val="none" w:sz="0" w:space="0" w:color="auto"/>
          </w:divBdr>
          <w:divsChild>
            <w:div w:id="1764689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456">
      <w:marLeft w:val="0"/>
      <w:marRight w:val="0"/>
      <w:marTop w:val="0"/>
      <w:marBottom w:val="0"/>
      <w:divBdr>
        <w:top w:val="none" w:sz="0" w:space="0" w:color="auto"/>
        <w:left w:val="none" w:sz="0" w:space="0" w:color="auto"/>
        <w:bottom w:val="none" w:sz="0" w:space="0" w:color="auto"/>
        <w:right w:val="none" w:sz="0" w:space="0" w:color="auto"/>
      </w:divBdr>
    </w:div>
    <w:div w:id="1764690460">
      <w:marLeft w:val="0"/>
      <w:marRight w:val="0"/>
      <w:marTop w:val="0"/>
      <w:marBottom w:val="0"/>
      <w:divBdr>
        <w:top w:val="none" w:sz="0" w:space="0" w:color="auto"/>
        <w:left w:val="none" w:sz="0" w:space="0" w:color="auto"/>
        <w:bottom w:val="none" w:sz="0" w:space="0" w:color="auto"/>
        <w:right w:val="none" w:sz="0" w:space="0" w:color="auto"/>
      </w:divBdr>
      <w:divsChild>
        <w:div w:id="1764690418">
          <w:marLeft w:val="0"/>
          <w:marRight w:val="0"/>
          <w:marTop w:val="0"/>
          <w:marBottom w:val="0"/>
          <w:divBdr>
            <w:top w:val="none" w:sz="0" w:space="0" w:color="auto"/>
            <w:left w:val="none" w:sz="0" w:space="0" w:color="auto"/>
            <w:bottom w:val="none" w:sz="0" w:space="0" w:color="auto"/>
            <w:right w:val="none" w:sz="0" w:space="0" w:color="auto"/>
          </w:divBdr>
        </w:div>
      </w:divsChild>
    </w:div>
    <w:div w:id="1764690461">
      <w:marLeft w:val="0"/>
      <w:marRight w:val="0"/>
      <w:marTop w:val="0"/>
      <w:marBottom w:val="0"/>
      <w:divBdr>
        <w:top w:val="none" w:sz="0" w:space="0" w:color="auto"/>
        <w:left w:val="none" w:sz="0" w:space="0" w:color="auto"/>
        <w:bottom w:val="none" w:sz="0" w:space="0" w:color="auto"/>
        <w:right w:val="none" w:sz="0" w:space="0" w:color="auto"/>
      </w:divBdr>
    </w:div>
    <w:div w:id="1764690462">
      <w:marLeft w:val="0"/>
      <w:marRight w:val="0"/>
      <w:marTop w:val="0"/>
      <w:marBottom w:val="0"/>
      <w:divBdr>
        <w:top w:val="none" w:sz="0" w:space="0" w:color="auto"/>
        <w:left w:val="none" w:sz="0" w:space="0" w:color="auto"/>
        <w:bottom w:val="none" w:sz="0" w:space="0" w:color="auto"/>
        <w:right w:val="none" w:sz="0" w:space="0" w:color="auto"/>
      </w:divBdr>
      <w:divsChild>
        <w:div w:id="1764690471">
          <w:marLeft w:val="0"/>
          <w:marRight w:val="0"/>
          <w:marTop w:val="0"/>
          <w:marBottom w:val="0"/>
          <w:divBdr>
            <w:top w:val="none" w:sz="0" w:space="0" w:color="auto"/>
            <w:left w:val="none" w:sz="0" w:space="0" w:color="auto"/>
            <w:bottom w:val="none" w:sz="0" w:space="0" w:color="auto"/>
            <w:right w:val="none" w:sz="0" w:space="0" w:color="auto"/>
          </w:divBdr>
          <w:divsChild>
            <w:div w:id="1764689536">
              <w:marLeft w:val="0"/>
              <w:marRight w:val="0"/>
              <w:marTop w:val="0"/>
              <w:marBottom w:val="0"/>
              <w:divBdr>
                <w:top w:val="none" w:sz="0" w:space="0" w:color="auto"/>
                <w:left w:val="none" w:sz="0" w:space="0" w:color="auto"/>
                <w:bottom w:val="none" w:sz="0" w:space="0" w:color="auto"/>
                <w:right w:val="none" w:sz="0" w:space="0" w:color="auto"/>
              </w:divBdr>
            </w:div>
            <w:div w:id="1764690482">
              <w:marLeft w:val="0"/>
              <w:marRight w:val="0"/>
              <w:marTop w:val="0"/>
              <w:marBottom w:val="0"/>
              <w:divBdr>
                <w:top w:val="none" w:sz="0" w:space="0" w:color="auto"/>
                <w:left w:val="none" w:sz="0" w:space="0" w:color="auto"/>
                <w:bottom w:val="none" w:sz="0" w:space="0" w:color="auto"/>
                <w:right w:val="none" w:sz="0" w:space="0" w:color="auto"/>
              </w:divBdr>
            </w:div>
            <w:div w:id="1764690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466">
      <w:marLeft w:val="0"/>
      <w:marRight w:val="0"/>
      <w:marTop w:val="0"/>
      <w:marBottom w:val="0"/>
      <w:divBdr>
        <w:top w:val="none" w:sz="0" w:space="0" w:color="auto"/>
        <w:left w:val="none" w:sz="0" w:space="0" w:color="auto"/>
        <w:bottom w:val="none" w:sz="0" w:space="0" w:color="auto"/>
        <w:right w:val="none" w:sz="0" w:space="0" w:color="auto"/>
      </w:divBdr>
      <w:divsChild>
        <w:div w:id="1764689890">
          <w:marLeft w:val="0"/>
          <w:marRight w:val="0"/>
          <w:marTop w:val="0"/>
          <w:marBottom w:val="0"/>
          <w:divBdr>
            <w:top w:val="none" w:sz="0" w:space="0" w:color="auto"/>
            <w:left w:val="none" w:sz="0" w:space="0" w:color="auto"/>
            <w:bottom w:val="none" w:sz="0" w:space="0" w:color="auto"/>
            <w:right w:val="none" w:sz="0" w:space="0" w:color="auto"/>
          </w:divBdr>
        </w:div>
      </w:divsChild>
    </w:div>
    <w:div w:id="1764690469">
      <w:marLeft w:val="0"/>
      <w:marRight w:val="0"/>
      <w:marTop w:val="0"/>
      <w:marBottom w:val="0"/>
      <w:divBdr>
        <w:top w:val="none" w:sz="0" w:space="0" w:color="auto"/>
        <w:left w:val="none" w:sz="0" w:space="0" w:color="auto"/>
        <w:bottom w:val="none" w:sz="0" w:space="0" w:color="auto"/>
        <w:right w:val="none" w:sz="0" w:space="0" w:color="auto"/>
      </w:divBdr>
      <w:divsChild>
        <w:div w:id="1764690052">
          <w:marLeft w:val="0"/>
          <w:marRight w:val="0"/>
          <w:marTop w:val="0"/>
          <w:marBottom w:val="0"/>
          <w:divBdr>
            <w:top w:val="none" w:sz="0" w:space="0" w:color="auto"/>
            <w:left w:val="none" w:sz="0" w:space="0" w:color="auto"/>
            <w:bottom w:val="none" w:sz="0" w:space="0" w:color="auto"/>
            <w:right w:val="none" w:sz="0" w:space="0" w:color="auto"/>
          </w:divBdr>
        </w:div>
        <w:div w:id="1764690317">
          <w:marLeft w:val="0"/>
          <w:marRight w:val="0"/>
          <w:marTop w:val="0"/>
          <w:marBottom w:val="0"/>
          <w:divBdr>
            <w:top w:val="none" w:sz="0" w:space="0" w:color="auto"/>
            <w:left w:val="none" w:sz="0" w:space="0" w:color="auto"/>
            <w:bottom w:val="none" w:sz="0" w:space="0" w:color="auto"/>
            <w:right w:val="none" w:sz="0" w:space="0" w:color="auto"/>
          </w:divBdr>
        </w:div>
        <w:div w:id="1764690347">
          <w:marLeft w:val="0"/>
          <w:marRight w:val="0"/>
          <w:marTop w:val="0"/>
          <w:marBottom w:val="0"/>
          <w:divBdr>
            <w:top w:val="none" w:sz="0" w:space="0" w:color="auto"/>
            <w:left w:val="none" w:sz="0" w:space="0" w:color="auto"/>
            <w:bottom w:val="none" w:sz="0" w:space="0" w:color="auto"/>
            <w:right w:val="none" w:sz="0" w:space="0" w:color="auto"/>
          </w:divBdr>
        </w:div>
        <w:div w:id="1764690384">
          <w:marLeft w:val="0"/>
          <w:marRight w:val="0"/>
          <w:marTop w:val="0"/>
          <w:marBottom w:val="0"/>
          <w:divBdr>
            <w:top w:val="none" w:sz="0" w:space="0" w:color="auto"/>
            <w:left w:val="none" w:sz="0" w:space="0" w:color="auto"/>
            <w:bottom w:val="none" w:sz="0" w:space="0" w:color="auto"/>
            <w:right w:val="none" w:sz="0" w:space="0" w:color="auto"/>
          </w:divBdr>
        </w:div>
        <w:div w:id="1764690393">
          <w:marLeft w:val="0"/>
          <w:marRight w:val="0"/>
          <w:marTop w:val="0"/>
          <w:marBottom w:val="0"/>
          <w:divBdr>
            <w:top w:val="none" w:sz="0" w:space="0" w:color="auto"/>
            <w:left w:val="none" w:sz="0" w:space="0" w:color="auto"/>
            <w:bottom w:val="none" w:sz="0" w:space="0" w:color="auto"/>
            <w:right w:val="none" w:sz="0" w:space="0" w:color="auto"/>
          </w:divBdr>
        </w:div>
      </w:divsChild>
    </w:div>
    <w:div w:id="1764690472">
      <w:marLeft w:val="0"/>
      <w:marRight w:val="0"/>
      <w:marTop w:val="0"/>
      <w:marBottom w:val="0"/>
      <w:divBdr>
        <w:top w:val="none" w:sz="0" w:space="0" w:color="auto"/>
        <w:left w:val="none" w:sz="0" w:space="0" w:color="auto"/>
        <w:bottom w:val="none" w:sz="0" w:space="0" w:color="auto"/>
        <w:right w:val="none" w:sz="0" w:space="0" w:color="auto"/>
      </w:divBdr>
    </w:div>
    <w:div w:id="1764690473">
      <w:marLeft w:val="0"/>
      <w:marRight w:val="0"/>
      <w:marTop w:val="0"/>
      <w:marBottom w:val="0"/>
      <w:divBdr>
        <w:top w:val="none" w:sz="0" w:space="0" w:color="auto"/>
        <w:left w:val="none" w:sz="0" w:space="0" w:color="auto"/>
        <w:bottom w:val="none" w:sz="0" w:space="0" w:color="auto"/>
        <w:right w:val="none" w:sz="0" w:space="0" w:color="auto"/>
      </w:divBdr>
    </w:div>
    <w:div w:id="1764690474">
      <w:marLeft w:val="0"/>
      <w:marRight w:val="0"/>
      <w:marTop w:val="0"/>
      <w:marBottom w:val="0"/>
      <w:divBdr>
        <w:top w:val="none" w:sz="0" w:space="0" w:color="auto"/>
        <w:left w:val="none" w:sz="0" w:space="0" w:color="auto"/>
        <w:bottom w:val="none" w:sz="0" w:space="0" w:color="auto"/>
        <w:right w:val="none" w:sz="0" w:space="0" w:color="auto"/>
      </w:divBdr>
      <w:divsChild>
        <w:div w:id="1764690111">
          <w:marLeft w:val="0"/>
          <w:marRight w:val="0"/>
          <w:marTop w:val="0"/>
          <w:marBottom w:val="0"/>
          <w:divBdr>
            <w:top w:val="none" w:sz="0" w:space="0" w:color="auto"/>
            <w:left w:val="none" w:sz="0" w:space="0" w:color="auto"/>
            <w:bottom w:val="none" w:sz="0" w:space="0" w:color="auto"/>
            <w:right w:val="none" w:sz="0" w:space="0" w:color="auto"/>
          </w:divBdr>
        </w:div>
      </w:divsChild>
    </w:div>
    <w:div w:id="1764690475">
      <w:marLeft w:val="0"/>
      <w:marRight w:val="0"/>
      <w:marTop w:val="0"/>
      <w:marBottom w:val="0"/>
      <w:divBdr>
        <w:top w:val="none" w:sz="0" w:space="0" w:color="auto"/>
        <w:left w:val="none" w:sz="0" w:space="0" w:color="auto"/>
        <w:bottom w:val="none" w:sz="0" w:space="0" w:color="auto"/>
        <w:right w:val="none" w:sz="0" w:space="0" w:color="auto"/>
      </w:divBdr>
      <w:divsChild>
        <w:div w:id="1764690345">
          <w:marLeft w:val="0"/>
          <w:marRight w:val="0"/>
          <w:marTop w:val="0"/>
          <w:marBottom w:val="0"/>
          <w:divBdr>
            <w:top w:val="none" w:sz="0" w:space="0" w:color="auto"/>
            <w:left w:val="none" w:sz="0" w:space="0" w:color="auto"/>
            <w:bottom w:val="none" w:sz="0" w:space="0" w:color="auto"/>
            <w:right w:val="none" w:sz="0" w:space="0" w:color="auto"/>
          </w:divBdr>
          <w:divsChild>
            <w:div w:id="1764689070">
              <w:marLeft w:val="0"/>
              <w:marRight w:val="0"/>
              <w:marTop w:val="0"/>
              <w:marBottom w:val="0"/>
              <w:divBdr>
                <w:top w:val="none" w:sz="0" w:space="0" w:color="auto"/>
                <w:left w:val="none" w:sz="0" w:space="0" w:color="auto"/>
                <w:bottom w:val="none" w:sz="0" w:space="0" w:color="auto"/>
                <w:right w:val="none" w:sz="0" w:space="0" w:color="auto"/>
              </w:divBdr>
            </w:div>
            <w:div w:id="1764689105">
              <w:marLeft w:val="0"/>
              <w:marRight w:val="0"/>
              <w:marTop w:val="0"/>
              <w:marBottom w:val="0"/>
              <w:divBdr>
                <w:top w:val="none" w:sz="0" w:space="0" w:color="auto"/>
                <w:left w:val="none" w:sz="0" w:space="0" w:color="auto"/>
                <w:bottom w:val="none" w:sz="0" w:space="0" w:color="auto"/>
                <w:right w:val="none" w:sz="0" w:space="0" w:color="auto"/>
              </w:divBdr>
            </w:div>
            <w:div w:id="1764689698">
              <w:marLeft w:val="0"/>
              <w:marRight w:val="0"/>
              <w:marTop w:val="0"/>
              <w:marBottom w:val="0"/>
              <w:divBdr>
                <w:top w:val="none" w:sz="0" w:space="0" w:color="auto"/>
                <w:left w:val="none" w:sz="0" w:space="0" w:color="auto"/>
                <w:bottom w:val="none" w:sz="0" w:space="0" w:color="auto"/>
                <w:right w:val="none" w:sz="0" w:space="0" w:color="auto"/>
              </w:divBdr>
            </w:div>
            <w:div w:id="1764690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478">
      <w:marLeft w:val="0"/>
      <w:marRight w:val="0"/>
      <w:marTop w:val="0"/>
      <w:marBottom w:val="0"/>
      <w:divBdr>
        <w:top w:val="none" w:sz="0" w:space="0" w:color="auto"/>
        <w:left w:val="none" w:sz="0" w:space="0" w:color="auto"/>
        <w:bottom w:val="none" w:sz="0" w:space="0" w:color="auto"/>
        <w:right w:val="none" w:sz="0" w:space="0" w:color="auto"/>
      </w:divBdr>
    </w:div>
    <w:div w:id="1764690479">
      <w:marLeft w:val="0"/>
      <w:marRight w:val="0"/>
      <w:marTop w:val="0"/>
      <w:marBottom w:val="0"/>
      <w:divBdr>
        <w:top w:val="none" w:sz="0" w:space="0" w:color="auto"/>
        <w:left w:val="none" w:sz="0" w:space="0" w:color="auto"/>
        <w:bottom w:val="none" w:sz="0" w:space="0" w:color="auto"/>
        <w:right w:val="none" w:sz="0" w:space="0" w:color="auto"/>
      </w:divBdr>
      <w:divsChild>
        <w:div w:id="1764690580">
          <w:marLeft w:val="0"/>
          <w:marRight w:val="0"/>
          <w:marTop w:val="0"/>
          <w:marBottom w:val="0"/>
          <w:divBdr>
            <w:top w:val="none" w:sz="0" w:space="0" w:color="auto"/>
            <w:left w:val="none" w:sz="0" w:space="0" w:color="auto"/>
            <w:bottom w:val="none" w:sz="0" w:space="0" w:color="auto"/>
            <w:right w:val="none" w:sz="0" w:space="0" w:color="auto"/>
          </w:divBdr>
          <w:divsChild>
            <w:div w:id="1764689529">
              <w:marLeft w:val="0"/>
              <w:marRight w:val="0"/>
              <w:marTop w:val="0"/>
              <w:marBottom w:val="0"/>
              <w:divBdr>
                <w:top w:val="none" w:sz="0" w:space="0" w:color="auto"/>
                <w:left w:val="none" w:sz="0" w:space="0" w:color="auto"/>
                <w:bottom w:val="none" w:sz="0" w:space="0" w:color="auto"/>
                <w:right w:val="none" w:sz="0" w:space="0" w:color="auto"/>
              </w:divBdr>
            </w:div>
            <w:div w:id="1764689790">
              <w:marLeft w:val="0"/>
              <w:marRight w:val="0"/>
              <w:marTop w:val="0"/>
              <w:marBottom w:val="0"/>
              <w:divBdr>
                <w:top w:val="none" w:sz="0" w:space="0" w:color="auto"/>
                <w:left w:val="none" w:sz="0" w:space="0" w:color="auto"/>
                <w:bottom w:val="none" w:sz="0" w:space="0" w:color="auto"/>
                <w:right w:val="none" w:sz="0" w:space="0" w:color="auto"/>
              </w:divBdr>
            </w:div>
            <w:div w:id="1764689940">
              <w:marLeft w:val="0"/>
              <w:marRight w:val="0"/>
              <w:marTop w:val="0"/>
              <w:marBottom w:val="0"/>
              <w:divBdr>
                <w:top w:val="none" w:sz="0" w:space="0" w:color="auto"/>
                <w:left w:val="none" w:sz="0" w:space="0" w:color="auto"/>
                <w:bottom w:val="none" w:sz="0" w:space="0" w:color="auto"/>
                <w:right w:val="none" w:sz="0" w:space="0" w:color="auto"/>
              </w:divBdr>
            </w:div>
            <w:div w:id="1764690212">
              <w:marLeft w:val="0"/>
              <w:marRight w:val="0"/>
              <w:marTop w:val="0"/>
              <w:marBottom w:val="0"/>
              <w:divBdr>
                <w:top w:val="none" w:sz="0" w:space="0" w:color="auto"/>
                <w:left w:val="none" w:sz="0" w:space="0" w:color="auto"/>
                <w:bottom w:val="none" w:sz="0" w:space="0" w:color="auto"/>
                <w:right w:val="none" w:sz="0" w:space="0" w:color="auto"/>
              </w:divBdr>
            </w:div>
            <w:div w:id="1764690248">
              <w:marLeft w:val="0"/>
              <w:marRight w:val="0"/>
              <w:marTop w:val="0"/>
              <w:marBottom w:val="0"/>
              <w:divBdr>
                <w:top w:val="none" w:sz="0" w:space="0" w:color="auto"/>
                <w:left w:val="none" w:sz="0" w:space="0" w:color="auto"/>
                <w:bottom w:val="none" w:sz="0" w:space="0" w:color="auto"/>
                <w:right w:val="none" w:sz="0" w:space="0" w:color="auto"/>
              </w:divBdr>
            </w:div>
            <w:div w:id="1764690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485">
      <w:marLeft w:val="0"/>
      <w:marRight w:val="0"/>
      <w:marTop w:val="0"/>
      <w:marBottom w:val="0"/>
      <w:divBdr>
        <w:top w:val="none" w:sz="0" w:space="0" w:color="auto"/>
        <w:left w:val="none" w:sz="0" w:space="0" w:color="auto"/>
        <w:bottom w:val="none" w:sz="0" w:space="0" w:color="auto"/>
        <w:right w:val="none" w:sz="0" w:space="0" w:color="auto"/>
      </w:divBdr>
    </w:div>
    <w:div w:id="1764690488">
      <w:marLeft w:val="0"/>
      <w:marRight w:val="0"/>
      <w:marTop w:val="0"/>
      <w:marBottom w:val="0"/>
      <w:divBdr>
        <w:top w:val="none" w:sz="0" w:space="0" w:color="auto"/>
        <w:left w:val="none" w:sz="0" w:space="0" w:color="auto"/>
        <w:bottom w:val="none" w:sz="0" w:space="0" w:color="auto"/>
        <w:right w:val="none" w:sz="0" w:space="0" w:color="auto"/>
      </w:divBdr>
      <w:divsChild>
        <w:div w:id="1764689450">
          <w:marLeft w:val="0"/>
          <w:marRight w:val="0"/>
          <w:marTop w:val="0"/>
          <w:marBottom w:val="0"/>
          <w:divBdr>
            <w:top w:val="none" w:sz="0" w:space="0" w:color="auto"/>
            <w:left w:val="none" w:sz="0" w:space="0" w:color="auto"/>
            <w:bottom w:val="none" w:sz="0" w:space="0" w:color="auto"/>
            <w:right w:val="none" w:sz="0" w:space="0" w:color="auto"/>
          </w:divBdr>
          <w:divsChild>
            <w:div w:id="1764689063">
              <w:marLeft w:val="0"/>
              <w:marRight w:val="0"/>
              <w:marTop w:val="0"/>
              <w:marBottom w:val="0"/>
              <w:divBdr>
                <w:top w:val="none" w:sz="0" w:space="0" w:color="auto"/>
                <w:left w:val="none" w:sz="0" w:space="0" w:color="auto"/>
                <w:bottom w:val="none" w:sz="0" w:space="0" w:color="auto"/>
                <w:right w:val="none" w:sz="0" w:space="0" w:color="auto"/>
              </w:divBdr>
            </w:div>
            <w:div w:id="1764689101">
              <w:marLeft w:val="0"/>
              <w:marRight w:val="0"/>
              <w:marTop w:val="0"/>
              <w:marBottom w:val="0"/>
              <w:divBdr>
                <w:top w:val="none" w:sz="0" w:space="0" w:color="auto"/>
                <w:left w:val="none" w:sz="0" w:space="0" w:color="auto"/>
                <w:bottom w:val="none" w:sz="0" w:space="0" w:color="auto"/>
                <w:right w:val="none" w:sz="0" w:space="0" w:color="auto"/>
              </w:divBdr>
            </w:div>
            <w:div w:id="1764689129">
              <w:marLeft w:val="0"/>
              <w:marRight w:val="0"/>
              <w:marTop w:val="0"/>
              <w:marBottom w:val="0"/>
              <w:divBdr>
                <w:top w:val="none" w:sz="0" w:space="0" w:color="auto"/>
                <w:left w:val="none" w:sz="0" w:space="0" w:color="auto"/>
                <w:bottom w:val="none" w:sz="0" w:space="0" w:color="auto"/>
                <w:right w:val="none" w:sz="0" w:space="0" w:color="auto"/>
              </w:divBdr>
            </w:div>
            <w:div w:id="1764689195">
              <w:marLeft w:val="0"/>
              <w:marRight w:val="0"/>
              <w:marTop w:val="0"/>
              <w:marBottom w:val="0"/>
              <w:divBdr>
                <w:top w:val="none" w:sz="0" w:space="0" w:color="auto"/>
                <w:left w:val="none" w:sz="0" w:space="0" w:color="auto"/>
                <w:bottom w:val="none" w:sz="0" w:space="0" w:color="auto"/>
                <w:right w:val="none" w:sz="0" w:space="0" w:color="auto"/>
              </w:divBdr>
            </w:div>
            <w:div w:id="1764689471">
              <w:marLeft w:val="0"/>
              <w:marRight w:val="0"/>
              <w:marTop w:val="0"/>
              <w:marBottom w:val="0"/>
              <w:divBdr>
                <w:top w:val="none" w:sz="0" w:space="0" w:color="auto"/>
                <w:left w:val="none" w:sz="0" w:space="0" w:color="auto"/>
                <w:bottom w:val="none" w:sz="0" w:space="0" w:color="auto"/>
                <w:right w:val="none" w:sz="0" w:space="0" w:color="auto"/>
              </w:divBdr>
            </w:div>
            <w:div w:id="1764689717">
              <w:marLeft w:val="0"/>
              <w:marRight w:val="0"/>
              <w:marTop w:val="0"/>
              <w:marBottom w:val="0"/>
              <w:divBdr>
                <w:top w:val="none" w:sz="0" w:space="0" w:color="auto"/>
                <w:left w:val="none" w:sz="0" w:space="0" w:color="auto"/>
                <w:bottom w:val="none" w:sz="0" w:space="0" w:color="auto"/>
                <w:right w:val="none" w:sz="0" w:space="0" w:color="auto"/>
              </w:divBdr>
            </w:div>
            <w:div w:id="1764689843">
              <w:marLeft w:val="0"/>
              <w:marRight w:val="0"/>
              <w:marTop w:val="0"/>
              <w:marBottom w:val="0"/>
              <w:divBdr>
                <w:top w:val="none" w:sz="0" w:space="0" w:color="auto"/>
                <w:left w:val="none" w:sz="0" w:space="0" w:color="auto"/>
                <w:bottom w:val="none" w:sz="0" w:space="0" w:color="auto"/>
                <w:right w:val="none" w:sz="0" w:space="0" w:color="auto"/>
              </w:divBdr>
            </w:div>
            <w:div w:id="1764690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489">
      <w:marLeft w:val="0"/>
      <w:marRight w:val="0"/>
      <w:marTop w:val="0"/>
      <w:marBottom w:val="0"/>
      <w:divBdr>
        <w:top w:val="none" w:sz="0" w:space="0" w:color="auto"/>
        <w:left w:val="none" w:sz="0" w:space="0" w:color="auto"/>
        <w:bottom w:val="none" w:sz="0" w:space="0" w:color="auto"/>
        <w:right w:val="none" w:sz="0" w:space="0" w:color="auto"/>
      </w:divBdr>
      <w:divsChild>
        <w:div w:id="1764689918">
          <w:marLeft w:val="0"/>
          <w:marRight w:val="0"/>
          <w:marTop w:val="0"/>
          <w:marBottom w:val="0"/>
          <w:divBdr>
            <w:top w:val="none" w:sz="0" w:space="0" w:color="auto"/>
            <w:left w:val="none" w:sz="0" w:space="0" w:color="auto"/>
            <w:bottom w:val="none" w:sz="0" w:space="0" w:color="auto"/>
            <w:right w:val="none" w:sz="0" w:space="0" w:color="auto"/>
          </w:divBdr>
          <w:divsChild>
            <w:div w:id="1764690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490">
      <w:marLeft w:val="0"/>
      <w:marRight w:val="0"/>
      <w:marTop w:val="0"/>
      <w:marBottom w:val="0"/>
      <w:divBdr>
        <w:top w:val="none" w:sz="0" w:space="0" w:color="auto"/>
        <w:left w:val="none" w:sz="0" w:space="0" w:color="auto"/>
        <w:bottom w:val="none" w:sz="0" w:space="0" w:color="auto"/>
        <w:right w:val="none" w:sz="0" w:space="0" w:color="auto"/>
      </w:divBdr>
      <w:divsChild>
        <w:div w:id="1764689639">
          <w:marLeft w:val="0"/>
          <w:marRight w:val="0"/>
          <w:marTop w:val="0"/>
          <w:marBottom w:val="0"/>
          <w:divBdr>
            <w:top w:val="none" w:sz="0" w:space="0" w:color="auto"/>
            <w:left w:val="none" w:sz="0" w:space="0" w:color="auto"/>
            <w:bottom w:val="none" w:sz="0" w:space="0" w:color="auto"/>
            <w:right w:val="none" w:sz="0" w:space="0" w:color="auto"/>
          </w:divBdr>
          <w:divsChild>
            <w:div w:id="1764689048">
              <w:marLeft w:val="0"/>
              <w:marRight w:val="0"/>
              <w:marTop w:val="0"/>
              <w:marBottom w:val="0"/>
              <w:divBdr>
                <w:top w:val="none" w:sz="0" w:space="0" w:color="auto"/>
                <w:left w:val="none" w:sz="0" w:space="0" w:color="auto"/>
                <w:bottom w:val="none" w:sz="0" w:space="0" w:color="auto"/>
                <w:right w:val="none" w:sz="0" w:space="0" w:color="auto"/>
              </w:divBdr>
            </w:div>
            <w:div w:id="1764690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496">
      <w:marLeft w:val="0"/>
      <w:marRight w:val="0"/>
      <w:marTop w:val="0"/>
      <w:marBottom w:val="0"/>
      <w:divBdr>
        <w:top w:val="none" w:sz="0" w:space="0" w:color="auto"/>
        <w:left w:val="none" w:sz="0" w:space="0" w:color="auto"/>
        <w:bottom w:val="none" w:sz="0" w:space="0" w:color="auto"/>
        <w:right w:val="none" w:sz="0" w:space="0" w:color="auto"/>
      </w:divBdr>
      <w:divsChild>
        <w:div w:id="1764690499">
          <w:marLeft w:val="0"/>
          <w:marRight w:val="0"/>
          <w:marTop w:val="0"/>
          <w:marBottom w:val="0"/>
          <w:divBdr>
            <w:top w:val="none" w:sz="0" w:space="0" w:color="auto"/>
            <w:left w:val="none" w:sz="0" w:space="0" w:color="auto"/>
            <w:bottom w:val="none" w:sz="0" w:space="0" w:color="auto"/>
            <w:right w:val="none" w:sz="0" w:space="0" w:color="auto"/>
          </w:divBdr>
          <w:divsChild>
            <w:div w:id="1764689447">
              <w:marLeft w:val="0"/>
              <w:marRight w:val="0"/>
              <w:marTop w:val="0"/>
              <w:marBottom w:val="0"/>
              <w:divBdr>
                <w:top w:val="none" w:sz="0" w:space="0" w:color="auto"/>
                <w:left w:val="none" w:sz="0" w:space="0" w:color="auto"/>
                <w:bottom w:val="none" w:sz="0" w:space="0" w:color="auto"/>
                <w:right w:val="none" w:sz="0" w:space="0" w:color="auto"/>
              </w:divBdr>
            </w:div>
            <w:div w:id="1764689757">
              <w:marLeft w:val="0"/>
              <w:marRight w:val="0"/>
              <w:marTop w:val="0"/>
              <w:marBottom w:val="0"/>
              <w:divBdr>
                <w:top w:val="none" w:sz="0" w:space="0" w:color="auto"/>
                <w:left w:val="none" w:sz="0" w:space="0" w:color="auto"/>
                <w:bottom w:val="none" w:sz="0" w:space="0" w:color="auto"/>
                <w:right w:val="none" w:sz="0" w:space="0" w:color="auto"/>
              </w:divBdr>
            </w:div>
            <w:div w:id="1764690364">
              <w:marLeft w:val="0"/>
              <w:marRight w:val="0"/>
              <w:marTop w:val="0"/>
              <w:marBottom w:val="0"/>
              <w:divBdr>
                <w:top w:val="none" w:sz="0" w:space="0" w:color="auto"/>
                <w:left w:val="none" w:sz="0" w:space="0" w:color="auto"/>
                <w:bottom w:val="none" w:sz="0" w:space="0" w:color="auto"/>
                <w:right w:val="none" w:sz="0" w:space="0" w:color="auto"/>
              </w:divBdr>
            </w:div>
            <w:div w:id="1764690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503">
      <w:marLeft w:val="0"/>
      <w:marRight w:val="0"/>
      <w:marTop w:val="0"/>
      <w:marBottom w:val="0"/>
      <w:divBdr>
        <w:top w:val="none" w:sz="0" w:space="0" w:color="auto"/>
        <w:left w:val="none" w:sz="0" w:space="0" w:color="auto"/>
        <w:bottom w:val="none" w:sz="0" w:space="0" w:color="auto"/>
        <w:right w:val="none" w:sz="0" w:space="0" w:color="auto"/>
      </w:divBdr>
    </w:div>
    <w:div w:id="1764690507">
      <w:marLeft w:val="0"/>
      <w:marRight w:val="0"/>
      <w:marTop w:val="0"/>
      <w:marBottom w:val="0"/>
      <w:divBdr>
        <w:top w:val="none" w:sz="0" w:space="0" w:color="auto"/>
        <w:left w:val="none" w:sz="0" w:space="0" w:color="auto"/>
        <w:bottom w:val="none" w:sz="0" w:space="0" w:color="auto"/>
        <w:right w:val="none" w:sz="0" w:space="0" w:color="auto"/>
      </w:divBdr>
    </w:div>
    <w:div w:id="1764690508">
      <w:marLeft w:val="0"/>
      <w:marRight w:val="0"/>
      <w:marTop w:val="0"/>
      <w:marBottom w:val="0"/>
      <w:divBdr>
        <w:top w:val="none" w:sz="0" w:space="0" w:color="auto"/>
        <w:left w:val="none" w:sz="0" w:space="0" w:color="auto"/>
        <w:bottom w:val="none" w:sz="0" w:space="0" w:color="auto"/>
        <w:right w:val="none" w:sz="0" w:space="0" w:color="auto"/>
      </w:divBdr>
    </w:div>
    <w:div w:id="1764690514">
      <w:marLeft w:val="0"/>
      <w:marRight w:val="0"/>
      <w:marTop w:val="0"/>
      <w:marBottom w:val="0"/>
      <w:divBdr>
        <w:top w:val="none" w:sz="0" w:space="0" w:color="auto"/>
        <w:left w:val="none" w:sz="0" w:space="0" w:color="auto"/>
        <w:bottom w:val="none" w:sz="0" w:space="0" w:color="auto"/>
        <w:right w:val="none" w:sz="0" w:space="0" w:color="auto"/>
      </w:divBdr>
    </w:div>
    <w:div w:id="1764690515">
      <w:marLeft w:val="0"/>
      <w:marRight w:val="0"/>
      <w:marTop w:val="0"/>
      <w:marBottom w:val="0"/>
      <w:divBdr>
        <w:top w:val="none" w:sz="0" w:space="0" w:color="auto"/>
        <w:left w:val="none" w:sz="0" w:space="0" w:color="auto"/>
        <w:bottom w:val="none" w:sz="0" w:space="0" w:color="auto"/>
        <w:right w:val="none" w:sz="0" w:space="0" w:color="auto"/>
      </w:divBdr>
      <w:divsChild>
        <w:div w:id="1764690299">
          <w:marLeft w:val="0"/>
          <w:marRight w:val="0"/>
          <w:marTop w:val="0"/>
          <w:marBottom w:val="0"/>
          <w:divBdr>
            <w:top w:val="none" w:sz="0" w:space="0" w:color="auto"/>
            <w:left w:val="none" w:sz="0" w:space="0" w:color="auto"/>
            <w:bottom w:val="none" w:sz="0" w:space="0" w:color="auto"/>
            <w:right w:val="none" w:sz="0" w:space="0" w:color="auto"/>
          </w:divBdr>
        </w:div>
      </w:divsChild>
    </w:div>
    <w:div w:id="1764690517">
      <w:marLeft w:val="0"/>
      <w:marRight w:val="0"/>
      <w:marTop w:val="0"/>
      <w:marBottom w:val="0"/>
      <w:divBdr>
        <w:top w:val="none" w:sz="0" w:space="0" w:color="auto"/>
        <w:left w:val="none" w:sz="0" w:space="0" w:color="auto"/>
        <w:bottom w:val="none" w:sz="0" w:space="0" w:color="auto"/>
        <w:right w:val="none" w:sz="0" w:space="0" w:color="auto"/>
      </w:divBdr>
      <w:divsChild>
        <w:div w:id="1764690383">
          <w:marLeft w:val="0"/>
          <w:marRight w:val="0"/>
          <w:marTop w:val="0"/>
          <w:marBottom w:val="0"/>
          <w:divBdr>
            <w:top w:val="none" w:sz="0" w:space="0" w:color="auto"/>
            <w:left w:val="none" w:sz="0" w:space="0" w:color="auto"/>
            <w:bottom w:val="none" w:sz="0" w:space="0" w:color="auto"/>
            <w:right w:val="none" w:sz="0" w:space="0" w:color="auto"/>
          </w:divBdr>
          <w:divsChild>
            <w:div w:id="1764689127">
              <w:marLeft w:val="0"/>
              <w:marRight w:val="0"/>
              <w:marTop w:val="0"/>
              <w:marBottom w:val="0"/>
              <w:divBdr>
                <w:top w:val="none" w:sz="0" w:space="0" w:color="auto"/>
                <w:left w:val="none" w:sz="0" w:space="0" w:color="auto"/>
                <w:bottom w:val="none" w:sz="0" w:space="0" w:color="auto"/>
                <w:right w:val="none" w:sz="0" w:space="0" w:color="auto"/>
              </w:divBdr>
            </w:div>
            <w:div w:id="1764689615">
              <w:marLeft w:val="0"/>
              <w:marRight w:val="0"/>
              <w:marTop w:val="0"/>
              <w:marBottom w:val="0"/>
              <w:divBdr>
                <w:top w:val="none" w:sz="0" w:space="0" w:color="auto"/>
                <w:left w:val="none" w:sz="0" w:space="0" w:color="auto"/>
                <w:bottom w:val="none" w:sz="0" w:space="0" w:color="auto"/>
                <w:right w:val="none" w:sz="0" w:space="0" w:color="auto"/>
              </w:divBdr>
            </w:div>
            <w:div w:id="1764689750">
              <w:marLeft w:val="0"/>
              <w:marRight w:val="0"/>
              <w:marTop w:val="0"/>
              <w:marBottom w:val="0"/>
              <w:divBdr>
                <w:top w:val="none" w:sz="0" w:space="0" w:color="auto"/>
                <w:left w:val="none" w:sz="0" w:space="0" w:color="auto"/>
                <w:bottom w:val="none" w:sz="0" w:space="0" w:color="auto"/>
                <w:right w:val="none" w:sz="0" w:space="0" w:color="auto"/>
              </w:divBdr>
            </w:div>
            <w:div w:id="1764689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518">
      <w:marLeft w:val="0"/>
      <w:marRight w:val="0"/>
      <w:marTop w:val="0"/>
      <w:marBottom w:val="0"/>
      <w:divBdr>
        <w:top w:val="none" w:sz="0" w:space="0" w:color="auto"/>
        <w:left w:val="none" w:sz="0" w:space="0" w:color="auto"/>
        <w:bottom w:val="none" w:sz="0" w:space="0" w:color="auto"/>
        <w:right w:val="none" w:sz="0" w:space="0" w:color="auto"/>
      </w:divBdr>
      <w:divsChild>
        <w:div w:id="1764690415">
          <w:marLeft w:val="0"/>
          <w:marRight w:val="0"/>
          <w:marTop w:val="0"/>
          <w:marBottom w:val="0"/>
          <w:divBdr>
            <w:top w:val="none" w:sz="0" w:space="0" w:color="auto"/>
            <w:left w:val="none" w:sz="0" w:space="0" w:color="auto"/>
            <w:bottom w:val="none" w:sz="0" w:space="0" w:color="auto"/>
            <w:right w:val="none" w:sz="0" w:space="0" w:color="auto"/>
          </w:divBdr>
          <w:divsChild>
            <w:div w:id="1764689153">
              <w:marLeft w:val="0"/>
              <w:marRight w:val="0"/>
              <w:marTop w:val="0"/>
              <w:marBottom w:val="0"/>
              <w:divBdr>
                <w:top w:val="none" w:sz="0" w:space="0" w:color="auto"/>
                <w:left w:val="none" w:sz="0" w:space="0" w:color="auto"/>
                <w:bottom w:val="none" w:sz="0" w:space="0" w:color="auto"/>
                <w:right w:val="none" w:sz="0" w:space="0" w:color="auto"/>
              </w:divBdr>
            </w:div>
            <w:div w:id="176468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519">
      <w:marLeft w:val="0"/>
      <w:marRight w:val="0"/>
      <w:marTop w:val="0"/>
      <w:marBottom w:val="0"/>
      <w:divBdr>
        <w:top w:val="none" w:sz="0" w:space="0" w:color="auto"/>
        <w:left w:val="none" w:sz="0" w:space="0" w:color="auto"/>
        <w:bottom w:val="none" w:sz="0" w:space="0" w:color="auto"/>
        <w:right w:val="none" w:sz="0" w:space="0" w:color="auto"/>
      </w:divBdr>
      <w:divsChild>
        <w:div w:id="1764689298">
          <w:marLeft w:val="0"/>
          <w:marRight w:val="0"/>
          <w:marTop w:val="0"/>
          <w:marBottom w:val="0"/>
          <w:divBdr>
            <w:top w:val="none" w:sz="0" w:space="0" w:color="auto"/>
            <w:left w:val="none" w:sz="0" w:space="0" w:color="auto"/>
            <w:bottom w:val="none" w:sz="0" w:space="0" w:color="auto"/>
            <w:right w:val="none" w:sz="0" w:space="0" w:color="auto"/>
          </w:divBdr>
        </w:div>
      </w:divsChild>
    </w:div>
    <w:div w:id="1764690523">
      <w:marLeft w:val="0"/>
      <w:marRight w:val="0"/>
      <w:marTop w:val="0"/>
      <w:marBottom w:val="0"/>
      <w:divBdr>
        <w:top w:val="none" w:sz="0" w:space="0" w:color="auto"/>
        <w:left w:val="none" w:sz="0" w:space="0" w:color="auto"/>
        <w:bottom w:val="none" w:sz="0" w:space="0" w:color="auto"/>
        <w:right w:val="none" w:sz="0" w:space="0" w:color="auto"/>
      </w:divBdr>
    </w:div>
    <w:div w:id="1764690528">
      <w:marLeft w:val="0"/>
      <w:marRight w:val="0"/>
      <w:marTop w:val="0"/>
      <w:marBottom w:val="0"/>
      <w:divBdr>
        <w:top w:val="none" w:sz="0" w:space="0" w:color="auto"/>
        <w:left w:val="none" w:sz="0" w:space="0" w:color="auto"/>
        <w:bottom w:val="none" w:sz="0" w:space="0" w:color="auto"/>
        <w:right w:val="none" w:sz="0" w:space="0" w:color="auto"/>
      </w:divBdr>
      <w:divsChild>
        <w:div w:id="1764690267">
          <w:marLeft w:val="0"/>
          <w:marRight w:val="0"/>
          <w:marTop w:val="0"/>
          <w:marBottom w:val="0"/>
          <w:divBdr>
            <w:top w:val="none" w:sz="0" w:space="0" w:color="auto"/>
            <w:left w:val="none" w:sz="0" w:space="0" w:color="auto"/>
            <w:bottom w:val="none" w:sz="0" w:space="0" w:color="auto"/>
            <w:right w:val="none" w:sz="0" w:space="0" w:color="auto"/>
          </w:divBdr>
        </w:div>
      </w:divsChild>
    </w:div>
    <w:div w:id="1764690531">
      <w:marLeft w:val="0"/>
      <w:marRight w:val="0"/>
      <w:marTop w:val="0"/>
      <w:marBottom w:val="0"/>
      <w:divBdr>
        <w:top w:val="none" w:sz="0" w:space="0" w:color="auto"/>
        <w:left w:val="none" w:sz="0" w:space="0" w:color="auto"/>
        <w:bottom w:val="none" w:sz="0" w:space="0" w:color="auto"/>
        <w:right w:val="none" w:sz="0" w:space="0" w:color="auto"/>
      </w:divBdr>
      <w:divsChild>
        <w:div w:id="1764689605">
          <w:marLeft w:val="0"/>
          <w:marRight w:val="0"/>
          <w:marTop w:val="0"/>
          <w:marBottom w:val="0"/>
          <w:divBdr>
            <w:top w:val="none" w:sz="0" w:space="0" w:color="auto"/>
            <w:left w:val="none" w:sz="0" w:space="0" w:color="auto"/>
            <w:bottom w:val="none" w:sz="0" w:space="0" w:color="auto"/>
            <w:right w:val="none" w:sz="0" w:space="0" w:color="auto"/>
          </w:divBdr>
        </w:div>
      </w:divsChild>
    </w:div>
    <w:div w:id="1764690535">
      <w:marLeft w:val="0"/>
      <w:marRight w:val="0"/>
      <w:marTop w:val="0"/>
      <w:marBottom w:val="0"/>
      <w:divBdr>
        <w:top w:val="none" w:sz="0" w:space="0" w:color="auto"/>
        <w:left w:val="none" w:sz="0" w:space="0" w:color="auto"/>
        <w:bottom w:val="none" w:sz="0" w:space="0" w:color="auto"/>
        <w:right w:val="none" w:sz="0" w:space="0" w:color="auto"/>
      </w:divBdr>
      <w:divsChild>
        <w:div w:id="1764690307">
          <w:marLeft w:val="0"/>
          <w:marRight w:val="0"/>
          <w:marTop w:val="0"/>
          <w:marBottom w:val="0"/>
          <w:divBdr>
            <w:top w:val="none" w:sz="0" w:space="0" w:color="auto"/>
            <w:left w:val="none" w:sz="0" w:space="0" w:color="auto"/>
            <w:bottom w:val="none" w:sz="0" w:space="0" w:color="auto"/>
            <w:right w:val="none" w:sz="0" w:space="0" w:color="auto"/>
          </w:divBdr>
          <w:divsChild>
            <w:div w:id="1764689285">
              <w:marLeft w:val="0"/>
              <w:marRight w:val="0"/>
              <w:marTop w:val="0"/>
              <w:marBottom w:val="0"/>
              <w:divBdr>
                <w:top w:val="none" w:sz="0" w:space="0" w:color="auto"/>
                <w:left w:val="none" w:sz="0" w:space="0" w:color="auto"/>
                <w:bottom w:val="none" w:sz="0" w:space="0" w:color="auto"/>
                <w:right w:val="none" w:sz="0" w:space="0" w:color="auto"/>
              </w:divBdr>
            </w:div>
            <w:div w:id="1764689434">
              <w:marLeft w:val="0"/>
              <w:marRight w:val="0"/>
              <w:marTop w:val="0"/>
              <w:marBottom w:val="0"/>
              <w:divBdr>
                <w:top w:val="none" w:sz="0" w:space="0" w:color="auto"/>
                <w:left w:val="none" w:sz="0" w:space="0" w:color="auto"/>
                <w:bottom w:val="none" w:sz="0" w:space="0" w:color="auto"/>
                <w:right w:val="none" w:sz="0" w:space="0" w:color="auto"/>
              </w:divBdr>
            </w:div>
            <w:div w:id="1764689436">
              <w:marLeft w:val="0"/>
              <w:marRight w:val="0"/>
              <w:marTop w:val="0"/>
              <w:marBottom w:val="0"/>
              <w:divBdr>
                <w:top w:val="none" w:sz="0" w:space="0" w:color="auto"/>
                <w:left w:val="none" w:sz="0" w:space="0" w:color="auto"/>
                <w:bottom w:val="none" w:sz="0" w:space="0" w:color="auto"/>
                <w:right w:val="none" w:sz="0" w:space="0" w:color="auto"/>
              </w:divBdr>
            </w:div>
            <w:div w:id="1764689453">
              <w:marLeft w:val="0"/>
              <w:marRight w:val="0"/>
              <w:marTop w:val="0"/>
              <w:marBottom w:val="0"/>
              <w:divBdr>
                <w:top w:val="none" w:sz="0" w:space="0" w:color="auto"/>
                <w:left w:val="none" w:sz="0" w:space="0" w:color="auto"/>
                <w:bottom w:val="none" w:sz="0" w:space="0" w:color="auto"/>
                <w:right w:val="none" w:sz="0" w:space="0" w:color="auto"/>
              </w:divBdr>
            </w:div>
            <w:div w:id="1764689620">
              <w:marLeft w:val="0"/>
              <w:marRight w:val="0"/>
              <w:marTop w:val="0"/>
              <w:marBottom w:val="0"/>
              <w:divBdr>
                <w:top w:val="none" w:sz="0" w:space="0" w:color="auto"/>
                <w:left w:val="none" w:sz="0" w:space="0" w:color="auto"/>
                <w:bottom w:val="none" w:sz="0" w:space="0" w:color="auto"/>
                <w:right w:val="none" w:sz="0" w:space="0" w:color="auto"/>
              </w:divBdr>
            </w:div>
            <w:div w:id="1764689740">
              <w:marLeft w:val="0"/>
              <w:marRight w:val="0"/>
              <w:marTop w:val="0"/>
              <w:marBottom w:val="0"/>
              <w:divBdr>
                <w:top w:val="none" w:sz="0" w:space="0" w:color="auto"/>
                <w:left w:val="none" w:sz="0" w:space="0" w:color="auto"/>
                <w:bottom w:val="none" w:sz="0" w:space="0" w:color="auto"/>
                <w:right w:val="none" w:sz="0" w:space="0" w:color="auto"/>
              </w:divBdr>
            </w:div>
            <w:div w:id="1764689751">
              <w:marLeft w:val="0"/>
              <w:marRight w:val="0"/>
              <w:marTop w:val="0"/>
              <w:marBottom w:val="0"/>
              <w:divBdr>
                <w:top w:val="none" w:sz="0" w:space="0" w:color="auto"/>
                <w:left w:val="none" w:sz="0" w:space="0" w:color="auto"/>
                <w:bottom w:val="none" w:sz="0" w:space="0" w:color="auto"/>
                <w:right w:val="none" w:sz="0" w:space="0" w:color="auto"/>
              </w:divBdr>
            </w:div>
            <w:div w:id="1764690048">
              <w:marLeft w:val="0"/>
              <w:marRight w:val="0"/>
              <w:marTop w:val="0"/>
              <w:marBottom w:val="0"/>
              <w:divBdr>
                <w:top w:val="none" w:sz="0" w:space="0" w:color="auto"/>
                <w:left w:val="none" w:sz="0" w:space="0" w:color="auto"/>
                <w:bottom w:val="none" w:sz="0" w:space="0" w:color="auto"/>
                <w:right w:val="none" w:sz="0" w:space="0" w:color="auto"/>
              </w:divBdr>
            </w:div>
            <w:div w:id="1764690079">
              <w:marLeft w:val="0"/>
              <w:marRight w:val="0"/>
              <w:marTop w:val="0"/>
              <w:marBottom w:val="0"/>
              <w:divBdr>
                <w:top w:val="none" w:sz="0" w:space="0" w:color="auto"/>
                <w:left w:val="none" w:sz="0" w:space="0" w:color="auto"/>
                <w:bottom w:val="none" w:sz="0" w:space="0" w:color="auto"/>
                <w:right w:val="none" w:sz="0" w:space="0" w:color="auto"/>
              </w:divBdr>
            </w:div>
            <w:div w:id="1764690123">
              <w:marLeft w:val="0"/>
              <w:marRight w:val="0"/>
              <w:marTop w:val="0"/>
              <w:marBottom w:val="0"/>
              <w:divBdr>
                <w:top w:val="none" w:sz="0" w:space="0" w:color="auto"/>
                <w:left w:val="none" w:sz="0" w:space="0" w:color="auto"/>
                <w:bottom w:val="none" w:sz="0" w:space="0" w:color="auto"/>
                <w:right w:val="none" w:sz="0" w:space="0" w:color="auto"/>
              </w:divBdr>
            </w:div>
            <w:div w:id="1764690142">
              <w:marLeft w:val="0"/>
              <w:marRight w:val="0"/>
              <w:marTop w:val="0"/>
              <w:marBottom w:val="0"/>
              <w:divBdr>
                <w:top w:val="none" w:sz="0" w:space="0" w:color="auto"/>
                <w:left w:val="none" w:sz="0" w:space="0" w:color="auto"/>
                <w:bottom w:val="none" w:sz="0" w:space="0" w:color="auto"/>
                <w:right w:val="none" w:sz="0" w:space="0" w:color="auto"/>
              </w:divBdr>
            </w:div>
            <w:div w:id="1764690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536">
      <w:marLeft w:val="0"/>
      <w:marRight w:val="0"/>
      <w:marTop w:val="0"/>
      <w:marBottom w:val="0"/>
      <w:divBdr>
        <w:top w:val="none" w:sz="0" w:space="0" w:color="auto"/>
        <w:left w:val="none" w:sz="0" w:space="0" w:color="auto"/>
        <w:bottom w:val="none" w:sz="0" w:space="0" w:color="auto"/>
        <w:right w:val="none" w:sz="0" w:space="0" w:color="auto"/>
      </w:divBdr>
      <w:divsChild>
        <w:div w:id="1764689780">
          <w:marLeft w:val="0"/>
          <w:marRight w:val="0"/>
          <w:marTop w:val="0"/>
          <w:marBottom w:val="0"/>
          <w:divBdr>
            <w:top w:val="none" w:sz="0" w:space="0" w:color="auto"/>
            <w:left w:val="none" w:sz="0" w:space="0" w:color="auto"/>
            <w:bottom w:val="none" w:sz="0" w:space="0" w:color="auto"/>
            <w:right w:val="none" w:sz="0" w:space="0" w:color="auto"/>
          </w:divBdr>
        </w:div>
      </w:divsChild>
    </w:div>
    <w:div w:id="1764690540">
      <w:marLeft w:val="0"/>
      <w:marRight w:val="0"/>
      <w:marTop w:val="0"/>
      <w:marBottom w:val="0"/>
      <w:divBdr>
        <w:top w:val="none" w:sz="0" w:space="0" w:color="auto"/>
        <w:left w:val="none" w:sz="0" w:space="0" w:color="auto"/>
        <w:bottom w:val="none" w:sz="0" w:space="0" w:color="auto"/>
        <w:right w:val="none" w:sz="0" w:space="0" w:color="auto"/>
      </w:divBdr>
    </w:div>
    <w:div w:id="1764690546">
      <w:marLeft w:val="0"/>
      <w:marRight w:val="0"/>
      <w:marTop w:val="0"/>
      <w:marBottom w:val="0"/>
      <w:divBdr>
        <w:top w:val="none" w:sz="0" w:space="0" w:color="auto"/>
        <w:left w:val="none" w:sz="0" w:space="0" w:color="auto"/>
        <w:bottom w:val="none" w:sz="0" w:space="0" w:color="auto"/>
        <w:right w:val="none" w:sz="0" w:space="0" w:color="auto"/>
      </w:divBdr>
    </w:div>
    <w:div w:id="1764690549">
      <w:marLeft w:val="0"/>
      <w:marRight w:val="0"/>
      <w:marTop w:val="0"/>
      <w:marBottom w:val="0"/>
      <w:divBdr>
        <w:top w:val="none" w:sz="0" w:space="0" w:color="auto"/>
        <w:left w:val="none" w:sz="0" w:space="0" w:color="auto"/>
        <w:bottom w:val="none" w:sz="0" w:space="0" w:color="auto"/>
        <w:right w:val="none" w:sz="0" w:space="0" w:color="auto"/>
      </w:divBdr>
      <w:divsChild>
        <w:div w:id="1764690330">
          <w:marLeft w:val="0"/>
          <w:marRight w:val="0"/>
          <w:marTop w:val="0"/>
          <w:marBottom w:val="0"/>
          <w:divBdr>
            <w:top w:val="none" w:sz="0" w:space="0" w:color="auto"/>
            <w:left w:val="none" w:sz="0" w:space="0" w:color="auto"/>
            <w:bottom w:val="none" w:sz="0" w:space="0" w:color="auto"/>
            <w:right w:val="none" w:sz="0" w:space="0" w:color="auto"/>
          </w:divBdr>
          <w:divsChild>
            <w:div w:id="1764689062">
              <w:marLeft w:val="0"/>
              <w:marRight w:val="0"/>
              <w:marTop w:val="0"/>
              <w:marBottom w:val="0"/>
              <w:divBdr>
                <w:top w:val="none" w:sz="0" w:space="0" w:color="auto"/>
                <w:left w:val="none" w:sz="0" w:space="0" w:color="auto"/>
                <w:bottom w:val="none" w:sz="0" w:space="0" w:color="auto"/>
                <w:right w:val="none" w:sz="0" w:space="0" w:color="auto"/>
              </w:divBdr>
            </w:div>
            <w:div w:id="1764689222">
              <w:marLeft w:val="0"/>
              <w:marRight w:val="0"/>
              <w:marTop w:val="0"/>
              <w:marBottom w:val="0"/>
              <w:divBdr>
                <w:top w:val="none" w:sz="0" w:space="0" w:color="auto"/>
                <w:left w:val="none" w:sz="0" w:space="0" w:color="auto"/>
                <w:bottom w:val="none" w:sz="0" w:space="0" w:color="auto"/>
                <w:right w:val="none" w:sz="0" w:space="0" w:color="auto"/>
              </w:divBdr>
            </w:div>
            <w:div w:id="1764689626">
              <w:marLeft w:val="0"/>
              <w:marRight w:val="0"/>
              <w:marTop w:val="0"/>
              <w:marBottom w:val="0"/>
              <w:divBdr>
                <w:top w:val="none" w:sz="0" w:space="0" w:color="auto"/>
                <w:left w:val="none" w:sz="0" w:space="0" w:color="auto"/>
                <w:bottom w:val="none" w:sz="0" w:space="0" w:color="auto"/>
                <w:right w:val="none" w:sz="0" w:space="0" w:color="auto"/>
              </w:divBdr>
            </w:div>
            <w:div w:id="1764690126">
              <w:marLeft w:val="0"/>
              <w:marRight w:val="0"/>
              <w:marTop w:val="0"/>
              <w:marBottom w:val="0"/>
              <w:divBdr>
                <w:top w:val="none" w:sz="0" w:space="0" w:color="auto"/>
                <w:left w:val="none" w:sz="0" w:space="0" w:color="auto"/>
                <w:bottom w:val="none" w:sz="0" w:space="0" w:color="auto"/>
                <w:right w:val="none" w:sz="0" w:space="0" w:color="auto"/>
              </w:divBdr>
            </w:div>
            <w:div w:id="1764690153">
              <w:marLeft w:val="0"/>
              <w:marRight w:val="0"/>
              <w:marTop w:val="0"/>
              <w:marBottom w:val="0"/>
              <w:divBdr>
                <w:top w:val="none" w:sz="0" w:space="0" w:color="auto"/>
                <w:left w:val="none" w:sz="0" w:space="0" w:color="auto"/>
                <w:bottom w:val="none" w:sz="0" w:space="0" w:color="auto"/>
                <w:right w:val="none" w:sz="0" w:space="0" w:color="auto"/>
              </w:divBdr>
            </w:div>
            <w:div w:id="1764690245">
              <w:marLeft w:val="0"/>
              <w:marRight w:val="0"/>
              <w:marTop w:val="0"/>
              <w:marBottom w:val="0"/>
              <w:divBdr>
                <w:top w:val="none" w:sz="0" w:space="0" w:color="auto"/>
                <w:left w:val="none" w:sz="0" w:space="0" w:color="auto"/>
                <w:bottom w:val="none" w:sz="0" w:space="0" w:color="auto"/>
                <w:right w:val="none" w:sz="0" w:space="0" w:color="auto"/>
              </w:divBdr>
            </w:div>
            <w:div w:id="1764690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551">
      <w:marLeft w:val="0"/>
      <w:marRight w:val="0"/>
      <w:marTop w:val="0"/>
      <w:marBottom w:val="0"/>
      <w:divBdr>
        <w:top w:val="none" w:sz="0" w:space="0" w:color="auto"/>
        <w:left w:val="none" w:sz="0" w:space="0" w:color="auto"/>
        <w:bottom w:val="none" w:sz="0" w:space="0" w:color="auto"/>
        <w:right w:val="none" w:sz="0" w:space="0" w:color="auto"/>
      </w:divBdr>
      <w:divsChild>
        <w:div w:id="1764689552">
          <w:marLeft w:val="0"/>
          <w:marRight w:val="0"/>
          <w:marTop w:val="0"/>
          <w:marBottom w:val="0"/>
          <w:divBdr>
            <w:top w:val="none" w:sz="0" w:space="0" w:color="auto"/>
            <w:left w:val="none" w:sz="0" w:space="0" w:color="auto"/>
            <w:bottom w:val="none" w:sz="0" w:space="0" w:color="auto"/>
            <w:right w:val="none" w:sz="0" w:space="0" w:color="auto"/>
          </w:divBdr>
        </w:div>
      </w:divsChild>
    </w:div>
    <w:div w:id="1764690552">
      <w:marLeft w:val="0"/>
      <w:marRight w:val="0"/>
      <w:marTop w:val="0"/>
      <w:marBottom w:val="0"/>
      <w:divBdr>
        <w:top w:val="none" w:sz="0" w:space="0" w:color="auto"/>
        <w:left w:val="none" w:sz="0" w:space="0" w:color="auto"/>
        <w:bottom w:val="none" w:sz="0" w:space="0" w:color="auto"/>
        <w:right w:val="none" w:sz="0" w:space="0" w:color="auto"/>
      </w:divBdr>
    </w:div>
    <w:div w:id="1764690555">
      <w:marLeft w:val="0"/>
      <w:marRight w:val="0"/>
      <w:marTop w:val="0"/>
      <w:marBottom w:val="0"/>
      <w:divBdr>
        <w:top w:val="none" w:sz="0" w:space="0" w:color="auto"/>
        <w:left w:val="none" w:sz="0" w:space="0" w:color="auto"/>
        <w:bottom w:val="none" w:sz="0" w:space="0" w:color="auto"/>
        <w:right w:val="none" w:sz="0" w:space="0" w:color="auto"/>
      </w:divBdr>
    </w:div>
    <w:div w:id="1764690556">
      <w:marLeft w:val="0"/>
      <w:marRight w:val="0"/>
      <w:marTop w:val="0"/>
      <w:marBottom w:val="0"/>
      <w:divBdr>
        <w:top w:val="none" w:sz="0" w:space="0" w:color="auto"/>
        <w:left w:val="none" w:sz="0" w:space="0" w:color="auto"/>
        <w:bottom w:val="none" w:sz="0" w:space="0" w:color="auto"/>
        <w:right w:val="none" w:sz="0" w:space="0" w:color="auto"/>
      </w:divBdr>
      <w:divsChild>
        <w:div w:id="1764690292">
          <w:marLeft w:val="0"/>
          <w:marRight w:val="0"/>
          <w:marTop w:val="0"/>
          <w:marBottom w:val="0"/>
          <w:divBdr>
            <w:top w:val="none" w:sz="0" w:space="0" w:color="auto"/>
            <w:left w:val="none" w:sz="0" w:space="0" w:color="auto"/>
            <w:bottom w:val="none" w:sz="0" w:space="0" w:color="auto"/>
            <w:right w:val="none" w:sz="0" w:space="0" w:color="auto"/>
          </w:divBdr>
          <w:divsChild>
            <w:div w:id="1764690195">
              <w:marLeft w:val="0"/>
              <w:marRight w:val="0"/>
              <w:marTop w:val="0"/>
              <w:marBottom w:val="0"/>
              <w:divBdr>
                <w:top w:val="none" w:sz="0" w:space="0" w:color="auto"/>
                <w:left w:val="none" w:sz="0" w:space="0" w:color="auto"/>
                <w:bottom w:val="none" w:sz="0" w:space="0" w:color="auto"/>
                <w:right w:val="none" w:sz="0" w:space="0" w:color="auto"/>
              </w:divBdr>
            </w:div>
            <w:div w:id="1764690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558">
      <w:marLeft w:val="0"/>
      <w:marRight w:val="0"/>
      <w:marTop w:val="0"/>
      <w:marBottom w:val="0"/>
      <w:divBdr>
        <w:top w:val="none" w:sz="0" w:space="0" w:color="auto"/>
        <w:left w:val="none" w:sz="0" w:space="0" w:color="auto"/>
        <w:bottom w:val="none" w:sz="0" w:space="0" w:color="auto"/>
        <w:right w:val="none" w:sz="0" w:space="0" w:color="auto"/>
      </w:divBdr>
    </w:div>
    <w:div w:id="1764690559">
      <w:marLeft w:val="0"/>
      <w:marRight w:val="0"/>
      <w:marTop w:val="0"/>
      <w:marBottom w:val="0"/>
      <w:divBdr>
        <w:top w:val="none" w:sz="0" w:space="0" w:color="auto"/>
        <w:left w:val="none" w:sz="0" w:space="0" w:color="auto"/>
        <w:bottom w:val="none" w:sz="0" w:space="0" w:color="auto"/>
        <w:right w:val="none" w:sz="0" w:space="0" w:color="auto"/>
      </w:divBdr>
    </w:div>
    <w:div w:id="1764690563">
      <w:marLeft w:val="0"/>
      <w:marRight w:val="0"/>
      <w:marTop w:val="0"/>
      <w:marBottom w:val="0"/>
      <w:divBdr>
        <w:top w:val="none" w:sz="0" w:space="0" w:color="auto"/>
        <w:left w:val="none" w:sz="0" w:space="0" w:color="auto"/>
        <w:bottom w:val="none" w:sz="0" w:space="0" w:color="auto"/>
        <w:right w:val="none" w:sz="0" w:space="0" w:color="auto"/>
      </w:divBdr>
    </w:div>
    <w:div w:id="1764690571">
      <w:marLeft w:val="0"/>
      <w:marRight w:val="0"/>
      <w:marTop w:val="0"/>
      <w:marBottom w:val="0"/>
      <w:divBdr>
        <w:top w:val="none" w:sz="0" w:space="0" w:color="auto"/>
        <w:left w:val="none" w:sz="0" w:space="0" w:color="auto"/>
        <w:bottom w:val="none" w:sz="0" w:space="0" w:color="auto"/>
        <w:right w:val="none" w:sz="0" w:space="0" w:color="auto"/>
      </w:divBdr>
      <w:divsChild>
        <w:div w:id="1764690171">
          <w:marLeft w:val="0"/>
          <w:marRight w:val="0"/>
          <w:marTop w:val="0"/>
          <w:marBottom w:val="0"/>
          <w:divBdr>
            <w:top w:val="none" w:sz="0" w:space="0" w:color="auto"/>
            <w:left w:val="none" w:sz="0" w:space="0" w:color="auto"/>
            <w:bottom w:val="none" w:sz="0" w:space="0" w:color="auto"/>
            <w:right w:val="none" w:sz="0" w:space="0" w:color="auto"/>
          </w:divBdr>
        </w:div>
      </w:divsChild>
    </w:div>
    <w:div w:id="1764690573">
      <w:marLeft w:val="0"/>
      <w:marRight w:val="0"/>
      <w:marTop w:val="0"/>
      <w:marBottom w:val="0"/>
      <w:divBdr>
        <w:top w:val="none" w:sz="0" w:space="0" w:color="auto"/>
        <w:left w:val="none" w:sz="0" w:space="0" w:color="auto"/>
        <w:bottom w:val="none" w:sz="0" w:space="0" w:color="auto"/>
        <w:right w:val="none" w:sz="0" w:space="0" w:color="auto"/>
      </w:divBdr>
      <w:divsChild>
        <w:div w:id="1764689475">
          <w:marLeft w:val="0"/>
          <w:marRight w:val="0"/>
          <w:marTop w:val="0"/>
          <w:marBottom w:val="0"/>
          <w:divBdr>
            <w:top w:val="none" w:sz="0" w:space="0" w:color="auto"/>
            <w:left w:val="none" w:sz="0" w:space="0" w:color="auto"/>
            <w:bottom w:val="none" w:sz="0" w:space="0" w:color="auto"/>
            <w:right w:val="none" w:sz="0" w:space="0" w:color="auto"/>
          </w:divBdr>
        </w:div>
      </w:divsChild>
    </w:div>
    <w:div w:id="1764690574">
      <w:marLeft w:val="0"/>
      <w:marRight w:val="0"/>
      <w:marTop w:val="0"/>
      <w:marBottom w:val="0"/>
      <w:divBdr>
        <w:top w:val="none" w:sz="0" w:space="0" w:color="auto"/>
        <w:left w:val="none" w:sz="0" w:space="0" w:color="auto"/>
        <w:bottom w:val="none" w:sz="0" w:space="0" w:color="auto"/>
        <w:right w:val="none" w:sz="0" w:space="0" w:color="auto"/>
      </w:divBdr>
      <w:divsChild>
        <w:div w:id="1764690170">
          <w:marLeft w:val="0"/>
          <w:marRight w:val="0"/>
          <w:marTop w:val="0"/>
          <w:marBottom w:val="0"/>
          <w:divBdr>
            <w:top w:val="none" w:sz="0" w:space="0" w:color="auto"/>
            <w:left w:val="none" w:sz="0" w:space="0" w:color="auto"/>
            <w:bottom w:val="none" w:sz="0" w:space="0" w:color="auto"/>
            <w:right w:val="none" w:sz="0" w:space="0" w:color="auto"/>
          </w:divBdr>
          <w:divsChild>
            <w:div w:id="1764689760">
              <w:marLeft w:val="0"/>
              <w:marRight w:val="0"/>
              <w:marTop w:val="0"/>
              <w:marBottom w:val="0"/>
              <w:divBdr>
                <w:top w:val="none" w:sz="0" w:space="0" w:color="auto"/>
                <w:left w:val="none" w:sz="0" w:space="0" w:color="auto"/>
                <w:bottom w:val="none" w:sz="0" w:space="0" w:color="auto"/>
                <w:right w:val="none" w:sz="0" w:space="0" w:color="auto"/>
              </w:divBdr>
            </w:div>
            <w:div w:id="1764690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690575">
      <w:marLeft w:val="0"/>
      <w:marRight w:val="0"/>
      <w:marTop w:val="0"/>
      <w:marBottom w:val="0"/>
      <w:divBdr>
        <w:top w:val="none" w:sz="0" w:space="0" w:color="auto"/>
        <w:left w:val="none" w:sz="0" w:space="0" w:color="auto"/>
        <w:bottom w:val="none" w:sz="0" w:space="0" w:color="auto"/>
        <w:right w:val="none" w:sz="0" w:space="0" w:color="auto"/>
      </w:divBdr>
    </w:div>
    <w:div w:id="1764690577">
      <w:marLeft w:val="0"/>
      <w:marRight w:val="0"/>
      <w:marTop w:val="0"/>
      <w:marBottom w:val="0"/>
      <w:divBdr>
        <w:top w:val="none" w:sz="0" w:space="0" w:color="auto"/>
        <w:left w:val="none" w:sz="0" w:space="0" w:color="auto"/>
        <w:bottom w:val="none" w:sz="0" w:space="0" w:color="auto"/>
        <w:right w:val="none" w:sz="0" w:space="0" w:color="auto"/>
      </w:divBdr>
    </w:div>
    <w:div w:id="1764690584">
      <w:marLeft w:val="0"/>
      <w:marRight w:val="0"/>
      <w:marTop w:val="0"/>
      <w:marBottom w:val="0"/>
      <w:divBdr>
        <w:top w:val="none" w:sz="0" w:space="0" w:color="auto"/>
        <w:left w:val="none" w:sz="0" w:space="0" w:color="auto"/>
        <w:bottom w:val="none" w:sz="0" w:space="0" w:color="auto"/>
        <w:right w:val="none" w:sz="0" w:space="0" w:color="auto"/>
      </w:divBdr>
      <w:divsChild>
        <w:div w:id="17646901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99" Type="http://schemas.openxmlformats.org/officeDocument/2006/relationships/hyperlink" Target="http://unstats.un.org/unsd/cr/registry/regct.asp?Lg=1" TargetMode="External"/><Relationship Id="rId303" Type="http://schemas.openxmlformats.org/officeDocument/2006/relationships/hyperlink" Target="http://www.czso.cz/csu/redakce.nsf/i/lidske_zdroje_ve_vede_a_technologiich" TargetMode="External"/><Relationship Id="rId21" Type="http://schemas.openxmlformats.org/officeDocument/2006/relationships/image" Target="media/image8.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1.png"/><Relationship Id="rId138" Type="http://schemas.openxmlformats.org/officeDocument/2006/relationships/image" Target="media/image124.png"/><Relationship Id="rId159" Type="http://schemas.openxmlformats.org/officeDocument/2006/relationships/oleObject" Target="embeddings/oleObject2.bin"/><Relationship Id="rId170" Type="http://schemas.openxmlformats.org/officeDocument/2006/relationships/image" Target="media/image152.png"/><Relationship Id="rId191" Type="http://schemas.openxmlformats.org/officeDocument/2006/relationships/image" Target="media/image172.png"/><Relationship Id="rId205" Type="http://schemas.openxmlformats.org/officeDocument/2006/relationships/image" Target="media/image186.png"/><Relationship Id="rId226" Type="http://schemas.openxmlformats.org/officeDocument/2006/relationships/image" Target="media/image205.png"/><Relationship Id="rId247" Type="http://schemas.openxmlformats.org/officeDocument/2006/relationships/hyperlink" Target="http://www.strukturalni-fondy.cz/cs/Informace-o-cerpani" TargetMode="External"/><Relationship Id="rId107" Type="http://schemas.openxmlformats.org/officeDocument/2006/relationships/image" Target="media/image93.png"/><Relationship Id="rId268" Type="http://schemas.openxmlformats.org/officeDocument/2006/relationships/hyperlink" Target="http://www.czso.cz/csu/redakce.nsf/i/neprima_podpora_vyzkumu_a_vyvoje_v_podnikatelskem_sektoru" TargetMode="External"/><Relationship Id="rId289" Type="http://schemas.openxmlformats.org/officeDocument/2006/relationships/hyperlink" Target="http://eur-lex.europa.eu/LexUriServ/LexUriServ.do?uri=OJ:L:2012:299:0018:0030:EN:PDF" TargetMode="External"/><Relationship Id="rId11" Type="http://schemas.openxmlformats.org/officeDocument/2006/relationships/header" Target="header4.xml"/><Relationship Id="rId32" Type="http://schemas.openxmlformats.org/officeDocument/2006/relationships/image" Target="media/image19.png"/><Relationship Id="rId53" Type="http://schemas.openxmlformats.org/officeDocument/2006/relationships/image" Target="media/image40.png"/><Relationship Id="rId74" Type="http://schemas.openxmlformats.org/officeDocument/2006/relationships/image" Target="media/image61.png"/><Relationship Id="rId128" Type="http://schemas.openxmlformats.org/officeDocument/2006/relationships/image" Target="media/image114.png"/><Relationship Id="rId149" Type="http://schemas.openxmlformats.org/officeDocument/2006/relationships/image" Target="media/image135.png"/><Relationship Id="rId314" Type="http://schemas.openxmlformats.org/officeDocument/2006/relationships/hyperlink" Target="http://www.czso.cz/csu/2013edicniplan.nsf/publ/9607-13-r_2013" TargetMode="External"/><Relationship Id="rId5" Type="http://schemas.openxmlformats.org/officeDocument/2006/relationships/footnotes" Target="footnotes.xml"/><Relationship Id="rId95" Type="http://schemas.openxmlformats.org/officeDocument/2006/relationships/image" Target="media/image82.png"/><Relationship Id="rId160" Type="http://schemas.openxmlformats.org/officeDocument/2006/relationships/image" Target="media/image144.png"/><Relationship Id="rId181" Type="http://schemas.openxmlformats.org/officeDocument/2006/relationships/image" Target="media/image162.png"/><Relationship Id="rId216" Type="http://schemas.openxmlformats.org/officeDocument/2006/relationships/image" Target="media/image196.png"/><Relationship Id="rId237" Type="http://schemas.openxmlformats.org/officeDocument/2006/relationships/image" Target="media/image214.jpeg"/><Relationship Id="rId258" Type="http://schemas.openxmlformats.org/officeDocument/2006/relationships/hyperlink" Target="http://www.prahafondy.eu/cz/oppa/dokumenty.html%5d" TargetMode="External"/><Relationship Id="rId279" Type="http://schemas.openxmlformats.org/officeDocument/2006/relationships/hyperlink" Target="http://www.oecd.org/dataoecd/34/0/2096025.pdf" TargetMode="External"/><Relationship Id="rId22" Type="http://schemas.openxmlformats.org/officeDocument/2006/relationships/image" Target="media/image9.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104.png"/><Relationship Id="rId139" Type="http://schemas.openxmlformats.org/officeDocument/2006/relationships/image" Target="media/image125.png"/><Relationship Id="rId290" Type="http://schemas.openxmlformats.org/officeDocument/2006/relationships/hyperlink" Target="http://eur-lex.europa.eu/LexUriServ/LexUriServ.do?uri=OJ:L:2012:299:0018:0030:CS:PDF" TargetMode="External"/><Relationship Id="rId304" Type="http://schemas.openxmlformats.org/officeDocument/2006/relationships/hyperlink" Target="http://www.czso.cz/csu/redakce.nsf/i/studenti_a_absolventi_terciarniho_stupne_vzdelavani" TargetMode="External"/><Relationship Id="rId85" Type="http://schemas.openxmlformats.org/officeDocument/2006/relationships/image" Target="media/image72.png"/><Relationship Id="rId150" Type="http://schemas.openxmlformats.org/officeDocument/2006/relationships/image" Target="media/image136.png"/><Relationship Id="rId171" Type="http://schemas.openxmlformats.org/officeDocument/2006/relationships/image" Target="media/image153.png"/><Relationship Id="rId192" Type="http://schemas.openxmlformats.org/officeDocument/2006/relationships/image" Target="media/image173.png"/><Relationship Id="rId206" Type="http://schemas.openxmlformats.org/officeDocument/2006/relationships/header" Target="header9.xml"/><Relationship Id="rId227" Type="http://schemas.openxmlformats.org/officeDocument/2006/relationships/image" Target="media/image206.png"/><Relationship Id="rId248" Type="http://schemas.openxmlformats.org/officeDocument/2006/relationships/image" Target="media/image219.jpeg"/><Relationship Id="rId269" Type="http://schemas.openxmlformats.org/officeDocument/2006/relationships/hyperlink" Target="http://www.czso.cz/csu/redakce.nsf/i/statistika_vyzkumu_a_vyvoje" TargetMode="External"/><Relationship Id="rId12" Type="http://schemas.openxmlformats.org/officeDocument/2006/relationships/header" Target="header5.xml"/><Relationship Id="rId33" Type="http://schemas.openxmlformats.org/officeDocument/2006/relationships/image" Target="media/image20.png"/><Relationship Id="rId108" Type="http://schemas.openxmlformats.org/officeDocument/2006/relationships/image" Target="media/image94.png"/><Relationship Id="rId129" Type="http://schemas.openxmlformats.org/officeDocument/2006/relationships/image" Target="media/image115.png"/><Relationship Id="rId280" Type="http://schemas.openxmlformats.org/officeDocument/2006/relationships/hyperlink" Target="http://www.oecd.org/dataoecd/35/13/2347115.pdf" TargetMode="External"/><Relationship Id="rId315" Type="http://schemas.openxmlformats.org/officeDocument/2006/relationships/hyperlink" Target="http://www.czso.cz/csu/2013edicniplan.nsf/publ/9611-13-r_2013" TargetMode="External"/><Relationship Id="rId54" Type="http://schemas.openxmlformats.org/officeDocument/2006/relationships/image" Target="media/image41.png"/><Relationship Id="rId75" Type="http://schemas.openxmlformats.org/officeDocument/2006/relationships/image" Target="media/image62.png"/><Relationship Id="rId96" Type="http://schemas.openxmlformats.org/officeDocument/2006/relationships/image" Target="media/image83.png"/><Relationship Id="rId140" Type="http://schemas.openxmlformats.org/officeDocument/2006/relationships/image" Target="media/image126.png"/><Relationship Id="rId161" Type="http://schemas.openxmlformats.org/officeDocument/2006/relationships/oleObject" Target="embeddings/oleObject3.bin"/><Relationship Id="rId182" Type="http://schemas.openxmlformats.org/officeDocument/2006/relationships/image" Target="media/image163.png"/><Relationship Id="rId217" Type="http://schemas.openxmlformats.org/officeDocument/2006/relationships/image" Target="media/image197.png"/><Relationship Id="rId6" Type="http://schemas.openxmlformats.org/officeDocument/2006/relationships/endnotes" Target="endnotes.xml"/><Relationship Id="rId238" Type="http://schemas.openxmlformats.org/officeDocument/2006/relationships/image" Target="media/image215.jpeg"/><Relationship Id="rId259" Type="http://schemas.openxmlformats.org/officeDocument/2006/relationships/hyperlink" Target="http://www.strukturalni-fondy.cz/cs/Informace-o-cerpani" TargetMode="External"/><Relationship Id="rId23" Type="http://schemas.openxmlformats.org/officeDocument/2006/relationships/image" Target="media/image10.png"/><Relationship Id="rId119" Type="http://schemas.openxmlformats.org/officeDocument/2006/relationships/image" Target="media/image105.png"/><Relationship Id="rId270" Type="http://schemas.openxmlformats.org/officeDocument/2006/relationships/hyperlink" Target="http://www.czso.cz/csu/redakce.nsf/i/lidske_zdroje_ve_vede_a_technologiich" TargetMode="External"/><Relationship Id="rId291" Type="http://schemas.openxmlformats.org/officeDocument/2006/relationships/hyperlink" Target="http://www.oecd.org/dataoecd/36/44/38235147.pdf" TargetMode="External"/><Relationship Id="rId305" Type="http://schemas.openxmlformats.org/officeDocument/2006/relationships/hyperlink" Target="http://www.czso.cz/csu/redakce.nsf/i/statistika_inovaci" TargetMode="External"/><Relationship Id="rId44" Type="http://schemas.openxmlformats.org/officeDocument/2006/relationships/image" Target="media/image31.png"/><Relationship Id="rId65" Type="http://schemas.openxmlformats.org/officeDocument/2006/relationships/image" Target="media/image52.png"/><Relationship Id="rId86" Type="http://schemas.openxmlformats.org/officeDocument/2006/relationships/image" Target="media/image73.png"/><Relationship Id="rId130" Type="http://schemas.openxmlformats.org/officeDocument/2006/relationships/image" Target="media/image116.png"/><Relationship Id="rId151" Type="http://schemas.openxmlformats.org/officeDocument/2006/relationships/image" Target="media/image137.png"/><Relationship Id="rId172" Type="http://schemas.openxmlformats.org/officeDocument/2006/relationships/image" Target="media/image154.png"/><Relationship Id="rId193" Type="http://schemas.openxmlformats.org/officeDocument/2006/relationships/image" Target="media/image174.png"/><Relationship Id="rId207" Type="http://schemas.openxmlformats.org/officeDocument/2006/relationships/image" Target="media/image187.png"/><Relationship Id="rId228" Type="http://schemas.openxmlformats.org/officeDocument/2006/relationships/image" Target="media/image207.png"/><Relationship Id="rId249" Type="http://schemas.openxmlformats.org/officeDocument/2006/relationships/hyperlink" Target="http://www.mpo.cz/cz/podpora-podnikani/oppi" TargetMode="External"/><Relationship Id="rId13" Type="http://schemas.openxmlformats.org/officeDocument/2006/relationships/header" Target="header6.xml"/><Relationship Id="rId109" Type="http://schemas.openxmlformats.org/officeDocument/2006/relationships/image" Target="media/image95.png"/><Relationship Id="rId260" Type="http://schemas.openxmlformats.org/officeDocument/2006/relationships/image" Target="media/image221.jpeg"/><Relationship Id="rId281" Type="http://schemas.openxmlformats.org/officeDocument/2006/relationships/hyperlink" Target="http://www.oecd.org/document/44/0,3343,en_2649_34443_34957420_1_1_1_1,00.html" TargetMode="External"/><Relationship Id="rId316" Type="http://schemas.openxmlformats.org/officeDocument/2006/relationships/hyperlink" Target="http://www.czso.cz/csu/edicniplan.nsf/aktual/ep-1" TargetMode="External"/><Relationship Id="rId34" Type="http://schemas.openxmlformats.org/officeDocument/2006/relationships/image" Target="media/image21.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png"/><Relationship Id="rId120" Type="http://schemas.openxmlformats.org/officeDocument/2006/relationships/image" Target="media/image106.png"/><Relationship Id="rId141" Type="http://schemas.openxmlformats.org/officeDocument/2006/relationships/image" Target="media/image127.png"/><Relationship Id="rId7" Type="http://schemas.openxmlformats.org/officeDocument/2006/relationships/image" Target="media/image1.png"/><Relationship Id="rId162" Type="http://schemas.openxmlformats.org/officeDocument/2006/relationships/image" Target="media/image145.png"/><Relationship Id="rId183" Type="http://schemas.openxmlformats.org/officeDocument/2006/relationships/image" Target="media/image164.png"/><Relationship Id="rId218" Type="http://schemas.openxmlformats.org/officeDocument/2006/relationships/image" Target="media/image198.png"/><Relationship Id="rId239" Type="http://schemas.openxmlformats.org/officeDocument/2006/relationships/image" Target="media/image216.jpeg"/><Relationship Id="rId250" Type="http://schemas.openxmlformats.org/officeDocument/2006/relationships/hyperlink" Target="http://www.czechinvest.org/podnikani-a-inovace" TargetMode="External"/><Relationship Id="rId271" Type="http://schemas.openxmlformats.org/officeDocument/2006/relationships/hyperlink" Target="http://www.czso.cz/csu/redakce.nsf/i/lidske_zdroje_pro_vedu_a_technologie" TargetMode="External"/><Relationship Id="rId292" Type="http://schemas.openxmlformats.org/officeDocument/2006/relationships/hyperlink" Target="http://www.czso.cz/csu/redakce.nsf/i/metodika_ulohy_gbaord" TargetMode="External"/><Relationship Id="rId306" Type="http://schemas.openxmlformats.org/officeDocument/2006/relationships/hyperlink" Target="http://www.czso.cz/csu/redakce.nsf/i/patentova_statistika" TargetMode="External"/><Relationship Id="rId24" Type="http://schemas.openxmlformats.org/officeDocument/2006/relationships/image" Target="media/image11.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6.png"/><Relationship Id="rId131" Type="http://schemas.openxmlformats.org/officeDocument/2006/relationships/image" Target="media/image117.png"/><Relationship Id="rId152" Type="http://schemas.openxmlformats.org/officeDocument/2006/relationships/image" Target="media/image138.png"/><Relationship Id="rId173" Type="http://schemas.openxmlformats.org/officeDocument/2006/relationships/image" Target="media/image155.png"/><Relationship Id="rId194" Type="http://schemas.openxmlformats.org/officeDocument/2006/relationships/image" Target="media/image175.png"/><Relationship Id="rId208" Type="http://schemas.openxmlformats.org/officeDocument/2006/relationships/image" Target="media/image188.png"/><Relationship Id="rId229" Type="http://schemas.openxmlformats.org/officeDocument/2006/relationships/hyperlink" Target="http://fp7.cz/cs/horizon-2020" TargetMode="External"/><Relationship Id="rId19" Type="http://schemas.openxmlformats.org/officeDocument/2006/relationships/header" Target="header7.xml"/><Relationship Id="rId224" Type="http://schemas.openxmlformats.org/officeDocument/2006/relationships/image" Target="media/image203.png"/><Relationship Id="rId240" Type="http://schemas.openxmlformats.org/officeDocument/2006/relationships/image" Target="media/image217.jpeg"/><Relationship Id="rId245" Type="http://schemas.openxmlformats.org/officeDocument/2006/relationships/hyperlink" Target="http://www.msmt.cz/strukturalni-fondy/op-vpk-obdobi-2007-2013" TargetMode="External"/><Relationship Id="rId261" Type="http://schemas.openxmlformats.org/officeDocument/2006/relationships/header" Target="header12.xml"/><Relationship Id="rId266" Type="http://schemas.openxmlformats.org/officeDocument/2006/relationships/hyperlink" Target="http://www.vyzkum.cz/FrontClanek.aspx?idsekce=610" TargetMode="External"/><Relationship Id="rId287" Type="http://schemas.openxmlformats.org/officeDocument/2006/relationships/hyperlink" Target="http://epp.eurostat.ec.europa.eu/cache/ITY_SDDS/en/hrst_st_esms.htm" TargetMode="External"/><Relationship Id="rId14" Type="http://schemas.openxmlformats.org/officeDocument/2006/relationships/image" Target="media/image2.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126" Type="http://schemas.openxmlformats.org/officeDocument/2006/relationships/image" Target="media/image112.png"/><Relationship Id="rId147" Type="http://schemas.openxmlformats.org/officeDocument/2006/relationships/image" Target="media/image133.png"/><Relationship Id="rId168" Type="http://schemas.openxmlformats.org/officeDocument/2006/relationships/image" Target="media/image150.png"/><Relationship Id="rId282" Type="http://schemas.openxmlformats.org/officeDocument/2006/relationships/hyperlink" Target="http://epp.eurostat.ec.europa.eu/cache/ITY_SDDS/en/rd_esms.htm" TargetMode="External"/><Relationship Id="rId312" Type="http://schemas.openxmlformats.org/officeDocument/2006/relationships/hyperlink" Target="http://www.czso.cz/csu/2013edicniplan.nsf/publ/9601-13-r_2013" TargetMode="External"/><Relationship Id="rId317" Type="http://schemas.openxmlformats.org/officeDocument/2006/relationships/hyperlink" Target="http://www.czso.cz/csu/2012edicniplan.nsf/publ/1413-13-r_2013" TargetMode="External"/><Relationship Id="rId8" Type="http://schemas.openxmlformats.org/officeDocument/2006/relationships/header" Target="header1.xml"/><Relationship Id="rId51" Type="http://schemas.openxmlformats.org/officeDocument/2006/relationships/image" Target="media/image38.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png"/><Relationship Id="rId121" Type="http://schemas.openxmlformats.org/officeDocument/2006/relationships/image" Target="media/image107.png"/><Relationship Id="rId142" Type="http://schemas.openxmlformats.org/officeDocument/2006/relationships/image" Target="media/image128.png"/><Relationship Id="rId163" Type="http://schemas.openxmlformats.org/officeDocument/2006/relationships/oleObject" Target="embeddings/oleObject4.bin"/><Relationship Id="rId184" Type="http://schemas.openxmlformats.org/officeDocument/2006/relationships/image" Target="media/image165.png"/><Relationship Id="rId189" Type="http://schemas.openxmlformats.org/officeDocument/2006/relationships/image" Target="media/image170.png"/><Relationship Id="rId219" Type="http://schemas.openxmlformats.org/officeDocument/2006/relationships/image" Target="media/image199.png"/><Relationship Id="rId3" Type="http://schemas.openxmlformats.org/officeDocument/2006/relationships/settings" Target="settings.xml"/><Relationship Id="rId214" Type="http://schemas.openxmlformats.org/officeDocument/2006/relationships/image" Target="media/image194.png"/><Relationship Id="rId230" Type="http://schemas.openxmlformats.org/officeDocument/2006/relationships/image" Target="media/image208.emf"/><Relationship Id="rId235" Type="http://schemas.openxmlformats.org/officeDocument/2006/relationships/image" Target="media/image212.emf"/><Relationship Id="rId251" Type="http://schemas.openxmlformats.org/officeDocument/2006/relationships/hyperlink" Target="http://www.mpo.cz/cz/podpora-podnikani/oppi/" TargetMode="External"/><Relationship Id="rId256" Type="http://schemas.openxmlformats.org/officeDocument/2006/relationships/hyperlink" Target="http://www.strukturalni-fondy.cz/cs/Informace-o-cerpani" TargetMode="External"/><Relationship Id="rId277" Type="http://schemas.openxmlformats.org/officeDocument/2006/relationships/hyperlink" Target="http://www.oecd.org/document/23/0,3343,en_2649_34273_35595607_1_1_1_37417,00.html" TargetMode="External"/><Relationship Id="rId298" Type="http://schemas.openxmlformats.org/officeDocument/2006/relationships/hyperlink" Target="http://www.czso.cz/csu/2010edicniplan.nsf/p/0011-10" TargetMode="Externa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102.png"/><Relationship Id="rId137" Type="http://schemas.openxmlformats.org/officeDocument/2006/relationships/image" Target="media/image123.png"/><Relationship Id="rId158" Type="http://schemas.openxmlformats.org/officeDocument/2006/relationships/image" Target="media/image143.png"/><Relationship Id="rId272" Type="http://schemas.openxmlformats.org/officeDocument/2006/relationships/hyperlink" Target="http://www.czso.cz/csu/redakce.nsf/i/lidske_zdroje_pro_vedu_a_technologie" TargetMode="External"/><Relationship Id="rId293" Type="http://schemas.openxmlformats.org/officeDocument/2006/relationships/hyperlink" Target="http://www.wipo.int/classifications/fulltext/new_ipc/" TargetMode="External"/><Relationship Id="rId302" Type="http://schemas.openxmlformats.org/officeDocument/2006/relationships/hyperlink" Target="http://www.czso.cz/csu/redakce.nsf/i/statni_rozpoctove_vydaje_a_dotace_na_vyzkum_a_vyvoj_gbaord" TargetMode="External"/><Relationship Id="rId307" Type="http://schemas.openxmlformats.org/officeDocument/2006/relationships/hyperlink" Target="http://www.czso.cz/csu/redakce.nsf/i/licence" TargetMode="External"/><Relationship Id="rId20" Type="http://schemas.openxmlformats.org/officeDocument/2006/relationships/image" Target="media/image7.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7.png"/><Relationship Id="rId132" Type="http://schemas.openxmlformats.org/officeDocument/2006/relationships/image" Target="media/image118.png"/><Relationship Id="rId153" Type="http://schemas.openxmlformats.org/officeDocument/2006/relationships/image" Target="media/image139.png"/><Relationship Id="rId174" Type="http://schemas.openxmlformats.org/officeDocument/2006/relationships/oleObject" Target="embeddings/oleObject5.bin"/><Relationship Id="rId179" Type="http://schemas.openxmlformats.org/officeDocument/2006/relationships/image" Target="media/image160.png"/><Relationship Id="rId195" Type="http://schemas.openxmlformats.org/officeDocument/2006/relationships/image" Target="media/image176.png"/><Relationship Id="rId209" Type="http://schemas.openxmlformats.org/officeDocument/2006/relationships/image" Target="media/image189.png"/><Relationship Id="rId190" Type="http://schemas.openxmlformats.org/officeDocument/2006/relationships/image" Target="media/image171.png"/><Relationship Id="rId204" Type="http://schemas.openxmlformats.org/officeDocument/2006/relationships/image" Target="media/image185.png"/><Relationship Id="rId220" Type="http://schemas.openxmlformats.org/officeDocument/2006/relationships/header" Target="header10.xml"/><Relationship Id="rId225" Type="http://schemas.openxmlformats.org/officeDocument/2006/relationships/image" Target="media/image204.png"/><Relationship Id="rId241" Type="http://schemas.openxmlformats.org/officeDocument/2006/relationships/hyperlink" Target="http://www.msmt.cz/strukturalni-fondy/op-vavpi" TargetMode="External"/><Relationship Id="rId246" Type="http://schemas.openxmlformats.org/officeDocument/2006/relationships/hyperlink" Target="http://www.msmt.cz/strukturalni-fondy/zakladni-dokumenty-a-zpracovatele" TargetMode="External"/><Relationship Id="rId267" Type="http://schemas.openxmlformats.org/officeDocument/2006/relationships/hyperlink" Target="http://www.czso.cz/csu/redakce.nsf/i/statistika_vyzkumu_a_vyvoje" TargetMode="External"/><Relationship Id="rId288" Type="http://schemas.openxmlformats.org/officeDocument/2006/relationships/hyperlink" Target="http://eur-lex.europa.eu/LexUriServ/LexUriServ.do?uri=CELEX:32003D1608:EN:HTML" TargetMode="External"/><Relationship Id="rId15" Type="http://schemas.openxmlformats.org/officeDocument/2006/relationships/image" Target="media/image3.png"/><Relationship Id="rId36" Type="http://schemas.openxmlformats.org/officeDocument/2006/relationships/image" Target="media/image23.png"/><Relationship Id="rId57" Type="http://schemas.openxmlformats.org/officeDocument/2006/relationships/image" Target="media/image44.png"/><Relationship Id="rId106" Type="http://schemas.openxmlformats.org/officeDocument/2006/relationships/header" Target="header8.xml"/><Relationship Id="rId127" Type="http://schemas.openxmlformats.org/officeDocument/2006/relationships/image" Target="media/image113.png"/><Relationship Id="rId262" Type="http://schemas.openxmlformats.org/officeDocument/2006/relationships/hyperlink" Target="http://apl.czso.cz/pll/vykazy/pdf113?xvyk=1961&amp;cd=0" TargetMode="External"/><Relationship Id="rId283" Type="http://schemas.openxmlformats.org/officeDocument/2006/relationships/hyperlink" Target="http://epp.eurostat.ec.europa.eu/cache/ITY_SDDS/en/gba_esms.htm" TargetMode="External"/><Relationship Id="rId313" Type="http://schemas.openxmlformats.org/officeDocument/2006/relationships/hyperlink" Target="http://www.czso.cz/csu/2012edicniplan.nsf/publ/9605-12-n_2012" TargetMode="External"/><Relationship Id="rId318" Type="http://schemas.openxmlformats.org/officeDocument/2006/relationships/hyperlink" Target="http://www.vyzkum.cz" TargetMode="External"/><Relationship Id="rId10" Type="http://schemas.openxmlformats.org/officeDocument/2006/relationships/header" Target="header3.xml"/><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108.png"/><Relationship Id="rId143" Type="http://schemas.openxmlformats.org/officeDocument/2006/relationships/image" Target="media/image129.png"/><Relationship Id="rId148" Type="http://schemas.openxmlformats.org/officeDocument/2006/relationships/image" Target="media/image134.png"/><Relationship Id="rId164" Type="http://schemas.openxmlformats.org/officeDocument/2006/relationships/image" Target="media/image146.png"/><Relationship Id="rId169" Type="http://schemas.openxmlformats.org/officeDocument/2006/relationships/image" Target="media/image151.png"/><Relationship Id="rId185" Type="http://schemas.openxmlformats.org/officeDocument/2006/relationships/image" Target="media/image166.png"/><Relationship Id="rId4" Type="http://schemas.openxmlformats.org/officeDocument/2006/relationships/webSettings" Target="webSettings.xml"/><Relationship Id="rId9" Type="http://schemas.openxmlformats.org/officeDocument/2006/relationships/header" Target="header2.xml"/><Relationship Id="rId180" Type="http://schemas.openxmlformats.org/officeDocument/2006/relationships/image" Target="media/image161.png"/><Relationship Id="rId210" Type="http://schemas.openxmlformats.org/officeDocument/2006/relationships/image" Target="media/image190.emf"/><Relationship Id="rId215" Type="http://schemas.openxmlformats.org/officeDocument/2006/relationships/image" Target="media/image195.png"/><Relationship Id="rId236" Type="http://schemas.openxmlformats.org/officeDocument/2006/relationships/image" Target="media/image213.png"/><Relationship Id="rId257" Type="http://schemas.openxmlformats.org/officeDocument/2006/relationships/hyperlink" Target="http://www.prahafondy.eu/cz/oppa.html" TargetMode="External"/><Relationship Id="rId278" Type="http://schemas.openxmlformats.org/officeDocument/2006/relationships/hyperlink" Target="http://www.oecd.org/document/29/0,3343,en_2649_34409_42168029_1_1_1_1,00.html" TargetMode="External"/><Relationship Id="rId26" Type="http://schemas.openxmlformats.org/officeDocument/2006/relationships/image" Target="media/image13.png"/><Relationship Id="rId231" Type="http://schemas.openxmlformats.org/officeDocument/2006/relationships/image" Target="media/image209.png"/><Relationship Id="rId252" Type="http://schemas.openxmlformats.org/officeDocument/2006/relationships/hyperlink" Target="http://www.strukturalni-fondy.cz/cs/Informace-o-cerpani" TargetMode="External"/><Relationship Id="rId273" Type="http://schemas.openxmlformats.org/officeDocument/2006/relationships/hyperlink" Target="http://www.czso.cz/csu/redakce.nsf/i/patentova_statistika" TargetMode="External"/><Relationship Id="rId294" Type="http://schemas.openxmlformats.org/officeDocument/2006/relationships/hyperlink" Target="http://www.upv.cz/cs/publikace/tridniky/tridnik-vynalezy.html" TargetMode="External"/><Relationship Id="rId308" Type="http://schemas.openxmlformats.org/officeDocument/2006/relationships/hyperlink" Target="http://www.czso.cz/csu/redakce.nsf/i/bibliometrie" TargetMode="External"/><Relationship Id="rId47" Type="http://schemas.openxmlformats.org/officeDocument/2006/relationships/image" Target="media/image34.png"/><Relationship Id="rId68" Type="http://schemas.openxmlformats.org/officeDocument/2006/relationships/image" Target="media/image55.png"/><Relationship Id="rId89" Type="http://schemas.openxmlformats.org/officeDocument/2006/relationships/image" Target="media/image76.png"/><Relationship Id="rId112" Type="http://schemas.openxmlformats.org/officeDocument/2006/relationships/image" Target="media/image98.png"/><Relationship Id="rId133" Type="http://schemas.openxmlformats.org/officeDocument/2006/relationships/image" Target="media/image119.png"/><Relationship Id="rId154" Type="http://schemas.openxmlformats.org/officeDocument/2006/relationships/image" Target="media/image140.png"/><Relationship Id="rId175" Type="http://schemas.openxmlformats.org/officeDocument/2006/relationships/image" Target="media/image156.png"/><Relationship Id="rId196" Type="http://schemas.openxmlformats.org/officeDocument/2006/relationships/image" Target="media/image177.png"/><Relationship Id="rId200" Type="http://schemas.openxmlformats.org/officeDocument/2006/relationships/image" Target="media/image181.png"/><Relationship Id="rId16" Type="http://schemas.openxmlformats.org/officeDocument/2006/relationships/image" Target="media/image4.png"/><Relationship Id="rId221" Type="http://schemas.openxmlformats.org/officeDocument/2006/relationships/image" Target="media/image200.png"/><Relationship Id="rId242" Type="http://schemas.openxmlformats.org/officeDocument/2006/relationships/hyperlink" Target="http://www.msmt.cz/strukturalni-fondy/dokumenty-op-vavpi" TargetMode="External"/><Relationship Id="rId263" Type="http://schemas.openxmlformats.org/officeDocument/2006/relationships/hyperlink" Target="http://apl.czso.cz/pll/vykazy/pdf113?xvyk=1961&amp;cd=0" TargetMode="External"/><Relationship Id="rId284" Type="http://schemas.openxmlformats.org/officeDocument/2006/relationships/hyperlink" Target="http://epp.eurostat.ec.europa.eu/cache/ITY_SDDS/en/inn_esms.htm" TargetMode="External"/><Relationship Id="rId319" Type="http://schemas.openxmlformats.org/officeDocument/2006/relationships/fontTable" Target="fontTable.xml"/><Relationship Id="rId37" Type="http://schemas.openxmlformats.org/officeDocument/2006/relationships/image" Target="media/image24.png"/><Relationship Id="rId58" Type="http://schemas.openxmlformats.org/officeDocument/2006/relationships/image" Target="media/image45.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09.png"/><Relationship Id="rId144" Type="http://schemas.openxmlformats.org/officeDocument/2006/relationships/image" Target="media/image130.png"/><Relationship Id="rId90" Type="http://schemas.openxmlformats.org/officeDocument/2006/relationships/image" Target="media/image77.png"/><Relationship Id="rId165" Type="http://schemas.openxmlformats.org/officeDocument/2006/relationships/image" Target="media/image147.emf"/><Relationship Id="rId186" Type="http://schemas.openxmlformats.org/officeDocument/2006/relationships/image" Target="media/image167.png"/><Relationship Id="rId211" Type="http://schemas.openxmlformats.org/officeDocument/2006/relationships/image" Target="media/image191.png"/><Relationship Id="rId232" Type="http://schemas.openxmlformats.org/officeDocument/2006/relationships/image" Target="media/image210.png"/><Relationship Id="rId253" Type="http://schemas.openxmlformats.org/officeDocument/2006/relationships/image" Target="media/image220.jpeg"/><Relationship Id="rId274" Type="http://schemas.openxmlformats.org/officeDocument/2006/relationships/hyperlink" Target="http://www.czso.cz/csu/redakce.nsf/i/licence" TargetMode="External"/><Relationship Id="rId295" Type="http://schemas.openxmlformats.org/officeDocument/2006/relationships/hyperlink" Target="http://www.uis.unesco.org/ev.php?ID=7433_201&amp;ID2=DO_TOPIC" TargetMode="External"/><Relationship Id="rId309" Type="http://schemas.openxmlformats.org/officeDocument/2006/relationships/hyperlink" Target="http://www.czso.cz/csu/redakce.nsf/i/technologicke_platebni_bilance_zahranicni_obchod_s_technologickymi_sluzbami" TargetMode="External"/><Relationship Id="rId27" Type="http://schemas.openxmlformats.org/officeDocument/2006/relationships/image" Target="media/image14.png"/><Relationship Id="rId48" Type="http://schemas.openxmlformats.org/officeDocument/2006/relationships/image" Target="media/image35.png"/><Relationship Id="rId69" Type="http://schemas.openxmlformats.org/officeDocument/2006/relationships/image" Target="media/image56.png"/><Relationship Id="rId113" Type="http://schemas.openxmlformats.org/officeDocument/2006/relationships/image" Target="media/image99.png"/><Relationship Id="rId134" Type="http://schemas.openxmlformats.org/officeDocument/2006/relationships/image" Target="media/image120.png"/><Relationship Id="rId320" Type="http://schemas.openxmlformats.org/officeDocument/2006/relationships/theme" Target="theme/theme1.xml"/><Relationship Id="rId80" Type="http://schemas.openxmlformats.org/officeDocument/2006/relationships/image" Target="media/image67.png"/><Relationship Id="rId155" Type="http://schemas.openxmlformats.org/officeDocument/2006/relationships/image" Target="media/image141.png"/><Relationship Id="rId176" Type="http://schemas.openxmlformats.org/officeDocument/2006/relationships/image" Target="media/image157.png"/><Relationship Id="rId197" Type="http://schemas.openxmlformats.org/officeDocument/2006/relationships/image" Target="media/image178.png"/><Relationship Id="rId201" Type="http://schemas.openxmlformats.org/officeDocument/2006/relationships/image" Target="media/image182.png"/><Relationship Id="rId222" Type="http://schemas.openxmlformats.org/officeDocument/2006/relationships/image" Target="media/image201.png"/><Relationship Id="rId243" Type="http://schemas.openxmlformats.org/officeDocument/2006/relationships/hyperlink" Target="http://www.strukturalni-fondy.cz/cs/Informace-o-cerpani" TargetMode="External"/><Relationship Id="rId264" Type="http://schemas.openxmlformats.org/officeDocument/2006/relationships/hyperlink" Target="http://www.czso.cz/csu/redakce.nsf/i/statistika_vyzkumu_a_vyvoje" TargetMode="External"/><Relationship Id="rId285" Type="http://schemas.openxmlformats.org/officeDocument/2006/relationships/hyperlink" Target="http://epp.eurostat.ec.europa.eu/cache/ITY_SDDS/en/htec_esms.htm" TargetMode="External"/><Relationship Id="rId17" Type="http://schemas.openxmlformats.org/officeDocument/2006/relationships/image" Target="media/image5.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90.png"/><Relationship Id="rId124" Type="http://schemas.openxmlformats.org/officeDocument/2006/relationships/image" Target="media/image110.png"/><Relationship Id="rId310" Type="http://schemas.openxmlformats.org/officeDocument/2006/relationships/hyperlink" Target="mailto:objednavky@czso.cz" TargetMode="External"/><Relationship Id="rId70" Type="http://schemas.openxmlformats.org/officeDocument/2006/relationships/image" Target="media/image57.png"/><Relationship Id="rId91" Type="http://schemas.openxmlformats.org/officeDocument/2006/relationships/image" Target="media/image78.png"/><Relationship Id="rId145" Type="http://schemas.openxmlformats.org/officeDocument/2006/relationships/image" Target="media/image131.png"/><Relationship Id="rId166" Type="http://schemas.openxmlformats.org/officeDocument/2006/relationships/image" Target="media/image148.png"/><Relationship Id="rId187" Type="http://schemas.openxmlformats.org/officeDocument/2006/relationships/image" Target="media/image168.png"/><Relationship Id="rId1" Type="http://schemas.openxmlformats.org/officeDocument/2006/relationships/numbering" Target="numbering.xml"/><Relationship Id="rId212" Type="http://schemas.openxmlformats.org/officeDocument/2006/relationships/image" Target="media/image192.png"/><Relationship Id="rId233" Type="http://schemas.openxmlformats.org/officeDocument/2006/relationships/header" Target="header11.xml"/><Relationship Id="rId254" Type="http://schemas.openxmlformats.org/officeDocument/2006/relationships/hyperlink" Target="http://www.prahafondy.eu/cz/oppk.html" TargetMode="External"/><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100.png"/><Relationship Id="rId275" Type="http://schemas.openxmlformats.org/officeDocument/2006/relationships/hyperlink" Target="http://www.czso.cz/csu/redakce.nsf/i/statistika_inovaci" TargetMode="External"/><Relationship Id="rId296" Type="http://schemas.openxmlformats.org/officeDocument/2006/relationships/hyperlink" Target="http://www.czso.cz/csu/klasifik.nsf/i/mezinarodni_standardni_klasifikace_vzdelavani_isced_" TargetMode="External"/><Relationship Id="rId300" Type="http://schemas.openxmlformats.org/officeDocument/2006/relationships/hyperlink" Target="http://www.czso.cz/csu/klasifik.nsf/i/klasifikace_ekonomickych_cinnosti_%28cz_nace%29" TargetMode="External"/><Relationship Id="rId60" Type="http://schemas.openxmlformats.org/officeDocument/2006/relationships/image" Target="media/image47.png"/><Relationship Id="rId81" Type="http://schemas.openxmlformats.org/officeDocument/2006/relationships/image" Target="media/image68.png"/><Relationship Id="rId135" Type="http://schemas.openxmlformats.org/officeDocument/2006/relationships/image" Target="media/image121.png"/><Relationship Id="rId156" Type="http://schemas.openxmlformats.org/officeDocument/2006/relationships/image" Target="media/image142.png"/><Relationship Id="rId177" Type="http://schemas.openxmlformats.org/officeDocument/2006/relationships/image" Target="media/image158.png"/><Relationship Id="rId198" Type="http://schemas.openxmlformats.org/officeDocument/2006/relationships/image" Target="media/image179.png"/><Relationship Id="rId202" Type="http://schemas.openxmlformats.org/officeDocument/2006/relationships/image" Target="media/image183.png"/><Relationship Id="rId223" Type="http://schemas.openxmlformats.org/officeDocument/2006/relationships/image" Target="media/image202.png"/><Relationship Id="rId244" Type="http://schemas.openxmlformats.org/officeDocument/2006/relationships/image" Target="media/image218.jpeg"/><Relationship Id="rId18" Type="http://schemas.openxmlformats.org/officeDocument/2006/relationships/image" Target="media/image6.png"/><Relationship Id="rId39" Type="http://schemas.openxmlformats.org/officeDocument/2006/relationships/image" Target="media/image26.png"/><Relationship Id="rId265" Type="http://schemas.openxmlformats.org/officeDocument/2006/relationships/hyperlink" Target="http://www.isvav.cz/" TargetMode="External"/><Relationship Id="rId286" Type="http://schemas.openxmlformats.org/officeDocument/2006/relationships/hyperlink" Target="http://epp.eurostat.ec.europa.eu/cache/ITY_SDDS/en/pat_esms.htm" TargetMode="External"/><Relationship Id="rId50" Type="http://schemas.openxmlformats.org/officeDocument/2006/relationships/image" Target="media/image37.png"/><Relationship Id="rId104" Type="http://schemas.openxmlformats.org/officeDocument/2006/relationships/image" Target="media/image91.png"/><Relationship Id="rId125" Type="http://schemas.openxmlformats.org/officeDocument/2006/relationships/image" Target="media/image111.png"/><Relationship Id="rId146" Type="http://schemas.openxmlformats.org/officeDocument/2006/relationships/image" Target="media/image132.png"/><Relationship Id="rId167" Type="http://schemas.openxmlformats.org/officeDocument/2006/relationships/image" Target="media/image149.png"/><Relationship Id="rId188" Type="http://schemas.openxmlformats.org/officeDocument/2006/relationships/image" Target="media/image169.png"/><Relationship Id="rId311" Type="http://schemas.openxmlformats.org/officeDocument/2006/relationships/hyperlink" Target="http://www.czso.cz/csu/2010edicniplan.nsf/p/1005-10" TargetMode="External"/><Relationship Id="rId71" Type="http://schemas.openxmlformats.org/officeDocument/2006/relationships/image" Target="media/image58.png"/><Relationship Id="rId92" Type="http://schemas.openxmlformats.org/officeDocument/2006/relationships/image" Target="media/image79.png"/><Relationship Id="rId213" Type="http://schemas.openxmlformats.org/officeDocument/2006/relationships/image" Target="media/image193.png"/><Relationship Id="rId234" Type="http://schemas.openxmlformats.org/officeDocument/2006/relationships/image" Target="media/image211.png"/><Relationship Id="rId2" Type="http://schemas.openxmlformats.org/officeDocument/2006/relationships/styles" Target="styles.xml"/><Relationship Id="rId29" Type="http://schemas.openxmlformats.org/officeDocument/2006/relationships/image" Target="media/image16.png"/><Relationship Id="rId255" Type="http://schemas.openxmlformats.org/officeDocument/2006/relationships/hyperlink" Target="http://www.prahafondy.eu/cz/oppk/dokumenty.html" TargetMode="External"/><Relationship Id="rId276" Type="http://schemas.openxmlformats.org/officeDocument/2006/relationships/hyperlink" Target="http://www.oecd.org/document/6/0,3343,en_2649_34451_33828550_1_1_1_1,00.html" TargetMode="External"/><Relationship Id="rId297" Type="http://schemas.openxmlformats.org/officeDocument/2006/relationships/hyperlink" Target="http://www.ilo.org/public/english/bureau/stat/isco/index.htm" TargetMode="External"/><Relationship Id="rId40" Type="http://schemas.openxmlformats.org/officeDocument/2006/relationships/image" Target="media/image27.png"/><Relationship Id="rId115" Type="http://schemas.openxmlformats.org/officeDocument/2006/relationships/image" Target="media/image101.png"/><Relationship Id="rId136" Type="http://schemas.openxmlformats.org/officeDocument/2006/relationships/image" Target="media/image122.png"/><Relationship Id="rId157" Type="http://schemas.openxmlformats.org/officeDocument/2006/relationships/oleObject" Target="embeddings/oleObject1.bin"/><Relationship Id="rId178" Type="http://schemas.openxmlformats.org/officeDocument/2006/relationships/image" Target="media/image159.png"/><Relationship Id="rId301" Type="http://schemas.openxmlformats.org/officeDocument/2006/relationships/hyperlink" Target="http://www.czso.cz/csu/redakce.nsf/i/statistika_vyzkumu_a_vyvoje" TargetMode="External"/><Relationship Id="rId61" Type="http://schemas.openxmlformats.org/officeDocument/2006/relationships/image" Target="media/image48.png"/><Relationship Id="rId82" Type="http://schemas.openxmlformats.org/officeDocument/2006/relationships/image" Target="media/image69.png"/><Relationship Id="rId199" Type="http://schemas.openxmlformats.org/officeDocument/2006/relationships/image" Target="media/image180.png"/><Relationship Id="rId203" Type="http://schemas.openxmlformats.org/officeDocument/2006/relationships/image" Target="media/image184.png"/></Relationships>
</file>

<file path=word/_rels/footnotes.xml.rels><?xml version="1.0" encoding="UTF-8" standalone="yes"?>
<Relationships xmlns="http://schemas.openxmlformats.org/package/2006/relationships"><Relationship Id="rId8" Type="http://schemas.openxmlformats.org/officeDocument/2006/relationships/hyperlink" Target="http://researchanalytics.thomsonreuters.com/incites/" TargetMode="External"/><Relationship Id="rId13" Type="http://schemas.openxmlformats.org/officeDocument/2006/relationships/hyperlink" Target="http://www.czso.cz/csu/tz.nsf/i/zahranicni_obchod_v_narodnim_pojeti20110308" TargetMode="External"/><Relationship Id="rId3" Type="http://schemas.openxmlformats.org/officeDocument/2006/relationships/hyperlink" Target="http://www.vyzkum.cz/FrontClanek.aspx?idsekce=685899" TargetMode="External"/><Relationship Id="rId7" Type="http://schemas.openxmlformats.org/officeDocument/2006/relationships/hyperlink" Target="http://registry.czso.cz/irsw/" TargetMode="External"/><Relationship Id="rId12" Type="http://schemas.openxmlformats.org/officeDocument/2006/relationships/hyperlink" Target="http://archive.sciencewatch.com/about/met/fielddef/" TargetMode="External"/><Relationship Id="rId2" Type="http://schemas.openxmlformats.org/officeDocument/2006/relationships/hyperlink" Target="http://www.vyzkum.cz/FrontClanek.aspx?idsekce=959" TargetMode="External"/><Relationship Id="rId1" Type="http://schemas.openxmlformats.org/officeDocument/2006/relationships/hyperlink" Target="http://www.isvav.cz/" TargetMode="External"/><Relationship Id="rId6" Type="http://schemas.openxmlformats.org/officeDocument/2006/relationships/hyperlink" Target="http://www.czso.cz/csu/redakce.nsf/i/definice_vav/$File/definice.pdf" TargetMode="External"/><Relationship Id="rId11" Type="http://schemas.openxmlformats.org/officeDocument/2006/relationships/hyperlink" Target="http://thomsonreuters.com/essential-science-indicators/" TargetMode="External"/><Relationship Id="rId5" Type="http://schemas.openxmlformats.org/officeDocument/2006/relationships/hyperlink" Target="http://www.czso.cz/csu/2011edicniplan.nsf/t/59001FFA8D/$File/96011105.pdf" TargetMode="External"/><Relationship Id="rId15" Type="http://schemas.openxmlformats.org/officeDocument/2006/relationships/hyperlink" Target="http://www.msmt.cz/vyzkum/narodni-program-udrzitelnosti-i-1" TargetMode="External"/><Relationship Id="rId10" Type="http://schemas.openxmlformats.org/officeDocument/2006/relationships/hyperlink" Target="http://www.vyzkum.cz/FrontClanek.aspx?idsekce=674510" TargetMode="External"/><Relationship Id="rId4" Type="http://schemas.openxmlformats.org/officeDocument/2006/relationships/hyperlink" Target="http://images.webofknowledge.com/WOKRS511B5P1.01/help/WOS/hp_subject_category_terms_tasca.html" TargetMode="External"/><Relationship Id="rId9" Type="http://schemas.openxmlformats.org/officeDocument/2006/relationships/hyperlink" Target="http://researchanalytics.thomsonreuters.com/incites/" TargetMode="External"/><Relationship Id="rId14" Type="http://schemas.openxmlformats.org/officeDocument/2006/relationships/hyperlink" Target="http://www.vyzkum.cz/FrontClanek.aspx?idsekce=13634"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0</TotalTime>
  <Pages>185</Pages>
  <Words>-32766</Words>
  <Characters>-32766</Characters>
  <Application>Microsoft Office Outlook</Application>
  <DocSecurity>0</DocSecurity>
  <Lines>0</Lines>
  <Paragraphs>0</Paragraphs>
  <ScaleCrop>false</ScaleCrop>
  <Company>Hewlett-Packard Company</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Analýza stavu výzkumu, vývoje a inovací v České republice a jejich srovnání se zahraničním v roce 2012</dc:title>
  <dc:subject/>
  <dc:creator>Marek David TC</dc:creator>
  <cp:keywords/>
  <dc:description/>
  <cp:lastModifiedBy>bartova</cp:lastModifiedBy>
  <cp:revision>3</cp:revision>
  <cp:lastPrinted>2013-10-09T12:30:00Z</cp:lastPrinted>
  <dcterms:created xsi:type="dcterms:W3CDTF">2013-10-11T13:53:00Z</dcterms:created>
  <dcterms:modified xsi:type="dcterms:W3CDTF">2013-10-17T06:42:00Z</dcterms:modified>
</cp:coreProperties>
</file>